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ba8893c6b2e049d8be331628d8719082297a4"/>
      <w:r>
        <w:t xml:space="preserve">lsp_BnkGetNextNonAssignableRx: Refactor Analysis (v11 to v12)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36 (Priority P2,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v12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dbo.lsp_BnkGetNextNonAssignableRx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Returns the top-priority Bank-Unassigned auto-fill Rx that cannot be assigned because either its product is not in any qualifying dispenser or its product is only in excluded banks.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</w:t>
      </w:r>
      <w:r>
        <w:t xml:space="preserve"> </w:t>
      </w:r>
      <w:r>
        <w:t xml:space="preserve">(the Bank-Unassigned Rx candidate set).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OeOrderSecondaryData</w:t>
      </w:r>
      <w:r>
        <w:t xml:space="preserve"> </w:t>
      </w:r>
      <w:r>
        <w:t xml:space="preserve">(joined for RequestedFillMethodCode).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TcdStatus</w:t>
      </w:r>
      <w:r>
        <w:t xml:space="preserve"> </w:t>
      </w:r>
      <w:r>
        <w:t xml:space="preserve">(the product-to-bank-dispenser mapping; queried twice in v11, consolidated to once in v12).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BnkConfiguredBanks</w:t>
      </w:r>
      <w:r>
        <w:t xml:space="preserve"> </w:t>
      </w:r>
      <w:r>
        <w:t xml:space="preserve">(joined for the IsExcluded flag).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BnkAllBanks</w:t>
      </w:r>
      <w:r>
        <w:t xml:space="preserve"> </w:t>
      </w:r>
      <w:r>
        <w:t xml:space="preserve">(joined for AutoFillTypeCode, which maps to SupportedFillMethod).</w:t>
      </w:r>
    </w:p>
    <w:p>
      <w:pPr>
        <w:pStyle w:val="FirstParagraph"/>
      </w:pPr>
      <w:r>
        <w:rPr>
          <w:b/>
        </w:rPr>
        <w:t xml:space="preserve">Indexes used (predicted from the v12 body):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OrderStatus, FillType, AddrBank</w:t>
            </w:r>
          </w:p>
        </w:tc>
        <w:tc>
          <w:p>
            <w:pPr>
              <w:pStyle w:val="Compact"/>
              <w:jc w:val="left"/>
            </w:pPr>
            <w:r>
              <w:t xml:space="preserve">candidate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OeOrderSecondaryData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OrderId, HistoryDtTm</w:t>
            </w:r>
          </w:p>
        </w:tc>
        <w:tc>
          <w:p>
            <w:pPr>
              <w:pStyle w:val="Compact"/>
              <w:jc w:val="left"/>
            </w:pPr>
            <w:r>
              <w:t xml:space="preserve">secondary-data 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TcdStatus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product-to-bank map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BnkConfiguredBanks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AddrBank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exclusion lookup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BnkAllBanks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AddrBank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fill-method lookup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bank-assignment service. Called when a Bank-Unassigned Rx is detected as un-assignable, to surface it on the exception 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two of four expense lists (Duration #14, Expense #21) with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heuristic. The procedure carries no input parameters, so parameter sniffing is not the issue.</w:t>
      </w:r>
    </w:p>
    <w:p>
      <w:pPr>
        <w:pStyle w:val="BodyText"/>
      </w:pPr>
      <w:r>
        <w:t xml:space="preserve">The dominant cost driver in v11 is the duplicated scan of</w:t>
      </w:r>
      <w:r>
        <w:t xml:space="preserve"> </w:t>
      </w:r>
      <w:r>
        <w:rPr>
          <w:rStyle w:val="VerbatimChar"/>
        </w:rPr>
        <w:t xml:space="preserve">TcdStatus + BnkConfiguredBanks + BnkAllBanks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#IncludedBankProducts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#ExcludedBankProducts</w:t>
      </w:r>
      <w:r>
        <w:t xml:space="preserve">. The two SELECTs are identical aside from the</w:t>
      </w:r>
      <w:r>
        <w:t xml:space="preserve"> </w:t>
      </w:r>
      <w:r>
        <w:rPr>
          <w:rStyle w:val="VerbatimChar"/>
        </w:rPr>
        <w:t xml:space="preserve">B.IsExcluded</w:t>
      </w:r>
      <w:r>
        <w:t xml:space="preserve"> </w:t>
      </w:r>
      <w:r>
        <w:t xml:space="preserve">filter. A single scan with the IsExcluded column projected lets both downstream consumers reference the same temp table, filtered as needed.</w:t>
      </w:r>
    </w:p>
    <w:p>
      <w:pPr>
        <w:pStyle w:val="BodyText"/>
      </w:pPr>
      <w:r>
        <w:t xml:space="preserve">A secondary observation is the UNION (with implicit DISTINCT) on the final SELECT. The two source sets (</w:t>
      </w:r>
      <w:r>
        <w:rPr>
          <w:rStyle w:val="VerbatimChar"/>
        </w:rPr>
        <w:t xml:space="preserve">#RxsNotInAnyBank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#RxsOnlyInExclBank</w:t>
      </w:r>
      <w:r>
        <w:t xml:space="preserve">) are disjoint by construction. UNION ALL is semantically equivalent and avoids the DISTINCT overhead.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11"/>
      <w:r>
        <w:t xml:space="preserve">3. Evidence of Original (v11)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455"/>
        <w:gridCol w:w="1365"/>
        <w:gridCol w:w="1638"/>
        <w:gridCol w:w="1183"/>
        <w:gridCol w:w="1456"/>
        <w:gridCol w:w="1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1bac05eb03de6c1653695e1875c5830ea58874d"/>
      <w:r>
        <w:t xml:space="preserve">3.2 STATISTICS IO and STATISTICS TIME from a representative MFC run (v11)</w:t>
      </w:r>
      <w:bookmarkEnd w:id="25"/>
    </w:p>
    <w:p>
      <w:pPr>
        <w:pStyle w:val="SourceCode"/>
      </w:pPr>
      <w:r>
        <w:rPr>
          <w:rStyle w:val="VerbatimChar"/>
        </w:rPr>
        <w:t xml:space="preserve">(paste STATS IO / STATS TIME for v11 against the same data state used for v12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Duplicated scan of</w:t>
      </w:r>
      <w:r>
        <w:rPr>
          <w:b/>
        </w:rPr>
        <w:t xml:space="preserve"> </w:t>
      </w:r>
      <w:r>
        <w:rPr>
          <w:rStyle w:val="VerbatimChar"/>
          <w:b/>
        </w:rPr>
        <w:t xml:space="preserve">TcdStatus + BnkConfiguredBanks + BnkAllBanks</w:t>
      </w:r>
      <w:r>
        <w:rPr>
          <w:b/>
        </w:rPr>
        <w:t xml:space="preserve">.</w:t>
      </w:r>
      <w:r>
        <w:t xml:space="preserve"> </w:t>
      </w:r>
      <w:r>
        <w:t xml:space="preserve">Two near-identical SELECTs differ only in</w:t>
      </w:r>
      <w:r>
        <w:t xml:space="preserve"> </w:t>
      </w:r>
      <w:r>
        <w:rPr>
          <w:rStyle w:val="VerbatimChar"/>
        </w:rPr>
        <w:t xml:space="preserve">B.IsExcluded</w:t>
      </w:r>
      <w:r>
        <w:t xml:space="preserve">. Consolidate.</w:t>
      </w:r>
    </w:p>
    <w:p>
      <w:pPr>
        <w:pStyle w:val="BodyText"/>
      </w:pPr>
      <w:r>
        <w:rPr>
          <w:b/>
        </w:rPr>
        <w:t xml:space="preserve">Issue 2: No indexes on intermediate temp tables.</w:t>
      </w:r>
      <w:r>
        <w:t xml:space="preserve"> </w:t>
      </w:r>
      <w:r>
        <w:t xml:space="preserve">Several participate in downstream joins.</w:t>
      </w:r>
    </w:p>
    <w:p>
      <w:pPr>
        <w:pStyle w:val="BodyText"/>
      </w:pPr>
      <w:r>
        <w:rPr>
          <w:b/>
        </w:rPr>
        <w:t xml:space="preserve">Issue 3: UNION (with DISTINCT) on disjoint source sets.</w:t>
      </w:r>
      <w:r>
        <w:t xml:space="preserve"> </w:t>
      </w:r>
      <w:r>
        <w:t xml:space="preserve">UNION ALL avoids the implicit DISTINCT and is semantically equivalent.</w:t>
      </w:r>
    </w:p>
    <w:p>
      <w:pPr>
        <w:pStyle w:val="BodyText"/>
      </w:pPr>
      <w:r>
        <w:rPr>
          <w:b/>
        </w:rPr>
        <w:t xml:space="preserve">Issue 4: No Recompile hints.</w:t>
      </w:r>
      <w:r>
        <w:t xml:space="preserve"> </w:t>
      </w:r>
      <w:r>
        <w:t xml:space="preserve">Plan quality benefits from compile-time visibility of current temp-table cardinalities.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[[Conditional Aggregation Consolidation]] applied to the product-bank scans.</w:t>
      </w:r>
      <w:r>
        <w:t xml:space="preserve"> </w:t>
      </w:r>
      <w:r>
        <w:t xml:space="preserve">The two near-identical SELECTs are consolidated into one scan that projects</w:t>
      </w:r>
      <w:r>
        <w:t xml:space="preserve"> </w:t>
      </w:r>
      <w:r>
        <w:rPr>
          <w:rStyle w:val="VerbatimChar"/>
        </w:rPr>
        <w:t xml:space="preserve">IsExcluded</w:t>
      </w:r>
      <w:r>
        <w:t xml:space="preserve"> </w:t>
      </w:r>
      <w:r>
        <w:t xml:space="preserve">as a column. Both downstream consumers reference the consolidated temp table with the appropriate</w:t>
      </w:r>
      <w:r>
        <w:t xml:space="preserve"> </w:t>
      </w:r>
      <w:r>
        <w:rPr>
          <w:rStyle w:val="VerbatimChar"/>
        </w:rPr>
        <w:t xml:space="preserve">IsExcluded</w:t>
      </w:r>
      <w:r>
        <w:t xml:space="preserve"> </w:t>
      </w:r>
      <w:r>
        <w:t xml:space="preserve">filter on the join.</w:t>
      </w:r>
    </w:p>
    <w:p>
      <w:pPr>
        <w:pStyle w:val="BodyText"/>
      </w:pPr>
      <w:r>
        <w:rPr>
          <w:b/>
        </w:rPr>
        <w:t xml:space="preserve">UNION ALL on disjoint source sets.</w:t>
      </w:r>
      <w:r>
        <w:t xml:space="preserve"> </w:t>
      </w:r>
      <w:r>
        <w:t xml:space="preserve">When two row sets are disjoint by construction, UNION ALL is the right choice. UNION-with-DISTINCT only matters when duplicates can occur.</w:t>
      </w:r>
    </w:p>
    <w:p>
      <w:pPr>
        <w:pStyle w:val="BodyText"/>
      </w:pPr>
      <w:r>
        <w:rPr>
          <w:b/>
        </w:rPr>
        <w:t xml:space="preserve">[[Index Key Columns vs Included Columns]] applied to temp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v12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blocks below.</w:t>
      </w:r>
    </w:p>
    <w:p>
      <w:pPr>
        <w:pStyle w:val="BodyText"/>
      </w:pPr>
      <w:r>
        <w:rPr>
          <w:b/>
        </w:rPr>
        <w:t xml:space="preserve">Consolidated #BankProducts.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T.ProductId</w:t>
      </w:r>
      <w:r>
        <w:br/>
      </w:r>
      <w:r>
        <w:rPr>
          <w:rStyle w:val="NormalTok"/>
        </w:rPr>
        <w:t xml:space="preserve">    , [SupportedFillMethod]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BA.AutoFillTypeCode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, T.AddrBank</w:t>
      </w:r>
      <w:r>
        <w:br/>
      </w:r>
      <w:r>
        <w:rPr>
          <w:rStyle w:val="NormalTok"/>
        </w:rPr>
        <w:t xml:space="preserve">    , [IsExcluded]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B.IsExcluded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#BankProducts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TcdStatus 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BnkConfiguredBanks B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T.AddrBank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B.AddrBank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BnkAllBanks BA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BA.AddrBank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T.AddrBank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T.ProductId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T.ProductId, T.AddrBank, BA.AutoFillTypeCode, B.IsExcluded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IX_BP_Product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#BankProducts(ProductId) Include (SupportedFillMethod, AddrBank, IsExcluded)</w:t>
      </w:r>
    </w:p>
    <w:p>
      <w:pPr>
        <w:pStyle w:val="FirstParagraph"/>
      </w:pPr>
      <w:r>
        <w:t xml:space="preserve">The #RxsOnlyInExclBank step then references</w:t>
      </w:r>
      <w:r>
        <w:t xml:space="preserve"> </w:t>
      </w:r>
      <w:r>
        <w:rPr>
          <w:rStyle w:val="VerbatimChar"/>
        </w:rPr>
        <w:t xml:space="preserve">#BankProducts</w:t>
      </w:r>
      <w:r>
        <w:t xml:space="preserve"> </w:t>
      </w:r>
      <w:r>
        <w:t xml:space="preserve">twice: once filtered to</w:t>
      </w:r>
      <w:r>
        <w:t xml:space="preserve"> </w:t>
      </w:r>
      <w:r>
        <w:rPr>
          <w:rStyle w:val="VerbatimChar"/>
        </w:rPr>
        <w:t xml:space="preserve">IsExcluded = 1</w:t>
      </w:r>
      <w:r>
        <w:t xml:space="preserve"> </w:t>
      </w:r>
      <w:r>
        <w:t xml:space="preserve">and once filtered to</w:t>
      </w:r>
      <w:r>
        <w:t xml:space="preserve"> </w:t>
      </w:r>
      <w:r>
        <w:rPr>
          <w:rStyle w:val="VerbatimChar"/>
        </w:rPr>
        <w:t xml:space="preserve">IsExcluded = 0</w:t>
      </w:r>
      <w:r>
        <w:t xml:space="preserve">, in two separate Left Joins.</w:t>
      </w:r>
    </w:p>
    <w:p>
      <w:pPr>
        <w:pStyle w:val="BodyText"/>
      </w:pPr>
      <w:r>
        <w:rPr>
          <w:b/>
        </w:rPr>
        <w:t xml:space="preserve">UNION ALL replaces UNION on the final SELECT.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OrderId, NonAssignableReason, PriInternal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OrderId, NonAssignableReason, PriInternal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#RxsNotInAnyBank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OrderId, NonAssignableReason, PriInternal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#RxsOnlyInExclBank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NonAssignable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PriInternal, OrderId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 consolidated</w:t>
      </w:r>
      <w:r>
        <w:t xml:space="preserve"> </w:t>
      </w:r>
      <w:r>
        <w:rPr>
          <w:rStyle w:val="VerbatimChar"/>
        </w:rPr>
        <w:t xml:space="preserve">#BankProducts</w:t>
      </w:r>
      <w:r>
        <w:t xml:space="preserve"> </w:t>
      </w:r>
      <w:r>
        <w:t xml:space="preserve">produces one row per (ProductId, AddrBank, AutoFillTypeCode, IsExcluded) combination. The original v11 had separate rows in #IncludedBankProducts (IsExcluded = 0) and #ExcludedBankProducts (IsExcluded = 1); v12’s consolidated table carries both via the IsExcluded column. The two downstream Left Joins to</w:t>
      </w:r>
      <w:r>
        <w:t xml:space="preserve"> </w:t>
      </w:r>
      <w:r>
        <w:rPr>
          <w:rStyle w:val="VerbatimChar"/>
        </w:rPr>
        <w:t xml:space="preserve">#BankProducts</w:t>
      </w:r>
      <w:r>
        <w:t xml:space="preserve"> </w:t>
      </w:r>
      <w:r>
        <w:t xml:space="preserve">filtered by IsExcluded produce the same row sets v11 produced from the separate temp tables.</w:t>
      </w:r>
    </w:p>
    <w:p>
      <w:pPr>
        <w:pStyle w:val="BodyText"/>
      </w:pPr>
      <w:r>
        <w:t xml:space="preserve">The UNION ALL substitution is safe because the two source sets are disjoint: an Rx is in #RxsNotInAnyBank iff its product has no row in #RxsInAnyBank (the TcdSn IS NULL probe), and in #RxsOnlyInExclBank iff its product has at least one matching excluded-bank entry and zero matching included-bank entries with the right fill method. The two conditions are mutually exclusive, so UNION ALL produces the same result as UNION.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Plan operator count drop (one TcdStatus+BnkConfiguredBanks+BnkAllBanks scan instead of two), result identity parity with v11, elapsed time drop.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v11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v11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-v12"/>
      <w:r>
        <w:t xml:space="preserve">8. Evidence of Refactor (v12)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v12 against the same data state used for v11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v11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v12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TcdStatus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~50% of v11)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BnkConfiguredBanks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~50% of v11)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BnkAllBanks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~50% of v11)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Plan operator 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lower)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 row 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identical)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consolidation of the duplicated three-table scan and the elimination of the UNION DISTINCT overhead.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Non-zero result set (when a non-assignable Rx exists). (?)</w:t>
      </w:r>
    </w:p>
    <w:p>
      <w:pPr>
        <w:numPr>
          <w:ilvl w:val="0"/>
          <w:numId w:val="1002"/>
        </w:numPr>
        <w:pStyle w:val="Compact"/>
      </w:pPr>
      <w:r>
        <w:t xml:space="preserve">Identical result set: same OrderId/NonAssignableReason/PriInternal as v11. (?)</w:t>
      </w:r>
    </w:p>
    <w:p>
      <w:pPr>
        <w:numPr>
          <w:ilvl w:val="0"/>
          <w:numId w:val="1002"/>
        </w:numPr>
        <w:pStyle w:val="Compact"/>
      </w:pPr>
      <w:r>
        <w:t xml:space="preserve">Plan shape matches prediction.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pStyle w:val="FirstParagraph"/>
      </w:pPr>
      <w:r>
        <w:t xml:space="preserve">Net call: the refactor is sound on first principles.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X8ce56d99c7fcfbfc297a3bc80f5078a59247897"/>
      <w:r>
        <w:t xml:space="preserve">11.1 Filtered index on</w:t>
      </w:r>
      <w:r>
        <w:t xml:space="preserve"> </w:t>
      </w:r>
      <w:r>
        <w:rPr>
          <w:rStyle w:val="VerbatimChar"/>
        </w:rPr>
        <w:t xml:space="preserve">BnkConfiguredBanks(IsExcluded)</w:t>
      </w:r>
      <w:bookmarkEnd w:id="3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#BankProducts</w:t>
      </w:r>
      <w:r>
        <w:t xml:space="preserve"> </w:t>
      </w:r>
      <w:r>
        <w:t xml:space="preserve">scan filters on</w:t>
      </w:r>
      <w:r>
        <w:t xml:space="preserve"> </w:t>
      </w:r>
      <w:r>
        <w:rPr>
          <w:rStyle w:val="VerbatimChar"/>
        </w:rPr>
        <w:t xml:space="preserve">B.IsExcluded</w:t>
      </w:r>
      <w:r>
        <w:t xml:space="preserve"> </w:t>
      </w:r>
      <w:r>
        <w:t xml:space="preserve">implicitly (via the row’s value). A filtered index on</w:t>
      </w:r>
      <w:r>
        <w:t xml:space="preserve"> </w:t>
      </w:r>
      <w:r>
        <w:rPr>
          <w:rStyle w:val="VerbatimChar"/>
        </w:rPr>
        <w:t xml:space="preserve">BnkConfiguredBanks(AddrBank) Where IsExcluded = 0</w:t>
      </w:r>
      <w:r>
        <w:t xml:space="preserve"> </w:t>
      </w:r>
      <w:r>
        <w:t xml:space="preserve">would be useful in other Bnk-family procedures; consider as part of an architectural index review for the Bnk family.</w:t>
      </w:r>
    </w:p>
    <w:p>
      <w:pPr>
        <w:pStyle w:val="Heading3"/>
      </w:pPr>
      <w:bookmarkStart w:id="35" w:name="per-mfc-post-deployment-monitoring"/>
      <w:r>
        <w:t xml:space="preserve">11.2 Per-MFC post-deployment monitoring</w:t>
      </w:r>
      <w:bookmarkEnd w:id="35"/>
    </w:p>
    <w:p>
      <w:pPr>
        <w:pStyle w:val="FirstParagraph"/>
      </w:pPr>
      <w:r>
        <w:t xml:space="preserve">Two-week capture per site, three-bucket outcome distribution.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2026-05-15T13:29:06Z</dcterms:created>
  <dcterms:modified xsi:type="dcterms:W3CDTF">2026-05-15T13:29:06Z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