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dcf281958984aaf6c77323d492d981ab3be9b7"/>
      <w:r>
        <w:t xml:space="preserve">lsp_DbPurgeHistoryData: Refactor Analysis (v1 to v2)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2026-05-12</w:t>
      </w:r>
      <w:r>
        <w:t xml:space="preserve"> </w:t>
      </w:r>
      <w:r>
        <w:rPr>
          <w:b/>
        </w:rPr>
        <w:t xml:space="preserve">Tracking sheet row:</w:t>
      </w:r>
      <w:r>
        <w:t xml:space="preserve"> </w:t>
      </w:r>
      <w:r>
        <w:t xml:space="preserve">Purge-sweep, CTE delete projection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Single-line projection narrowing inside the OeOrderAcceptReject batched-delete CTE (line 1590). Other CTEs in this proc already use the PK-only form per the prior nightly maintenance refactor and are not touched in this revision.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cedure-name-surface-area"/>
      <w:r>
        <w:t xml:space="preserve">1. Procedure Name &amp; Surface Area</w:t>
      </w:r>
      <w:bookmarkEnd w:id="21"/>
    </w:p>
    <w:p>
      <w:pPr>
        <w:pStyle w:val="FirstParagraph"/>
      </w:pPr>
      <w:r>
        <w:rPr>
          <w:b/>
        </w:rPr>
        <w:t xml:space="preserve">Procedure:</w:t>
      </w:r>
      <w:r>
        <w:t xml:space="preserve"> </w:t>
      </w:r>
      <w:r>
        <w:rPr>
          <w:rStyle w:val="VerbatimChar"/>
        </w:rPr>
        <w:t xml:space="preserve">dbo.lsp_DbPurgeHistoryData</w:t>
      </w:r>
    </w:p>
    <w:p>
      <w:pPr>
        <w:pStyle w:val="BodyText"/>
      </w:pPr>
      <w:r>
        <w:rPr>
          <w:b/>
        </w:rPr>
        <w:t xml:space="preserve">Purpose in one line:</w:t>
      </w:r>
      <w:r>
        <w:t xml:space="preserve"> </w:t>
      </w:r>
      <w:r>
        <w:t xml:space="preserve">Purge Rx history data across the OeOrder family of tables for a configurable history window, in cascading dependency order, in blocks of</w:t>
      </w:r>
      <w:r>
        <w:t xml:space="preserve"> </w:t>
      </w:r>
      <w:r>
        <w:rPr>
          <w:rStyle w:val="VerbatimChar"/>
        </w:rPr>
        <w:t xml:space="preserve">@NumOfRowsBlockSize</w:t>
      </w:r>
      <w:r>
        <w:t xml:space="preserve"> </w:t>
      </w:r>
      <w:r>
        <w:t xml:space="preserve">rows.</w:t>
      </w:r>
    </w:p>
    <w:p>
      <w:pPr>
        <w:pStyle w:val="BodyText"/>
      </w:pPr>
      <w:r>
        <w:rPr>
          <w:b/>
        </w:rPr>
        <w:t xml:space="preserve">Tables touched (scope of this refactor):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OeOrderAcceptReject</w:t>
      </w:r>
      <w:r>
        <w:t xml:space="preserve">. Sixty columns. Four wide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columns (</w:t>
      </w:r>
      <w:r>
        <w:rPr>
          <w:rStyle w:val="VerbatimChar"/>
        </w:rPr>
        <w:t xml:space="preserve">Directions varchar(1033)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Address1 varchar(1024)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Address2 varchar(1024)</w:t>
      </w:r>
      <w:r>
        <w:t xml:space="preserve">,</w:t>
      </w:r>
      <w:r>
        <w:t xml:space="preserve"> </w:t>
      </w:r>
      <w:r>
        <w:rPr>
          <w:rStyle w:val="VerbatimChar"/>
        </w:rPr>
        <w:t xml:space="preserve">DurData varchar(1023)</w:t>
      </w:r>
      <w:r>
        <w:t xml:space="preserve">). Primary key clustered on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(bigint identity).</w:t>
      </w:r>
    </w:p>
    <w:p>
      <w:pPr>
        <w:pStyle w:val="FirstParagraph"/>
      </w:pPr>
      <w:r>
        <w:t xml:space="preserve">The proc touches many other tables across its 1618 lines. Those statements are out of scope for this revision. The change is local to the OeOrderAcceptReject CTE on line 1590.</w:t>
      </w:r>
    </w:p>
    <w:p>
      <w:pPr>
        <w:pStyle w:val="BodyText"/>
      </w:pPr>
      <w:r>
        <w:rPr>
          <w:b/>
        </w:rPr>
        <w:t xml:space="preserve">Indexes used (predicted, pending plan capture):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OeOrderAcceptReject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PK_OeOrderAcceptReject</w:t>
            </w:r>
            <w:r>
              <w:t xml:space="preserve"> </w:t>
            </w:r>
            <w:r>
              <w:t xml:space="preserve">(clustered)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the row locator for the delete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OeOrderAcceptReject</w:t>
            </w:r>
          </w:p>
        </w:tc>
        <w:tc>
          <w:p>
            <w:pPr>
              <w:pStyle w:val="Compact"/>
              <w:jc w:val="left"/>
            </w:pPr>
            <w:r>
              <w:t xml:space="preserve">(any nonclustered on</w:t>
            </w:r>
            <w:r>
              <w:t xml:space="preserve"> </w:t>
            </w:r>
            <w:r>
              <w:rPr>
                <w:rStyle w:val="VerbatimChar"/>
              </w:rPr>
              <w:t xml:space="preserve">RejectDtTm</w:t>
            </w:r>
            <w:r>
              <w:t xml:space="preserve"> </w:t>
            </w:r>
            <w:r>
              <w:t xml:space="preserve">if present)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RejectDtTm</w:t>
            </w:r>
          </w:p>
        </w:tc>
        <w:tc>
          <w:p>
            <w:pPr>
              <w:pStyle w:val="Compact"/>
              <w:jc w:val="left"/>
            </w:pPr>
            <w:r>
              <w:t xml:space="preserve">candidate for the v2 narrow projection; confirm via Section 8</w:t>
            </w:r>
          </w:p>
        </w:tc>
      </w:tr>
    </w:tbl>
    <w:p>
      <w:pPr>
        <w:pStyle w:val="BodyText"/>
      </w:pPr>
      <w:r>
        <w:t xml:space="preserve">This proc’s CTE differs from</w:t>
      </w:r>
      <w:r>
        <w:t xml:space="preserve"> </w:t>
      </w:r>
      <w:r>
        <w:rPr>
          <w:rStyle w:val="VerbatimChar"/>
        </w:rPr>
        <w:t xml:space="preserve">lsp_DbDeleteOldRxData</w:t>
      </w:r>
      <w:r>
        <w:t xml:space="preserve">’s CTE on the same table in one respect: the where clause is a two-sided range</w:t>
      </w:r>
      <w:r>
        <w:t xml:space="preserve"> </w:t>
      </w:r>
      <w:r>
        <w:rPr>
          <w:rStyle w:val="VerbatimChar"/>
        </w:rPr>
        <w:t xml:space="preserve">RejectDtTm &gt;= @HistoryDtTm_EffectiveFrom And RejectDtTm &lt; @HistoryDtTm_EffectiveTo</w:t>
      </w:r>
      <w:r>
        <w:t xml:space="preserve"> </w:t>
      </w:r>
      <w:r>
        <w:t xml:space="preserve">rather than a single-sided upper bound. The optimizer’s access pattern is otherwise the same.</w:t>
      </w:r>
    </w:p>
    <w:p>
      <w:pPr>
        <w:pStyle w:val="BodyText"/>
      </w:pPr>
      <w:r>
        <w:rPr>
          <w:b/>
        </w:rPr>
        <w:t xml:space="preserve">Callers:</w:t>
      </w:r>
      <w:r>
        <w:t xml:space="preserve"> </w:t>
      </w:r>
      <w:r>
        <w:rPr>
          <w:rStyle w:val="VerbatimChar"/>
        </w:rPr>
        <w:t xml:space="preserve">lsp_DbPerformNightlyMaintenance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-of-performance"/>
      <w:r>
        <w:t xml:space="preserve">2. Overview of Performance</w:t>
      </w:r>
      <w:bookmarkEnd w:id="22"/>
    </w:p>
    <w:p>
      <w:pPr>
        <w:pStyle w:val="FirstParagraph"/>
      </w:pPr>
      <w:r>
        <w:t xml:space="preserve">This is the first of two procs in the sweep that target</w:t>
      </w:r>
      <w:r>
        <w:t xml:space="preserve"> </w:t>
      </w:r>
      <w:r>
        <w:rPr>
          <w:rStyle w:val="VerbatimChar"/>
        </w:rPr>
        <w:t xml:space="preserve">OeOrderAcceptReject</w:t>
      </w:r>
      <w:r>
        <w:t xml:space="preserve">, the other being</w:t>
      </w:r>
      <w:r>
        <w:t xml:space="preserve"> </w:t>
      </w:r>
      <w:r>
        <w:rPr>
          <w:rStyle w:val="VerbatimChar"/>
        </w:rPr>
        <w:t xml:space="preserve">lsp_DbDeleteOldRxData</w:t>
      </w:r>
      <w:r>
        <w:t xml:space="preserve">. Both apply the same fix, and the analysis is parallel.</w:t>
      </w:r>
    </w:p>
    <w:p>
      <w:pPr>
        <w:pStyle w:val="BodyText"/>
      </w:pPr>
      <w:r>
        <w:rPr>
          <w:rStyle w:val="VerbatimChar"/>
        </w:rPr>
        <w:t xml:space="preserve">OeOrderAcceptReject</w:t>
      </w:r>
      <w:r>
        <w:t xml:space="preserve"> </w:t>
      </w:r>
      <w:r>
        <w:t xml:space="preserve">is wide because of four</w:t>
      </w:r>
      <w:r>
        <w:t xml:space="preserve"> </w:t>
      </w:r>
      <w:r>
        <w:rPr>
          <w:rStyle w:val="VerbatimChar"/>
        </w:rPr>
        <w:t xml:space="preserve">varchar(1000+)</w:t>
      </w:r>
      <w:r>
        <w:t xml:space="preserve"> </w:t>
      </w:r>
      <w:r>
        <w:t xml:space="preserve">fields. v1’s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projection materializes those fields for every row in the block, on every iteration of the purge loop. The delete operator throws them away.</w:t>
      </w:r>
    </w:p>
    <w:p>
      <w:pPr>
        <w:pStyle w:val="BodyText"/>
      </w:pPr>
      <w:r>
        <w:t xml:space="preserve">The two-sided range filter (</w:t>
      </w:r>
      <w:r>
        <w:rPr>
          <w:rStyle w:val="VerbatimChar"/>
        </w:rPr>
        <w:t xml:space="preserve">RejectDtTm &gt;= X And RejectDtTm &lt; Y</w:t>
      </w:r>
      <w:r>
        <w:t xml:space="preserve">) is a SARGable predicate against any index keyed on</w:t>
      </w:r>
      <w:r>
        <w:t xml:space="preserve"> </w:t>
      </w:r>
      <w:r>
        <w:rPr>
          <w:rStyle w:val="VerbatimChar"/>
        </w:rPr>
        <w:t xml:space="preserve">RejectDtTm</w:t>
      </w:r>
      <w:r>
        <w:t xml:space="preserve">. With the v2 PK-only projection, such an index becomes a fully covering range seek with the PK carried as the row locator.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vidence-of-original-v1"/>
      <w:r>
        <w:t xml:space="preserve">3. Evidence of Original (v1)</w:t>
      </w:r>
      <w:bookmarkEnd w:id="23"/>
    </w:p>
    <w:p>
      <w:pPr>
        <w:pStyle w:val="Heading3"/>
      </w:pPr>
      <w:bookmarkStart w:id="24" w:name="query-store-cross-mfc-view"/>
      <w:r>
        <w:t xml:space="preserve">3.1 Query Store, cross-MFC view</w:t>
      </w:r>
      <w:bookmarkEnd w:id="24"/>
    </w:p>
    <w:p>
      <w:pPr>
        <w:pStyle w:val="FirstParagraph"/>
      </w:pPr>
      <w:r>
        <w:t xml:space="preserve">Pending capture. Query Store filter:</w:t>
      </w:r>
      <w:r>
        <w:t xml:space="preserve"> </w:t>
      </w:r>
      <w:r>
        <w:rPr>
          <w:rStyle w:val="VerbatimChar"/>
        </w:rPr>
        <w:t xml:space="preserve">objectname = 'lsp_DbPurgeHistoryData'</w:t>
      </w:r>
      <w:r>
        <w:t xml:space="preserve">. The proc executes many statements per call; the relevant query_id is the one matching the OeOrderAcceptReject CTE on line 1590.</w:t>
      </w:r>
    </w:p>
    <w:tbl>
      <w:tblPr>
        <w:tblStyle w:val="Table"/>
        <w:tblW w:type="pct" w:w="5000.0"/>
        <w:tblLook w:firstRow="1"/>
      </w:tblPr>
      <w:tblGrid>
        <w:gridCol w:w="321"/>
        <w:gridCol w:w="965"/>
        <w:gridCol w:w="1287"/>
        <w:gridCol w:w="1159"/>
        <w:gridCol w:w="837"/>
        <w:gridCol w:w="1030"/>
        <w:gridCol w:w="1287"/>
        <w:gridCol w:w="10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MFC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variants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Distinct query_ids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Executions (30d)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reads/exec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dur range (ms)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CPU (ms)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5" w:name="Xe759c8404ee3934670cda1c1d440476a7bcb955"/>
      <w:r>
        <w:t xml:space="preserve">3.2 SET STATISTICS IO, TIME from a representative MFC</w:t>
      </w:r>
      <w:bookmarkEnd w:id="25"/>
    </w:p>
    <w:p>
      <w:pPr>
        <w:pStyle w:val="FirstParagraph"/>
      </w:pPr>
      <w:r>
        <w:t xml:space="preserve">I capture STATS IO/TIME for the OeOrderAcceptReject CTE specifically.</w:t>
      </w:r>
    </w:p>
    <w:p>
      <w:pPr>
        <w:pStyle w:val="SourceCode"/>
      </w:pPr>
      <w:r>
        <w:rPr>
          <w:rStyle w:val="VerbatimChar"/>
        </w:rPr>
        <w:t xml:space="preserve">(STATS IO + STATS TIME output for v1 goes here, scoped to OeOrderAcceptReject)</w:t>
      </w:r>
    </w:p>
    <w:p>
      <w:pPr>
        <w:pStyle w:val="FirstParagraph"/>
      </w:pPr>
      <w:r>
        <w:t xml:space="preserve">Plan summary captured into</w:t>
      </w:r>
      <w:r>
        <w:t xml:space="preserve"> </w:t>
      </w:r>
      <w:r>
        <w:rPr>
          <w:rStyle w:val="VerbatimChar"/>
        </w:rPr>
        <w:t xml:space="preserve">lsp_DbPurgeHistoryData_original_plan.sqlplan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ssue-identification-v1"/>
      <w:r>
        <w:t xml:space="preserve">4. Issue Identification (v1)</w:t>
      </w:r>
      <w:bookmarkEnd w:id="26"/>
    </w:p>
    <w:p>
      <w:pPr>
        <w:pStyle w:val="FirstParagraph"/>
      </w:pPr>
      <w:r>
        <w:t xml:space="preserve">The line numbers below reference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 </w:t>
      </w:r>
      <w:r>
        <w:t xml:space="preserve">(v1).</w:t>
      </w:r>
    </w:p>
    <w:p>
      <w:pPr>
        <w:pStyle w:val="Heading3"/>
      </w:pPr>
      <w:bookmarkStart w:id="27" w:name="X90940fdadc5e1fd3f4e991c7b4c294ddd355bae"/>
      <w:r>
        <w:t xml:space="preserve">4.1 CTE projection is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against a wide table (line 1590)</w:t>
      </w:r>
      <w:bookmarkEnd w:id="27"/>
    </w:p>
    <w:p>
      <w:pPr>
        <w:pStyle w:val="SourceCode"/>
      </w:pPr>
      <w:r>
        <w:rPr>
          <w:rStyle w:val="NormalTok"/>
        </w:rPr>
        <w:t xml:space="preserve">;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Cte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(@NumOfRowsBlockSize)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OeOrderAcceptReject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RejectDtTm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@HistoryDtTm_EffectiveFrom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RejectDtTm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@HistoryDtTm_EffectiveTo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Cte</w:t>
      </w:r>
    </w:p>
    <w:p>
      <w:pPr>
        <w:pStyle w:val="FirstParagraph"/>
      </w:pPr>
      <w:r>
        <w:t xml:space="preserve">The CTE asks for every column from</w:t>
      </w:r>
      <w:r>
        <w:t xml:space="preserve"> </w:t>
      </w:r>
      <w:r>
        <w:rPr>
          <w:rStyle w:val="VerbatimChar"/>
        </w:rPr>
        <w:t xml:space="preserve">OeOrderAcceptReject</w:t>
      </w:r>
      <w:r>
        <w:t xml:space="preserve"> </w:t>
      </w:r>
      <w:r>
        <w:t xml:space="preserve">to identify rows for deletion. The delete operator consumes only the row locator (</w:t>
      </w:r>
      <w:r>
        <w:rPr>
          <w:rStyle w:val="VerbatimChar"/>
        </w:rPr>
        <w:t xml:space="preserve">Id</w:t>
      </w:r>
      <w:r>
        <w:t xml:space="preserve">). Every other column is read and then discarded. Same pattern, same cost dimensions, as the OeOrderAcceptReject CTE in</w:t>
      </w:r>
      <w:r>
        <w:t xml:space="preserve"> </w:t>
      </w:r>
      <w:r>
        <w:rPr>
          <w:rStyle w:val="VerbatimChar"/>
        </w:rPr>
        <w:t xml:space="preserve">lsp_DbDeleteOldRxData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irst-principles"/>
      <w:r>
        <w:t xml:space="preserve">5. First Principles</w:t>
      </w:r>
      <w:bookmarkEnd w:id="28"/>
    </w:p>
    <w:p>
      <w:pPr>
        <w:pStyle w:val="Heading3"/>
      </w:pPr>
      <w:bookmarkStart w:id="29" w:name="cte-delete-projection"/>
      <w:r>
        <w:t xml:space="preserve">5.1 CTE Delete Projection</w:t>
      </w:r>
      <w:bookmarkEnd w:id="29"/>
    </w:p>
    <w:p>
      <w:pPr>
        <w:pStyle w:val="FirstParagraph"/>
      </w:pPr>
      <w:r>
        <w:t xml:space="preserve">See [[CTE Delete Projection]] for the full pattern, the four cost dimensions (plan-shape constraint, key lookups, LOB page reads, memory grant), and how this differs from the general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antipattern.</w:t>
      </w:r>
    </w:p>
    <w:p>
      <w:pPr>
        <w:pStyle w:val="Heading3"/>
      </w:pPr>
      <w:bookmarkStart w:id="30" w:name="index-key-columns-vs-included-columns"/>
      <w:r>
        <w:t xml:space="preserve">5.2 Index Key Columns vs Included Columns</w:t>
      </w:r>
      <w:bookmarkEnd w:id="30"/>
    </w:p>
    <w:p>
      <w:pPr>
        <w:pStyle w:val="FirstParagraph"/>
      </w:pPr>
      <w:r>
        <w:t xml:space="preserve">The fix narrows the CTE projection to the primary key. The primary key is, by definition, present in every nonclustered index as the row locator. A nonclustered index on</w:t>
      </w:r>
      <w:r>
        <w:t xml:space="preserve"> </w:t>
      </w:r>
      <w:r>
        <w:rPr>
          <w:rStyle w:val="VerbatimChar"/>
        </w:rPr>
        <w:t xml:space="preserve">RejectDtTm</w:t>
      </w:r>
      <w:r>
        <w:t xml:space="preserve"> </w:t>
      </w:r>
      <w:r>
        <w:t xml:space="preserve">becomes a covering index for the v2 projection automatically. See [[Index Key Columns vs Included Columns]].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factor-commented"/>
      <w:r>
        <w:t xml:space="preserve">6. Refactor (commented)</w:t>
      </w:r>
      <w:bookmarkEnd w:id="31"/>
    </w:p>
    <w:p>
      <w:pPr>
        <w:pStyle w:val="FirstParagraph"/>
      </w:pPr>
      <w:r>
        <w:t xml:space="preserve">The full refactored procedure lives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 </w:t>
      </w:r>
      <w:r>
        <w:t xml:space="preserve">as v2. The diff against v1 is one line: the CTE projection on line 1590.</w:t>
      </w:r>
    </w:p>
    <w:p>
      <w:pPr>
        <w:pStyle w:val="SourceCode"/>
      </w:pPr>
      <w:r>
        <w:rPr>
          <w:rStyle w:val="NormalTok"/>
        </w:rPr>
        <w:t xml:space="preserve">;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Cte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(@NumOfRowsBlockSize)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OeOrderAcceptReject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RejectDtTm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@HistoryDtTm_EffectiveFrom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RejectDtTm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@HistoryDtTm_EffectiveTo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v2: project the PK (Id) only. The delete operator only needs the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row locator; v1's Select * materialized the full 60-column row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(with four varchar(1000+) fields) for every row in every block.</w:t>
      </w:r>
      <w:r>
        <w:br/>
      </w:r>
      <w:r>
        <w:rPr>
          <w:rStyle w:val="NormalTok"/>
        </w:rPr>
        <w:t xml:space="preserve">   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Cte</w:t>
      </w:r>
    </w:p>
    <w:p>
      <w:pPr>
        <w:pStyle w:val="FirstParagraph"/>
      </w:pPr>
      <w:r>
        <w:t xml:space="preserve">The where clause and order-by clause are unchanged. The CTE name is preserved. All other CTEs in the proc were already in PK-only form prior to this refactor and are not modified.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isk-rollback"/>
      <w:r>
        <w:t xml:space="preserve">7. Risk &amp; Rollback</w:t>
      </w:r>
      <w:bookmarkEnd w:id="32"/>
    </w:p>
    <w:p>
      <w:pPr>
        <w:pStyle w:val="Heading3"/>
      </w:pPr>
      <w:bookmarkStart w:id="33" w:name="risks"/>
      <w:r>
        <w:t xml:space="preserve">Risks</w:t>
      </w:r>
      <w:bookmarkEnd w:id="3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Row identity must be unchanged.</w:t>
      </w:r>
      <w:r>
        <w:t xml:space="preserve"> </w:t>
      </w:r>
      <w:r>
        <w:t xml:space="preserve">The set of rows the CTE represents is fully determined by the where-clause, the order-by-clause, and the top-N. The projection list cannot change which rows are in the CTE. v2 and v1 delete the same rows, by construction.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Id</w:t>
      </w:r>
      <w:r>
        <w:rPr>
          <w:b/>
        </w:rPr>
        <w:t xml:space="preserve"> </w:t>
      </w:r>
      <w:r>
        <w:rPr>
          <w:b/>
        </w:rPr>
        <w:t xml:space="preserve">is the primary key.</w:t>
      </w:r>
      <w:r>
        <w:t xml:space="preserve"> </w:t>
      </w:r>
      <w:r>
        <w:t xml:space="preserve">Confirmed against</w:t>
      </w:r>
      <w:r>
        <w:t xml:space="preserve"> </w:t>
      </w:r>
      <w:r>
        <w:rPr>
          <w:rStyle w:val="VerbatimChar"/>
        </w:rPr>
        <w:t xml:space="preserve">Tolleson_PA_tables.sql</w:t>
      </w:r>
      <w:r>
        <w:t xml:space="preserve"> </w:t>
      </w:r>
      <w:r>
        <w:t xml:space="preserve">line 5719:</w:t>
      </w:r>
      <w:r>
        <w:t xml:space="preserve"> </w:t>
      </w:r>
      <w:r>
        <w:rPr>
          <w:rStyle w:val="VerbatimChar"/>
        </w:rPr>
        <w:t xml:space="preserve">CONSTRAINT [PK_OeOrderAcceptReject] PRIMARY KEY CLUSTERED ([Id] ASC)</w:t>
      </w:r>
      <w:r>
        <w:t xml:space="preserve">.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also the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column.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Scope is one CTE.</w:t>
      </w:r>
      <w:r>
        <w:t xml:space="preserve"> </w:t>
      </w:r>
      <w:r>
        <w:t xml:space="preserve">The refactor touches only the OeOrderAcceptReject CTE on line 1590. The rest of the 1618-line proc is unchanged.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Cross-proc parity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lsp_DbDeleteOldRxData</w:t>
      </w:r>
      <w:r>
        <w:rPr>
          <w:b/>
        </w:rPr>
        <w:t xml:space="preserve">.</w:t>
      </w:r>
      <w:r>
        <w:t xml:space="preserve"> </w:t>
      </w:r>
      <w:r>
        <w:t xml:space="preserve">Both procs target the same table with the same pattern. The two refactors should be deployed together so both call sites benefit, and any post-deploy regression on the OeOrderAcceptReject access path surfaces at both procs consistently.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behavior change.</w:t>
      </w:r>
      <w:r>
        <w:t xml:space="preserve"> </w:t>
      </w:r>
      <w:r>
        <w:t xml:space="preserve">Purely a read-side optimization for one statement.</w:t>
      </w:r>
    </w:p>
    <w:p>
      <w:pPr>
        <w:pStyle w:val="Heading3"/>
      </w:pPr>
      <w:bookmarkStart w:id="34" w:name="rollback"/>
      <w:r>
        <w:t xml:space="preserve">Rollback</w:t>
      </w:r>
      <w:bookmarkEnd w:id="34"/>
    </w:p>
    <w:p>
      <w:pPr>
        <w:pStyle w:val="FirstParagraph"/>
      </w:pPr>
      <w:r>
        <w:t xml:space="preserve">DDL revert. Restore v1 via</w:t>
      </w:r>
      <w:r>
        <w:t xml:space="preserve"> </w:t>
      </w:r>
      <w:r>
        <w:rPr>
          <w:rStyle w:val="VerbatimChar"/>
        </w:rPr>
        <w:t xml:space="preserve">ALTER PROCEDURE</w:t>
      </w:r>
      <w:r>
        <w:t xml:space="preserve">. No compensating action.</w:t>
      </w:r>
    </w:p>
    <w:p>
      <w:pPr>
        <w:pStyle w:val="Heading3"/>
      </w:pPr>
      <w:bookmarkStart w:id="35" w:name="monitoring-window"/>
      <w:r>
        <w:t xml:space="preserve">Monitoring Window</w:t>
      </w:r>
      <w:bookmarkEnd w:id="35"/>
    </w:p>
    <w:p>
      <w:pPr>
        <w:pStyle w:val="FirstParagraph"/>
      </w:pPr>
      <w:r>
        <w:t xml:space="preserve">For the first 24 to 72 hours after deployment, watch:</w:t>
      </w:r>
    </w:p>
    <w:p>
      <w:pPr>
        <w:numPr>
          <w:ilvl w:val="0"/>
          <w:numId w:val="1003"/>
        </w:numPr>
        <w:pStyle w:val="Compact"/>
      </w:pPr>
      <w:r>
        <w:t xml:space="preserve">The nightly maintenance log entry for this proc and</w:t>
      </w:r>
      <w:r>
        <w:t xml:space="preserve"> </w:t>
      </w:r>
      <w:r>
        <w:rPr>
          <w:rStyle w:val="VerbatimChar"/>
        </w:rPr>
        <w:t xml:space="preserve">lsp_DbDeleteOldRxData</w:t>
      </w:r>
      <w:r>
        <w:t xml:space="preserve">. Wall-clock duration against prior-week runs.</w:t>
      </w:r>
    </w:p>
    <w:p>
      <w:pPr>
        <w:numPr>
          <w:ilvl w:val="0"/>
          <w:numId w:val="1003"/>
        </w:numPr>
        <w:pStyle w:val="Compact"/>
      </w:pPr>
      <w:r>
        <w:t xml:space="preserve">STATS IO on</w:t>
      </w:r>
      <w:r>
        <w:t xml:space="preserve"> </w:t>
      </w:r>
      <w:r>
        <w:rPr>
          <w:rStyle w:val="VerbatimChar"/>
        </w:rPr>
        <w:t xml:space="preserve">OeOrderAcceptReject</w:t>
      </w:r>
      <w:r>
        <w:t xml:space="preserve"> </w:t>
      </w:r>
      <w:r>
        <w:t xml:space="preserve">during both procs’ executions.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evidence-of-refactor-v2"/>
      <w:r>
        <w:t xml:space="preserve">8. Evidence of Refactor (v2)</w:t>
      </w:r>
      <w:bookmarkEnd w:id="36"/>
    </w:p>
    <w:p>
      <w:pPr>
        <w:pStyle w:val="FirstParagraph"/>
      </w:pPr>
      <w:r>
        <w:t xml:space="preserve">I capture STATS IO/TIME from the same MFC and same staged data state used for v1.</w:t>
      </w:r>
    </w:p>
    <w:p>
      <w:pPr>
        <w:pStyle w:val="SourceCode"/>
      </w:pPr>
      <w:r>
        <w:rPr>
          <w:rStyle w:val="VerbatimChar"/>
        </w:rPr>
        <w:t xml:space="preserve">(STATS IO + STATS TIME output for v2 goes here, scoped to OeOrderAcceptReject)</w:t>
      </w:r>
    </w:p>
    <w:p>
      <w:pPr>
        <w:pStyle w:val="FirstParagraph"/>
      </w:pPr>
      <w:r>
        <w:t xml:space="preserve">Expected plan summary, to be confirmed against</w:t>
      </w:r>
      <w:r>
        <w:t xml:space="preserve"> </w:t>
      </w:r>
      <w:r>
        <w:rPr>
          <w:rStyle w:val="VerbatimChar"/>
        </w:rPr>
        <w:t xml:space="preserve">lsp_DbPurgeHistoryData_refactor_plan.sqlplan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The output column list on the index access operator for the OeOrderAcceptReject CTE should show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only.</w:t>
      </w:r>
    </w:p>
    <w:p>
      <w:pPr>
        <w:numPr>
          <w:ilvl w:val="0"/>
          <w:numId w:val="1004"/>
        </w:numPr>
        <w:pStyle w:val="Compact"/>
      </w:pPr>
      <w:r>
        <w:t xml:space="preserve">The sort estimated row size should drop from the full-row width to the 8-byte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If a nonclustered index on</w:t>
      </w:r>
      <w:r>
        <w:t xml:space="preserve"> </w:t>
      </w:r>
      <w:r>
        <w:rPr>
          <w:rStyle w:val="VerbatimChar"/>
        </w:rPr>
        <w:t xml:space="preserve">RejectDtTm</w:t>
      </w:r>
      <w:r>
        <w:t xml:space="preserve"> </w:t>
      </w:r>
      <w:r>
        <w:t xml:space="preserve">exists, the optimizer should choose it; the two-sided range predicate is fully SARGable.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omparison-improvement"/>
      <w:r>
        <w:t xml:space="preserve">9. Comparison &amp; Improvement</w:t>
      </w:r>
      <w:bookmarkEnd w:id="37"/>
    </w:p>
    <w:p>
      <w:pPr>
        <w:pStyle w:val="FirstParagraph"/>
      </w:pPr>
      <w:r>
        <w:rPr>
          <w:i/>
        </w:rPr>
        <w:t xml:space="preserve">Filled in once both v1 and v2 STATS IO/TIME outputs are pasted above.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 (</w:t>
            </w:r>
            <w:r>
              <w:rPr>
                <w:rStyle w:val="VerbatimChar"/>
              </w:rPr>
              <w:t xml:space="preserve">Select *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(</w:t>
            </w:r>
            <w:r>
              <w:rPr>
                <w:rStyle w:val="VerbatimChar"/>
              </w:rPr>
              <w:t xml:space="preserve">Select Id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on OeOrderAcceptReject per block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Sort memory grant (KB)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CPU time for OeOrderAcceptReject statement (ms)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Elapsed time for OeOrderAcceptReject statement (ms)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Rows deleted from OeOrderAcceptReject (must match)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parity check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validation-checklist"/>
      <w:r>
        <w:t xml:space="preserve">10. Validation Checklist</w:t>
      </w:r>
      <w:bookmarkEnd w:id="38"/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Same data state.</w:t>
      </w:r>
      <w:r>
        <w:t xml:space="preserve"> </w:t>
      </w:r>
      <w:r>
        <w:t xml:space="preserve">Both v1 and v2 captures taken against the same data, back to back.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Warm cache only.</w:t>
      </w:r>
      <w:r>
        <w:t xml:space="preserve"> </w:t>
      </w:r>
      <w:r>
        <w:t xml:space="preserve">Both captures are the second of two consecutive runs.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Non-zero result set.</w:t>
      </w:r>
      <w:r>
        <w:t xml:space="preserve"> </w:t>
      </w:r>
      <w:r>
        <w:t xml:space="preserve">At least one full block of OeOrderAcceptReject was deleted in both runs.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Identical rows deleted from OeOrderAcceptReject.</w:t>
      </w:r>
      <w:r>
        <w:t xml:space="preserve"> </w:t>
      </w:r>
      <w:r>
        <w:t xml:space="preserve">Verifiable by snapshotting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for the qualifying set before each run.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Plan shape matches prediction.</w:t>
      </w:r>
      <w:r>
        <w:t xml:space="preserve"> </w:t>
      </w:r>
      <w:r>
        <w:t xml:space="preserve">v2 shows</w:t>
      </w:r>
      <w:r>
        <w:t xml:space="preserve"> </w:t>
      </w:r>
      <w:r>
        <w:rPr>
          <w:rStyle w:val="VerbatimChar"/>
        </w:rPr>
        <w:t xml:space="preserve">Id</w:t>
      </w:r>
      <w:r>
        <w:t xml:space="preserve">-only output on the OeOrderAcceptReject index access operator.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No new error or warning messages.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Warm-cache elapsed time at or below v1.</w:t>
      </w:r>
    </w:p>
    <w:p>
      <w:pPr>
        <w:pStyle w:val="FirstParagraph"/>
      </w:pPr>
      <w:r>
        <w:t xml:space="preserve">Net call: pending evidence capture.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open-items-future-improvements"/>
      <w:r>
        <w:t xml:space="preserve">11. Open Items / Future Improvements</w:t>
      </w:r>
      <w:bookmarkEnd w:id="39"/>
    </w:p>
    <w:p>
      <w:pPr>
        <w:pStyle w:val="Heading3"/>
      </w:pPr>
      <w:bookmarkStart w:id="40" w:name="index-recommendations"/>
      <w:r>
        <w:t xml:space="preserve">11.1 Index Recommendations</w:t>
      </w:r>
      <w:bookmarkEnd w:id="40"/>
    </w:p>
    <w:p>
      <w:pPr>
        <w:pStyle w:val="Heading4"/>
      </w:pPr>
      <w:bookmarkStart w:id="41" w:name="X5a98834d2709dce847464b0940cddf73fba9a63"/>
      <w:r>
        <w:t xml:space="preserve">A. Consider a nonclustered index on</w:t>
      </w:r>
      <w:r>
        <w:t xml:space="preserve"> </w:t>
      </w:r>
      <w:r>
        <w:rPr>
          <w:rStyle w:val="VerbatimChar"/>
        </w:rPr>
        <w:t xml:space="preserve">RejectDtTm</w:t>
      </w:r>
      <w:bookmarkEnd w:id="41"/>
    </w:p>
    <w:p>
      <w:pPr>
        <w:pStyle w:val="FirstParagraph"/>
      </w:pPr>
      <w:r>
        <w:t xml:space="preserve">Same recommendation as the</w:t>
      </w:r>
      <w:r>
        <w:t xml:space="preserve"> </w:t>
      </w:r>
      <w:r>
        <w:rPr>
          <w:rStyle w:val="VerbatimChar"/>
        </w:rPr>
        <w:t xml:space="preserve">lsp_DbDeleteOldRxData</w:t>
      </w:r>
      <w:r>
        <w:t xml:space="preserve"> </w:t>
      </w:r>
      <w:r>
        <w:t xml:space="preserve">analysis on this table. With the v2 PK-only projection, a nonclustered index on</w:t>
      </w:r>
      <w:r>
        <w:t xml:space="preserve"> </w:t>
      </w:r>
      <w:r>
        <w:rPr>
          <w:rStyle w:val="VerbatimChar"/>
        </w:rPr>
        <w:t xml:space="preserve">RejectDtTm</w:t>
      </w:r>
      <w:r>
        <w:t xml:space="preserve"> </w:t>
      </w:r>
      <w:r>
        <w:t xml:space="preserve">becomes a covering candidate. Index DDL: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IX_OeOrderAcceptReject_RejectDtTm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dbo.OeOrderAcceptReject (RejectDtTm)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(Fillfactor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Online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PK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carried as the row locator; no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is needed for the v2 projection. The two-sided range predicate in this proc is fully SARGable against this index.</w:t>
      </w:r>
    </w:p>
    <w:p>
      <w:pPr>
        <w:pStyle w:val="Heading3"/>
      </w:pPr>
      <w:bookmarkStart w:id="42" w:name="proc-level-changes"/>
      <w:r>
        <w:t xml:space="preserve">11.2 Proc-Level Changes</w:t>
      </w:r>
      <w:bookmarkEnd w:id="42"/>
    </w:p>
    <w:p>
      <w:pPr>
        <w:pStyle w:val="Heading4"/>
      </w:pPr>
      <w:bookmarkStart w:id="43" w:name="X588ca5910ae1eda87f544b762e266344f5403b9"/>
      <w:r>
        <w:t xml:space="preserve">A. Apply the same projection fix to remaining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patterns in the proc</w:t>
      </w:r>
      <w:bookmarkEnd w:id="43"/>
    </w:p>
    <w:p>
      <w:pPr>
        <w:pStyle w:val="FirstParagraph"/>
      </w:pPr>
      <w:r>
        <w:t xml:space="preserve">Other CTEs in this proc are already in PK-only form. Periodic grep across</w:t>
      </w:r>
      <w:r>
        <w:t xml:space="preserve"> </w:t>
      </w:r>
      <w:r>
        <w:rPr>
          <w:rStyle w:val="VerbatimChar"/>
        </w:rPr>
        <w:t xml:space="preserve">stored_procedures/</w:t>
      </w:r>
      <w:r>
        <w:t xml:space="preserve"> </w:t>
      </w:r>
      <w:r>
        <w:t xml:space="preserve">for any newly introduced</w:t>
      </w:r>
      <w:r>
        <w:t xml:space="preserve"> </w:t>
      </w:r>
      <w:r>
        <w:rPr>
          <w:rStyle w:val="VerbatimChar"/>
        </w:rPr>
        <w:t xml:space="preserve">Select Top * From &lt;Table&gt;</w:t>
      </w:r>
      <w:r>
        <w:t xml:space="preserve"> </w:t>
      </w:r>
      <w:r>
        <w:t xml:space="preserve">patterns inside CTE deletes is the right ongoing hygiene check. The masterclass note [[CTE Delete Projection]] documents the pattern for code review.</w:t>
      </w:r>
    </w:p>
    <w:p>
      <w:pPr>
        <w:pStyle w:val="Heading4"/>
      </w:pPr>
      <w:bookmarkStart w:id="44" w:name="X64c36e303158a2e9e58e87f0d0ca94f814a0fad"/>
      <w:r>
        <w:t xml:space="preserve">B. Cross-proc consolidation with</w:t>
      </w:r>
      <w:r>
        <w:t xml:space="preserve"> </w:t>
      </w:r>
      <w:r>
        <w:rPr>
          <w:rStyle w:val="VerbatimChar"/>
        </w:rPr>
        <w:t xml:space="preserve">lsp_DbDeleteOldRxData</w:t>
      </w:r>
      <w:bookmarkEnd w:id="44"/>
    </w:p>
    <w:p>
      <w:pPr>
        <w:pStyle w:val="FirstParagraph"/>
      </w:pPr>
      <w:r>
        <w:t xml:space="preserve">Both procs target the same table with the same pattern and the same intent (purge old OeOrderAcceptReject rows). The two could be consolidated into a single helper or factored so that the OeOrderAcceptReject purge logic exists in one place. Out of scope; flagged for the schema and proc roadmap.</w:t>
      </w:r>
    </w:p>
    <w:p>
      <w:pPr>
        <w:pStyle w:val="Heading3"/>
      </w:pPr>
      <w:bookmarkStart w:id="45" w:name="schema-level-changes"/>
      <w:r>
        <w:t xml:space="preserve">11.3 Schema-Level Changes</w:t>
      </w:r>
      <w:bookmarkEnd w:id="45"/>
    </w:p>
    <w:p>
      <w:pPr>
        <w:pStyle w:val="Heading4"/>
      </w:pPr>
      <w:bookmarkStart w:id="46" w:name="Xeeae1cf68df82496222739dd84c7f4174a77bbb"/>
      <w:r>
        <w:t xml:space="preserve">A. Re-evaluate the wide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columns on</w:t>
      </w:r>
      <w:r>
        <w:t xml:space="preserve"> </w:t>
      </w:r>
      <w:r>
        <w:rPr>
          <w:rStyle w:val="VerbatimChar"/>
        </w:rPr>
        <w:t xml:space="preserve">OeOrderAcceptReject</w:t>
      </w:r>
      <w:bookmarkEnd w:id="46"/>
    </w:p>
    <w:p>
      <w:pPr>
        <w:pStyle w:val="FirstParagraph"/>
      </w:pPr>
      <w:r>
        <w:t xml:space="preserve">Same note as the</w:t>
      </w:r>
      <w:r>
        <w:t xml:space="preserve"> </w:t>
      </w:r>
      <w:r>
        <w:rPr>
          <w:rStyle w:val="VerbatimChar"/>
        </w:rPr>
        <w:t xml:space="preserve">lsp_DbDeleteOldRxData</w:t>
      </w:r>
      <w:r>
        <w:t xml:space="preserve"> </w:t>
      </w:r>
      <w:r>
        <w:t xml:space="preserve">analysis. The four</w:t>
      </w:r>
      <w:r>
        <w:t xml:space="preserve"> </w:t>
      </w:r>
      <w:r>
        <w:rPr>
          <w:rStyle w:val="VerbatimChar"/>
        </w:rPr>
        <w:t xml:space="preserve">varchar(1000+)</w:t>
      </w:r>
      <w:r>
        <w:t xml:space="preserve"> </w:t>
      </w:r>
      <w:r>
        <w:t xml:space="preserve">columns drive the per-row size estimate. If actual content is consistently much shorter, the declared widths are over-provisioned. Out of scope.</w:t>
      </w:r>
    </w:p>
    <w:p>
      <w:pPr>
        <w:pStyle w:val="Heading4"/>
      </w:pPr>
      <w:bookmarkStart w:id="47" w:name="Xbc55811415e372b07e0ecf01d7fc3e9b236ef0e"/>
      <w:r>
        <w:t xml:space="preserve">B. Partition</w:t>
      </w:r>
      <w:r>
        <w:t xml:space="preserve"> </w:t>
      </w:r>
      <w:r>
        <w:rPr>
          <w:rStyle w:val="VerbatimChar"/>
        </w:rPr>
        <w:t xml:space="preserve">OeOrderAcceptReject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RejectDtTm</w:t>
      </w:r>
      <w:bookmarkEnd w:id="47"/>
    </w:p>
    <w:p>
      <w:pPr>
        <w:pStyle w:val="FirstParagraph"/>
      </w:pPr>
      <w:r>
        <w:rPr>
          <w:rStyle w:val="VerbatimChar"/>
        </w:rPr>
        <w:t xml:space="preserve">ScalabilityRoadmap_PartitioningAndArchitecture.md</w:t>
      </w:r>
      <w:r>
        <w:t xml:space="preserve"> </w:t>
      </w:r>
      <w:r>
        <w:t xml:space="preserve">covers the partitioning roadmap. Partition switching would collapse this entire purge into a metadata operation. The CTE projection fix is a stop-gap.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2026-05-15T13:29:07Z</dcterms:created>
  <dcterms:modified xsi:type="dcterms:W3CDTF">2026-05-15T13:29:07Z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