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b550cd1634dc93d49b372edb02cb46f4c8fa0"/>
      <w:r>
        <w:t xml:space="preserve">lsp_GovGetSingleVialSorterCounts: Refactor Analysis (v10 to v11)</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34 (Priority P2, status Not Started)</w:t>
      </w:r>
      <w:r>
        <w:t xml:space="preserve"> </w:t>
      </w:r>
      <w:r>
        <w:rPr>
          <w:b/>
        </w:rPr>
        <w:t xml:space="preserve">Deployment state:</w:t>
      </w:r>
      <w:r>
        <w:t xml:space="preserve"> </w:t>
      </w:r>
      <w:r>
        <w:t xml:space="preserve">Cataloged. Refactored.sql is a proposed v11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dbo.lsp_GovGetSingleVialSorterCounts</w:t>
      </w:r>
    </w:p>
    <w:p>
      <w:pPr>
        <w:pStyle w:val="BodyText"/>
      </w:pPr>
      <w:r>
        <w:rPr>
          <w:b/>
        </w:rPr>
        <w:t xml:space="preserve">Purpose in one line:</w:t>
      </w:r>
      <w:r>
        <w:t xml:space="preserve"> </w:t>
      </w:r>
      <w:r>
        <w:t xml:space="preserve">Returns one row per sorter ID (from 1 to N where N is the configured sorter count), with the count of queued single-vial Rxs and the count of on-route single-vial Rxs destined for that sorter.</w:t>
      </w:r>
    </w:p>
    <w:p>
      <w:pPr>
        <w:pStyle w:val="BodyText"/>
      </w:pPr>
      <w:r>
        <w:rPr>
          <w:b/>
        </w:rPr>
        <w:t xml:space="preserve">Tables touched:</w:t>
      </w:r>
    </w:p>
    <w:p>
      <w:pPr>
        <w:numPr>
          <w:ilvl w:val="0"/>
          <w:numId w:val="1001"/>
        </w:numPr>
        <w:pStyle w:val="Compact"/>
      </w:pPr>
      <w:r>
        <w:rPr>
          <w:rStyle w:val="VerbatimChar"/>
        </w:rPr>
        <w:t xml:space="preserve">SrtSorter</w:t>
      </w:r>
      <w:r>
        <w:t xml:space="preserve"> </w:t>
      </w:r>
      <w:r>
        <w:t xml:space="preserve">(read once for the sorter count).</w:t>
      </w:r>
    </w:p>
    <w:p>
      <w:pPr>
        <w:numPr>
          <w:ilvl w:val="0"/>
          <w:numId w:val="1001"/>
        </w:numPr>
        <w:pStyle w:val="Compact"/>
      </w:pPr>
      <w:r>
        <w:rPr>
          <w:rStyle w:val="VerbatimChar"/>
        </w:rPr>
        <w:t xml:space="preserve">TallyNumbers</w:t>
      </w:r>
      <w:r>
        <w:t xml:space="preserve"> </w:t>
      </w:r>
      <w:r>
        <w:t xml:space="preserve">(used as a row source for the SorterList CTE).</w:t>
      </w:r>
    </w:p>
    <w:p>
      <w:pPr>
        <w:numPr>
          <w:ilvl w:val="0"/>
          <w:numId w:val="1001"/>
        </w:numPr>
        <w:pStyle w:val="Compact"/>
      </w:pPr>
      <w:r>
        <w:rPr>
          <w:rStyle w:val="VerbatimChar"/>
        </w:rPr>
        <w:t xml:space="preserve">GovRx</w:t>
      </w:r>
      <w:r>
        <w:t xml:space="preserve"> </w:t>
      </w:r>
      <w:r>
        <w:t xml:space="preserve">(joined to</w:t>
      </w:r>
      <w:r>
        <w:t xml:space="preserve"> </w:t>
      </w:r>
      <w:r>
        <w:rPr>
          <w:rStyle w:val="VerbatimChar"/>
        </w:rPr>
        <w:t xml:space="preserve">OeOrder</w:t>
      </w:r>
      <w:r>
        <w:t xml:space="preserve">; the source of the sorter assignment and OrderTypeCode filter).</w:t>
      </w:r>
    </w:p>
    <w:p>
      <w:pPr>
        <w:numPr>
          <w:ilvl w:val="0"/>
          <w:numId w:val="1001"/>
        </w:numPr>
        <w:pStyle w:val="Compact"/>
      </w:pPr>
      <w:r>
        <w:rPr>
          <w:rStyle w:val="VerbatimChar"/>
        </w:rPr>
        <w:t xml:space="preserve">OeOrder</w:t>
      </w:r>
      <w:r>
        <w:t xml:space="preserve"> </w:t>
      </w:r>
      <w:r>
        <w:t xml:space="preserve">(joined to</w:t>
      </w:r>
      <w:r>
        <w:t xml:space="preserve"> </w:t>
      </w:r>
      <w:r>
        <w:rPr>
          <w:rStyle w:val="VerbatimChar"/>
        </w:rPr>
        <w:t xml:space="preserve">GovRx</w:t>
      </w:r>
      <w:r>
        <w:t xml:space="preserve">; provides OrderStatus, StatusReason, PendingOrderStatus, OrderId).</w:t>
      </w:r>
    </w:p>
    <w:p>
      <w:pPr>
        <w:pStyle w:val="FirstParagraph"/>
      </w:pPr>
      <w:r>
        <w:rPr>
          <w:b/>
        </w:rPr>
        <w:t xml:space="preserve">Indexes used (predicted from the v11 body):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SrtSorter</w:t>
            </w:r>
          </w:p>
        </w:tc>
        <w:tc>
          <w:p>
            <w:pPr>
              <w:pStyle w:val="Compact"/>
              <w:jc w:val="left"/>
            </w:pPr>
            <w:r>
              <w:t xml:space="preserve">clustered (assumed)</w:t>
            </w:r>
          </w:p>
        </w:tc>
        <w:tc>
          <w:p>
            <w:pPr>
              <w:pStyle w:val="Compact"/>
              <w:jc w:val="left"/>
            </w:pPr>
            <w:r>
              <w:t xml:space="preserve">sorter-count scan</w:t>
            </w:r>
          </w:p>
        </w:tc>
      </w:tr>
      <w:tr>
        <w:tc>
          <w:p>
            <w:pPr>
              <w:pStyle w:val="Compact"/>
              <w:jc w:val="left"/>
            </w:pPr>
            <w:r>
              <w:rPr>
                <w:rStyle w:val="VerbatimChar"/>
              </w:rPr>
              <w:t xml:space="preserve">TallyNumbers</w:t>
            </w:r>
          </w:p>
        </w:tc>
        <w:tc>
          <w:p>
            <w:pPr>
              <w:pStyle w:val="Compact"/>
              <w:jc w:val="left"/>
            </w:pPr>
            <w:r>
              <w:t xml:space="preserve">clustered (assumed)</w:t>
            </w:r>
          </w:p>
        </w:tc>
        <w:tc>
          <w:p>
            <w:pPr>
              <w:pStyle w:val="Compact"/>
              <w:jc w:val="left"/>
            </w:pPr>
            <w:r>
              <w:t xml:space="preserve">row source</w:t>
            </w:r>
          </w:p>
        </w:tc>
      </w:tr>
      <w:tr>
        <w:tc>
          <w:p>
            <w:pPr>
              <w:pStyle w:val="Compact"/>
              <w:jc w:val="left"/>
            </w:pPr>
            <w:r>
              <w:rPr>
                <w:rStyle w:val="VerbatimChar"/>
              </w:rPr>
              <w:t xml:space="preserve">GovRx</w:t>
            </w:r>
          </w:p>
        </w:tc>
        <w:tc>
          <w:p>
            <w:pPr>
              <w:pStyle w:val="Compact"/>
              <w:jc w:val="left"/>
            </w:pPr>
            <w:r>
              <w:t xml:space="preserve">NC on</w:t>
            </w:r>
            <w:r>
              <w:t xml:space="preserve"> </w:t>
            </w:r>
            <w:r>
              <w:rPr>
                <w:rStyle w:val="VerbatimChar"/>
              </w:rPr>
              <w:t xml:space="preserve">OrderTypeCode, SorterId</w:t>
            </w:r>
            <w:r>
              <w:t xml:space="preserve"> </w:t>
            </w:r>
            <w:r>
              <w:t xml:space="preserve">(assumed)</w:t>
            </w:r>
          </w:p>
        </w:tc>
        <w:tc>
          <w:p>
            <w:pPr>
              <w:pStyle w:val="Compact"/>
              <w:jc w:val="left"/>
            </w:pPr>
            <w:r>
              <w:t xml:space="preserve">the consolidated scan</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w:t>
            </w:r>
          </w:p>
        </w:tc>
        <w:tc>
          <w:p>
            <w:pPr>
              <w:pStyle w:val="Compact"/>
              <w:jc w:val="left"/>
            </w:pPr>
            <w:r>
              <w:t xml:space="preserve">join</w:t>
            </w:r>
          </w:p>
        </w:tc>
      </w:tr>
    </w:tbl>
    <w:p>
      <w:pPr>
        <w:pStyle w:val="BodyText"/>
      </w:pPr>
      <w:r>
        <w:rPr>
          <w:b/>
        </w:rPr>
        <w:t xml:space="preserve">Callers:</w:t>
      </w:r>
      <w:r>
        <w:t xml:space="preserve"> </w:t>
      </w:r>
      <w:r>
        <w:t xml:space="preserve">the order governor monitoring dashboard. Called on a polling cadence.</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two of four expense lists (Duration #22, Expense #17) with</w:t>
      </w:r>
      <w:r>
        <w:t xml:space="preserve"> </w:t>
      </w:r>
      <w:r>
        <w:t xml:space="preserve">“</w:t>
      </w:r>
      <w:r>
        <w:t xml:space="preserve">algorithmic / plan rewrite candidate</w:t>
      </w:r>
      <w:r>
        <w:t xml:space="preserve">”</w:t>
      </w:r>
      <w:r>
        <w:t xml:space="preserve"> </w:t>
      </w:r>
      <w:r>
        <w:t xml:space="preserve">as the dominant heuristic. The procedure carries no input parameters, so parameter sniffing is not the issue. The procedure is structurally simple but reads the same</w:t>
      </w:r>
      <w:r>
        <w:t xml:space="preserve"> </w:t>
      </w:r>
      <w:r>
        <w:rPr>
          <w:rStyle w:val="VerbatimChar"/>
        </w:rPr>
        <w:t xml:space="preserve">GovRx + OeOrder</w:t>
      </w:r>
      <w:r>
        <w:t xml:space="preserve"> </w:t>
      </w:r>
      <w:r>
        <w:t xml:space="preserve">join twice.</w:t>
      </w:r>
    </w:p>
    <w:p>
      <w:pPr>
        <w:pStyle w:val="BodyText"/>
      </w:pPr>
      <w:r>
        <w:t xml:space="preserve">The dominant cost driver in v10 is the duplicated scan. The QueuedCounts CTE and the OnRouteCounts CTE both join</w:t>
      </w:r>
      <w:r>
        <w:t xml:space="preserve"> </w:t>
      </w:r>
      <w:r>
        <w:rPr>
          <w:rStyle w:val="VerbatimChar"/>
        </w:rPr>
        <w:t xml:space="preserve">GovRx + OeOrder</w:t>
      </w:r>
      <w:r>
        <w:t xml:space="preserve"> </w:t>
      </w:r>
      <w:r>
        <w:t xml:space="preserve">and both filter to</w:t>
      </w:r>
      <w:r>
        <w:t xml:space="preserve"> </w:t>
      </w:r>
      <w:r>
        <w:rPr>
          <w:rStyle w:val="VerbatimChar"/>
        </w:rPr>
        <w:t xml:space="preserve">G.OrderTypeCode = 'SV'</w:t>
      </w:r>
      <w:r>
        <w:t xml:space="preserve">. The WHERE clauses differ between the two CTEs (one matches Pending+Awaiting-Governor-Allocation; the other matches the rest), but the two filters are disjoint, which means the same physical scan can satisfy both via conditional aggregation. One scan with two conditional Sum() expressions replaces the two CTE scans.</w:t>
      </w:r>
    </w:p>
    <w:p>
      <w:pPr>
        <w:pStyle w:val="BodyText"/>
      </w:pPr>
      <w:r>
        <w:t xml:space="preserve">A secondary observation is that the</w:t>
      </w:r>
      <w:r>
        <w:t xml:space="preserve"> </w:t>
      </w:r>
      <w:r>
        <w:rPr>
          <w:rStyle w:val="VerbatimChar"/>
        </w:rPr>
        <w:t xml:space="preserve">TallyNumbers</w:t>
      </w:r>
      <w:r>
        <w:t xml:space="preserve"> </w:t>
      </w:r>
      <w:r>
        <w:t xml:space="preserve">table is used purely as a row source for generating SorterId values from 1 to N. The use is correct; the comment in v10 notes</w:t>
      </w:r>
      <w:r>
        <w:t xml:space="preserve"> </w:t>
      </w:r>
      <w:r>
        <w:t xml:space="preserve">“</w:t>
      </w:r>
      <w:r>
        <w:t xml:space="preserve">sufficient rows for up to ~2048 sorters.</w:t>
      </w:r>
      <w:r>
        <w:t xml:space="preserve">”</w:t>
      </w:r>
      <w:r>
        <w:t xml:space="preserve"> </w:t>
      </w:r>
      <w:r>
        <w:t xml:space="preserve">No change needed.</w:t>
      </w:r>
    </w:p>
    <w:p>
      <w:r>
        <w:pict>
          <v:rect style="width:0;height:1.5pt" o:hralign="center" o:hrstd="t" o:hr="t"/>
        </w:pict>
      </w:r>
    </w:p>
    <w:p>
      <w:pPr>
        <w:pStyle w:val="Heading2"/>
      </w:pPr>
      <w:bookmarkStart w:id="23" w:name="evidence-of-original-v10"/>
      <w:r>
        <w:t xml:space="preserve">3. Evidence of Original (v10)</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Heading3"/>
      </w:pPr>
      <w:bookmarkStart w:id="25" w:name="X6823b653a2f37326a8d0bc908c9bfe1cb42775b"/>
      <w:r>
        <w:t xml:space="preserve">3.2 STATISTICS IO and STATISTICS TIME from a representative MFC run (v10)</w:t>
      </w:r>
      <w:bookmarkEnd w:id="25"/>
    </w:p>
    <w:p>
      <w:pPr>
        <w:pStyle w:val="SourceCode"/>
      </w:pPr>
      <w:r>
        <w:rPr>
          <w:rStyle w:val="VerbatimChar"/>
        </w:rPr>
        <w:t xml:space="preserve">(paste STATS IO / STATS TIME for v10 against the same data state used for v11 here)</w:t>
      </w:r>
    </w:p>
    <w:p>
      <w:pPr>
        <w:pStyle w:val="FirstParagraph"/>
      </w:pPr>
      <w:r>
        <w:t xml:space="preserve">The expected v10 signature is two scans of</w:t>
      </w:r>
      <w:r>
        <w:t xml:space="preserve"> </w:t>
      </w:r>
      <w:r>
        <w:rPr>
          <w:rStyle w:val="VerbatimChar"/>
        </w:rPr>
        <w:t xml:space="preserve">GovRx + OeOrder</w:t>
      </w:r>
      <w:r>
        <w:t xml:space="preserve"> </w:t>
      </w:r>
      <w:r>
        <w:t xml:space="preserve">filtered to</w:t>
      </w:r>
      <w:r>
        <w:t xml:space="preserve"> </w:t>
      </w:r>
      <w:r>
        <w:rPr>
          <w:rStyle w:val="VerbatimChar"/>
        </w:rPr>
        <w:t xml:space="preserve">OrderTypeCode = 'SV'</w:t>
      </w:r>
      <w:r>
        <w:t xml:space="preserv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rPr>
          <w:b/>
        </w:rPr>
        <w:t xml:space="preserve">Issue 1: Duplicated scan of</w:t>
      </w:r>
      <w:r>
        <w:rPr>
          <w:b/>
        </w:rPr>
        <w:t xml:space="preserve"> </w:t>
      </w:r>
      <w:r>
        <w:rPr>
          <w:rStyle w:val="VerbatimChar"/>
          <w:b/>
        </w:rPr>
        <w:t xml:space="preserve">GovRx + OeOrder</w:t>
      </w:r>
      <w:r>
        <w:rPr>
          <w:b/>
        </w:rPr>
        <w:t xml:space="preserve"> </w:t>
      </w:r>
      <w:r>
        <w:rPr>
          <w:b/>
        </w:rPr>
        <w:t xml:space="preserve">across the two CTEs.</w:t>
      </w:r>
      <w:r>
        <w:t xml:space="preserve"> </w:t>
      </w:r>
      <w:r>
        <w:t xml:space="preserve">Both filter to</w:t>
      </w:r>
      <w:r>
        <w:t xml:space="preserve"> </w:t>
      </w:r>
      <w:r>
        <w:rPr>
          <w:rStyle w:val="VerbatimChar"/>
        </w:rPr>
        <w:t xml:space="preserve">OrderTypeCode = 'SV'</w:t>
      </w:r>
      <w:r>
        <w:t xml:space="preserve">; the WHERE clauses are otherwise disjoint. One scan with conditional aggregation produces both counts.</w:t>
      </w:r>
    </w:p>
    <w:p>
      <w:pPr>
        <w:pStyle w:val="BodyText"/>
      </w:pPr>
      <w:r>
        <w:rPr>
          <w:b/>
        </w:rPr>
        <w:t xml:space="preserve">Issue 2: No</w:t>
      </w:r>
      <w:r>
        <w:rPr>
          <w:b/>
        </w:rPr>
        <w:t xml:space="preserve"> </w:t>
      </w:r>
      <w:r>
        <w:rPr>
          <w:rStyle w:val="VerbatimChar"/>
          <w:b/>
        </w:rPr>
        <w:t xml:space="preserve">Option (Recompile)</w:t>
      </w:r>
      <w:r>
        <w:rPr>
          <w:b/>
        </w:rPr>
        <w:t xml:space="preserve"> </w:t>
      </w:r>
      <w:r>
        <w:rPr>
          <w:b/>
        </w:rPr>
        <w:t xml:space="preserve">on the final SELECT.</w:t>
      </w:r>
      <w:r>
        <w:t xml:space="preserve"> </w:t>
      </w:r>
      <w:r>
        <w:t xml:space="preserve">Low impact because there are no input parameters, but the sorter count varies across sites and the optimizer’s cardinality estimate for the TallyNumbers Top can affect the join shape. Recompile is a small safeguard.</w:t>
      </w:r>
    </w:p>
    <w:p>
      <w:r>
        <w:pict>
          <v:rect style="width:0;height:1.5pt" o:hralign="center" o:hrstd="t" o:hr="t"/>
        </w:pict>
      </w:r>
    </w:p>
    <w:p>
      <w:pPr>
        <w:pStyle w:val="Heading2"/>
      </w:pPr>
      <w:bookmarkStart w:id="27" w:name="first-principles"/>
      <w:r>
        <w:t xml:space="preserve">5. First Principles</w:t>
      </w:r>
      <w:bookmarkEnd w:id="27"/>
    </w:p>
    <w:p>
      <w:pPr>
        <w:pStyle w:val="FirstParagraph"/>
      </w:pPr>
      <w:r>
        <w:rPr>
          <w:b/>
        </w:rPr>
        <w:t xml:space="preserve">[[Conditional Aggregation Consolidation]] applied to two-CTEs-over-same-source.</w:t>
      </w:r>
      <w:r>
        <w:t xml:space="preserve"> </w:t>
      </w:r>
      <w:r>
        <w:t xml:space="preserve">The two CTEs aggregate the same join with different filters. The consolidated form computes both Sum() expressions in one Group By, with the filter logic moved inside the Case expressions of the Sum().</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v11 body is reproduced in</w:t>
      </w:r>
      <w:r>
        <w:t xml:space="preserve"> </w:t>
      </w:r>
      <w:r>
        <w:rPr>
          <w:rStyle w:val="VerbatimChar"/>
        </w:rPr>
        <w:t xml:space="preserve">Refactored.sql</w:t>
      </w:r>
      <w:r>
        <w:t xml:space="preserve">. Salient block below.</w:t>
      </w:r>
    </w:p>
    <w:p>
      <w:pPr>
        <w:pStyle w:val="SourceCode"/>
      </w:pPr>
      <w:r>
        <w:rPr>
          <w:rStyle w:val="NormalTok"/>
        </w:rPr>
        <w:t xml:space="preserve">;</w:t>
      </w:r>
      <w:r>
        <w:rPr>
          <w:rStyle w:val="KeywordTok"/>
        </w:rPr>
        <w:t xml:space="preserve">With</w:t>
      </w:r>
      <w:r>
        <w:rPr>
          <w:rStyle w:val="NormalTok"/>
        </w:rPr>
        <w:t xml:space="preserve"> SorterList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rPr>
          <w:rStyle w:val="NormalTok"/>
        </w:rPr>
        <w:t xml:space="preserve"> Top (@NumOfSorters)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Select</w:t>
      </w:r>
      <w:r>
        <w:rPr>
          <w:rStyle w:val="NormalTok"/>
        </w:rPr>
        <w:t xml:space="preserve"> </w:t>
      </w:r>
      <w:r>
        <w:rPr>
          <w:rStyle w:val="KeywordTok"/>
        </w:rPr>
        <w:t xml:space="preserve">Null</w:t>
      </w:r>
      <w:r>
        <w:rPr>
          <w:rStyle w:val="NormalTok"/>
        </w:rPr>
        <w:t xml:space="preserve">)) </w:t>
      </w:r>
      <w:r>
        <w:rPr>
          <w:rStyle w:val="KeywordTok"/>
        </w:rPr>
        <w:t xml:space="preserve">As</w:t>
      </w:r>
      <w:r>
        <w:rPr>
          <w:rStyle w:val="NormalTok"/>
        </w:rPr>
        <w:t xml:space="preserve"> SorterId</w:t>
      </w:r>
      <w:r>
        <w:br/>
      </w:r>
      <w:r>
        <w:rPr>
          <w:rStyle w:val="NormalTok"/>
        </w:rPr>
        <w:t xml:space="preserve">    </w:t>
      </w:r>
      <w:r>
        <w:rPr>
          <w:rStyle w:val="KeywordTok"/>
        </w:rPr>
        <w:t xml:space="preserve">From</w:t>
      </w:r>
      <w:r>
        <w:rPr>
          <w:rStyle w:val="NormalTok"/>
        </w:rPr>
        <w:t xml:space="preserve"> TallyNumbers</w:t>
      </w:r>
      <w:r>
        <w:br/>
      </w:r>
      <w:r>
        <w:rPr>
          <w:rStyle w:val="NormalTok"/>
        </w:rPr>
        <w:t xml:space="preserve">)</w:t>
      </w:r>
      <w:r>
        <w:br/>
      </w:r>
      <w:r>
        <w:rPr>
          <w:rStyle w:val="NormalTok"/>
        </w:rPr>
        <w:t xml:space="preserve">, RxCounts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G.SorterId</w:t>
      </w:r>
      <w:r>
        <w:br/>
      </w:r>
      <w:r>
        <w:rPr>
          <w:rStyle w:val="NormalTok"/>
        </w:rPr>
        <w:t xml:space="preserve">        , [QueuedRxCount]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O.OrderStatus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KeywordTok"/>
        </w:rPr>
        <w:t xml:space="preserve">And</w:t>
      </w:r>
      <w:r>
        <w:rPr>
          <w:rStyle w:val="NormalTok"/>
        </w:rPr>
        <w:t xml:space="preserve"> O.StatusReason </w:t>
      </w:r>
      <w:r>
        <w:rPr>
          <w:rStyle w:val="OperatorTok"/>
        </w:rPr>
        <w:t xml:space="preserve">=</w:t>
      </w:r>
      <w:r>
        <w:rPr>
          <w:rStyle w:val="NormalTok"/>
        </w:rPr>
        <w:t xml:space="preserve"> </w:t>
      </w:r>
      <w:r>
        <w:rPr>
          <w:rStyle w:val="StringTok"/>
        </w:rPr>
        <w:t xml:space="preserve">'Awaiting Governor Allocation'</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 [OnRouteRxCount]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br/>
      </w:r>
      <w:r>
        <w:rPr>
          <w:rStyle w:val="NormalTok"/>
        </w:rPr>
        <w:t xml:space="preserve">                                    </w:t>
      </w:r>
      <w:r>
        <w:rPr>
          <w:rStyle w:val="ControlFlowTok"/>
        </w:rPr>
        <w:t xml:space="preserve">When</w:t>
      </w:r>
      <w:r>
        <w:rPr>
          <w:rStyle w:val="NormalTok"/>
        </w:rPr>
        <w:t xml:space="preserve"> </w:t>
      </w:r>
      <w:r>
        <w:rPr>
          <w:rStyle w:val="KeywordTok"/>
        </w:rPr>
        <w:t xml:space="preserve">Not</w:t>
      </w:r>
      <w:r>
        <w:rPr>
          <w:rStyle w:val="NormalTok"/>
        </w:rPr>
        <w:t xml:space="preserve"> (O.OrderStatus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Or</w:t>
      </w:r>
      <w:r>
        <w:rPr>
          <w:rStyle w:val="NormalTok"/>
        </w:rPr>
        <w:t xml:space="preserve"> O.PendingOrderStatus </w:t>
      </w:r>
      <w:r>
        <w:rPr>
          <w:rStyle w:val="OperatorTok"/>
        </w:rPr>
        <w:t xml:space="preserve">=</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KeywordTok"/>
        </w:rPr>
        <w:t xml:space="preserve">And</w:t>
      </w:r>
      <w:r>
        <w:rPr>
          <w:rStyle w:val="NormalTok"/>
        </w:rPr>
        <w:t xml:space="preserve"> O.OrderStatus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'Split/%'</w:t>
      </w:r>
      <w:r>
        <w:br/>
      </w:r>
      <w:r>
        <w:rPr>
          <w:rStyle w:val="NormalTok"/>
        </w:rPr>
        <w:t xml:space="preserve">                                     </w:t>
      </w:r>
      <w:r>
        <w:rPr>
          <w:rStyle w:val="KeywordTok"/>
        </w:rPr>
        <w:t xml:space="preserve">And</w:t>
      </w:r>
      <w:r>
        <w:rPr>
          <w:rStyle w:val="NormalTok"/>
        </w:rPr>
        <w:t xml:space="preserve"> O.OrderId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'%[(&lt;][1-8][)&gt;]'</w:t>
      </w:r>
      <w:r>
        <w:br/>
      </w:r>
      <w:r>
        <w:rPr>
          <w:rStyle w:val="NormalTok"/>
        </w:rPr>
        <w:t xml:space="preserve">                                     </w:t>
      </w:r>
      <w:r>
        <w:rPr>
          <w:rStyle w:val="KeywordTok"/>
        </w:rPr>
        <w:t xml:space="preserve">And</w:t>
      </w:r>
      <w:r>
        <w:rPr>
          <w:rStyle w:val="NormalTok"/>
        </w:rPr>
        <w:t xml:space="preserve"> G.RxCvyStateCode </w:t>
      </w:r>
      <w:r>
        <w:rPr>
          <w:rStyle w:val="OperatorTok"/>
        </w:rPr>
        <w:t xml:space="preserve">&lt;&gt;</w:t>
      </w:r>
      <w:r>
        <w:rPr>
          <w:rStyle w:val="NormalTok"/>
        </w:rPr>
        <w:t xml:space="preserve"> </w:t>
      </w:r>
      <w:r>
        <w:rPr>
          <w:rStyle w:val="StringTok"/>
        </w:rPr>
        <w:t xml:space="preserve">'C'</w:t>
      </w:r>
      <w:r>
        <w:br/>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KeywordTok"/>
        </w:rPr>
        <w:t xml:space="preserve">From</w:t>
      </w:r>
      <w:r>
        <w:rPr>
          <w:rStyle w:val="NormalTok"/>
        </w:rPr>
        <w:t xml:space="preserve"> GovRx G </w:t>
      </w:r>
      <w:r>
        <w:rPr>
          <w:rStyle w:val="KeywordTok"/>
        </w:rPr>
        <w:t xml:space="preserve">With</w:t>
      </w:r>
      <w:r>
        <w:rPr>
          <w:rStyle w:val="NormalTok"/>
        </w:rPr>
        <w:t xml:space="preserve"> (NoLock)</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OeOrder O </w:t>
      </w:r>
      <w:r>
        <w:rPr>
          <w:rStyle w:val="KeywordTok"/>
        </w:rPr>
        <w:t xml:space="preserve">With</w:t>
      </w:r>
      <w:r>
        <w:rPr>
          <w:rStyle w:val="NormalTok"/>
        </w:rPr>
        <w:t xml:space="preserve"> (NoLock) </w:t>
      </w:r>
      <w:r>
        <w:rPr>
          <w:rStyle w:val="KeywordTok"/>
        </w:rPr>
        <w:t xml:space="preserve">On</w:t>
      </w:r>
      <w:r>
        <w:rPr>
          <w:rStyle w:val="NormalTok"/>
        </w:rPr>
        <w:t xml:space="preserve"> G.OrderId </w:t>
      </w:r>
      <w:r>
        <w:rPr>
          <w:rStyle w:val="OperatorTok"/>
        </w:rPr>
        <w:t xml:space="preserve">=</w:t>
      </w:r>
      <w:r>
        <w:rPr>
          <w:rStyle w:val="NormalTok"/>
        </w:rPr>
        <w:t xml:space="preserve"> O.OrderId</w:t>
      </w:r>
      <w:r>
        <w:br/>
      </w:r>
      <w:r>
        <w:rPr>
          <w:rStyle w:val="NormalTok"/>
        </w:rPr>
        <w:t xml:space="preserve">    </w:t>
      </w:r>
      <w:r>
        <w:rPr>
          <w:rStyle w:val="KeywordTok"/>
        </w:rPr>
        <w:t xml:space="preserve">Where</w:t>
      </w:r>
      <w:r>
        <w:rPr>
          <w:rStyle w:val="NormalTok"/>
        </w:rPr>
        <w:t xml:space="preserve"> G.OrderTypeCode </w:t>
      </w:r>
      <w:r>
        <w:rPr>
          <w:rStyle w:val="OperatorTok"/>
        </w:rPr>
        <w:t xml:space="preserve">=</w:t>
      </w:r>
      <w:r>
        <w:rPr>
          <w:rStyle w:val="NormalTok"/>
        </w:rPr>
        <w:t xml:space="preserve"> </w:t>
      </w:r>
      <w:r>
        <w:rPr>
          <w:rStyle w:val="StringTok"/>
        </w:rPr>
        <w:t xml:space="preserve">'SV'</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G.SorterId</w:t>
      </w:r>
      <w:r>
        <w:br/>
      </w:r>
      <w:r>
        <w:rPr>
          <w:rStyle w:val="NormalTok"/>
        </w:rPr>
        <w:t xml:space="preserve">)</w:t>
      </w:r>
      <w:r>
        <w:br/>
      </w:r>
      <w:r>
        <w:rPr>
          <w:rStyle w:val="KeywordTok"/>
        </w:rPr>
        <w:t xml:space="preserve">Select</w:t>
      </w:r>
      <w:r>
        <w:rPr>
          <w:rStyle w:val="NormalTok"/>
        </w:rPr>
        <w:t xml:space="preserve"> SL.SorterId, IsNull(RC.QueuedRxCount, </w:t>
      </w:r>
      <w:r>
        <w:rPr>
          <w:rStyle w:val="DecValTok"/>
        </w:rPr>
        <w:t xml:space="preserve">0</w:t>
      </w:r>
      <w:r>
        <w:rPr>
          <w:rStyle w:val="NormalTok"/>
        </w:rPr>
        <w:t xml:space="preserve">), IsNull(RC.OnRouteRxCount, </w:t>
      </w:r>
      <w:r>
        <w:rPr>
          <w:rStyle w:val="DecValTok"/>
        </w:rPr>
        <w:t xml:space="preserve">0</w:t>
      </w:r>
      <w:r>
        <w:rPr>
          <w:rStyle w:val="NormalTok"/>
        </w:rPr>
        <w:t xml:space="preserve">)</w:t>
      </w:r>
      <w:r>
        <w:br/>
      </w:r>
      <w:r>
        <w:rPr>
          <w:rStyle w:val="KeywordTok"/>
        </w:rPr>
        <w:t xml:space="preserve">From</w:t>
      </w:r>
      <w:r>
        <w:rPr>
          <w:rStyle w:val="NormalTok"/>
        </w:rPr>
        <w:t xml:space="preserve"> SorterList SL</w:t>
      </w:r>
      <w:r>
        <w:br/>
      </w:r>
      <w:r>
        <w:rPr>
          <w:rStyle w:val="KeywordTok"/>
        </w:rPr>
        <w:t xml:space="preserve">Left</w:t>
      </w:r>
      <w:r>
        <w:rPr>
          <w:rStyle w:val="NormalTok"/>
        </w:rPr>
        <w:t xml:space="preserve"> </w:t>
      </w:r>
      <w:r>
        <w:rPr>
          <w:rStyle w:val="KeywordTok"/>
        </w:rPr>
        <w:t xml:space="preserve">Join</w:t>
      </w:r>
      <w:r>
        <w:rPr>
          <w:rStyle w:val="NormalTok"/>
        </w:rPr>
        <w:t xml:space="preserve"> RxCounts RC </w:t>
      </w:r>
      <w:r>
        <w:rPr>
          <w:rStyle w:val="KeywordTok"/>
        </w:rPr>
        <w:t xml:space="preserve">On</w:t>
      </w:r>
      <w:r>
        <w:rPr>
          <w:rStyle w:val="NormalTok"/>
        </w:rPr>
        <w:t xml:space="preserve"> RC.SorterId </w:t>
      </w:r>
      <w:r>
        <w:rPr>
          <w:rStyle w:val="OperatorTok"/>
        </w:rPr>
        <w:t xml:space="preserve">=</w:t>
      </w:r>
      <w:r>
        <w:rPr>
          <w:rStyle w:val="NormalTok"/>
        </w:rPr>
        <w:t xml:space="preserve"> SL.SorterId</w:t>
      </w:r>
      <w:r>
        <w:br/>
      </w:r>
      <w:r>
        <w:rPr>
          <w:rStyle w:val="KeywordTok"/>
        </w:rPr>
        <w:t xml:space="preserve">Order</w:t>
      </w:r>
      <w:r>
        <w:rPr>
          <w:rStyle w:val="NormalTok"/>
        </w:rPr>
        <w:t xml:space="preserve"> </w:t>
      </w:r>
      <w:r>
        <w:rPr>
          <w:rStyle w:val="KeywordTok"/>
        </w:rPr>
        <w:t xml:space="preserve">By</w:t>
      </w:r>
      <w:r>
        <w:rPr>
          <w:rStyle w:val="NormalTok"/>
        </w:rPr>
        <w:t xml:space="preserve"> SL.SorterId</w:t>
      </w:r>
      <w:r>
        <w:br/>
      </w:r>
      <w:r>
        <w:rPr>
          <w:rStyle w:val="KeywordTok"/>
        </w:rPr>
        <w:t xml:space="preserve">Option</w:t>
      </w:r>
      <w:r>
        <w:rPr>
          <w:rStyle w:val="NormalTok"/>
        </w:rPr>
        <w:t xml:space="preserve"> (Recompile);</w:t>
      </w:r>
    </w:p>
    <w:p>
      <w:pPr>
        <w:pStyle w:val="FirstParagraph"/>
      </w:pPr>
      <w:r>
        <w:t xml:space="preserve">One scan, two conditional sums, identical result shape.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conditional-aggregation form returns the same per-sorter counts as the two CTEs by construction. The Case expressions in the consolidated Sums reproduce the WHERE clauses of the original CTEs exactly. The result-set semantics are identical: zero counts when no Rx matches, integer counts otherwise.</w:t>
      </w:r>
    </w:p>
    <w:p>
      <w:pPr>
        <w:pStyle w:val="BodyText"/>
      </w:pPr>
      <w:r>
        <w:rPr>
          <w:b/>
        </w:rPr>
        <w:t xml:space="preserve">What to look for in the first 24 hours.</w:t>
      </w:r>
      <w:r>
        <w:t xml:space="preserve"> </w:t>
      </w:r>
      <w:r>
        <w:t xml:space="preserve">Result-count parity with v10, plan operator count drop (one scan instead of two), elapsed time per call drop.</w:t>
      </w:r>
    </w:p>
    <w:p>
      <w:pPr>
        <w:pStyle w:val="BodyText"/>
      </w:pPr>
      <w:r>
        <w:rPr>
          <w:b/>
        </w:rPr>
        <w:t xml:space="preserve">Rollback path.</w:t>
      </w:r>
      <w:r>
        <w:t xml:space="preserve"> </w:t>
      </w:r>
      <w:r>
        <w:t xml:space="preserve">The v10 body is in</w:t>
      </w:r>
      <w:r>
        <w:t xml:space="preserve"> </w:t>
      </w:r>
      <w:r>
        <w:rPr>
          <w:rStyle w:val="VerbatimChar"/>
        </w:rPr>
        <w:t xml:space="preserve">Original.sql</w:t>
      </w:r>
      <w:r>
        <w:t xml:space="preserve">. Redeploying v10 reverts cleanly.</w:t>
      </w:r>
    </w:p>
    <w:p>
      <w:r>
        <w:pict>
          <v:rect style="width:0;height:1.5pt" o:hralign="center" o:hrstd="t" o:hr="t"/>
        </w:pict>
      </w:r>
    </w:p>
    <w:p>
      <w:pPr>
        <w:pStyle w:val="Heading2"/>
      </w:pPr>
      <w:bookmarkStart w:id="30" w:name="evidence-of-refactor-v11"/>
      <w:r>
        <w:t xml:space="preserve">8. Evidence of Refactor (v11)</w:t>
      </w:r>
      <w:bookmarkEnd w:id="30"/>
    </w:p>
    <w:p>
      <w:pPr>
        <w:pStyle w:val="SourceCode"/>
      </w:pPr>
      <w:r>
        <w:rPr>
          <w:rStyle w:val="VerbatimChar"/>
        </w:rPr>
        <w:t xml:space="preserve">(paste STATS IO / STATS TIME for v11 against the same data state used for v10 here)</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v10 (paste)</w:t>
            </w:r>
          </w:p>
        </w:tc>
        <w:tc>
          <w:tcPr>
            <w:tcBorders>
              <w:bottom w:val="single"/>
            </w:tcBorders>
            <w:vAlign w:val="bottom"/>
          </w:tcPr>
          <w:p>
            <w:pPr>
              <w:pStyle w:val="Compact"/>
              <w:jc w:val="left"/>
            </w:pPr>
            <w:r>
              <w:t xml:space="preserve">v11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pPr>
              <w:pStyle w:val="Compact"/>
              <w:jc w:val="left"/>
            </w:pPr>
            <w:r>
              <w:t xml:space="preserve">(expected: ~50% of v10 on GovRx+OeOrder)</w:t>
            </w:r>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pPr>
              <w:pStyle w:val="Compact"/>
              <w:jc w:val="left"/>
            </w:pPr>
            <w:r>
              <w:t xml:space="preserve">(expected: lower)</w:t>
            </w:r>
          </w:p>
        </w:tc>
        <w:tc>
          <w:p/>
        </w:tc>
      </w:tr>
      <w:tr>
        <w:tc>
          <w:p>
            <w:pPr>
              <w:pStyle w:val="Compact"/>
              <w:jc w:val="left"/>
            </w:pPr>
            <w:r>
              <w:t xml:space="preserve">Result row count and per-sorter counts</w:t>
            </w:r>
          </w:p>
        </w:tc>
        <w:tc>
          <w:p/>
        </w:tc>
        <w:tc>
          <w:p>
            <w:pPr>
              <w:pStyle w:val="Compact"/>
              <w:jc w:val="left"/>
            </w:pPr>
            <w:r>
              <w:t xml:space="preserve">(expected: identical)</w:t>
            </w:r>
          </w:p>
        </w:tc>
        <w:tc>
          <w:p/>
        </w:tc>
      </w:tr>
    </w:tbl>
    <w:p>
      <w:pPr>
        <w:pStyle w:val="BodyText"/>
      </w:pPr>
      <w:r>
        <w:rPr>
          <w:b/>
        </w:rPr>
        <w:t xml:space="preserve">Verdict (to be entered once the captures land):</w:t>
      </w:r>
      <w:r>
        <w:t xml:space="preserve"> </w:t>
      </w:r>
      <w:r>
        <w:t xml:space="preserve">the headline expected delta is the consolidated single-scan aggregation. The procedure is small in absolute terms; the win is structural rather than dramatic.</w:t>
      </w:r>
    </w:p>
    <w:p>
      <w:r>
        <w:pict>
          <v:rect style="width:0;height:1.5pt" o:hralign="center" o:hrstd="t" o:hr="t"/>
        </w:pict>
      </w:r>
    </w:p>
    <w:p>
      <w:pPr>
        <w:pStyle w:val="Heading2"/>
      </w:pPr>
      <w:bookmarkStart w:id="32" w:name="validation-checklist"/>
      <w:r>
        <w:t xml:space="preserve">10. Validation Checklist</w:t>
      </w:r>
      <w:bookmarkEnd w:id="32"/>
    </w:p>
    <w:p>
      <w:pPr>
        <w:numPr>
          <w:ilvl w:val="0"/>
          <w:numId w:val="1002"/>
        </w:numPr>
        <w:pStyle w:val="Compact"/>
      </w:pPr>
      <w:r>
        <w:t xml:space="preserve">Same data state. (?)</w:t>
      </w:r>
    </w:p>
    <w:p>
      <w:pPr>
        <w:numPr>
          <w:ilvl w:val="0"/>
          <w:numId w:val="1002"/>
        </w:numPr>
        <w:pStyle w:val="Compact"/>
      </w:pPr>
      <w:r>
        <w:t xml:space="preserve">Warm cache only. (?)</w:t>
      </w:r>
    </w:p>
    <w:p>
      <w:pPr>
        <w:numPr>
          <w:ilvl w:val="0"/>
          <w:numId w:val="1002"/>
        </w:numPr>
        <w:pStyle w:val="Compact"/>
      </w:pPr>
      <w:r>
        <w:t xml:space="preserve">Non-zero result set. (?)</w:t>
      </w:r>
    </w:p>
    <w:p>
      <w:pPr>
        <w:numPr>
          <w:ilvl w:val="0"/>
          <w:numId w:val="1002"/>
        </w:numPr>
        <w:pStyle w:val="Compact"/>
      </w:pPr>
      <w:r>
        <w:t xml:space="preserve">Identical result set: same number of sorters, same QueuedRxCount and OnRouteRxCount per sorter. (?)</w:t>
      </w:r>
    </w:p>
    <w:p>
      <w:pPr>
        <w:numPr>
          <w:ilvl w:val="0"/>
          <w:numId w:val="1002"/>
        </w:numPr>
        <w:pStyle w:val="Compact"/>
      </w:pPr>
      <w:r>
        <w:t xml:space="preserve">Plan shape matches prediction.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09faad68e4300ea24a647928033744e66c01c31"/>
      <w:r>
        <w:t xml:space="preserve">11.1 Index recommendation on</w:t>
      </w:r>
      <w:r>
        <w:t xml:space="preserve"> </w:t>
      </w:r>
      <w:r>
        <w:rPr>
          <w:rStyle w:val="VerbatimChar"/>
        </w:rPr>
        <w:t xml:space="preserve">GovRx(OrderTypeCode, SorterId)</w:t>
      </w:r>
      <w:bookmarkEnd w:id="34"/>
    </w:p>
    <w:p>
      <w:pPr>
        <w:pStyle w:val="FirstParagraph"/>
      </w:pPr>
      <w:r>
        <w:t xml:space="preserve">The consolidated scan filters on</w:t>
      </w:r>
      <w:r>
        <w:t xml:space="preserve"> </w:t>
      </w:r>
      <w:r>
        <w:rPr>
          <w:rStyle w:val="VerbatimChar"/>
        </w:rPr>
        <w:t xml:space="preserve">OrderTypeCode = 'SV'</w:t>
      </w:r>
      <w:r>
        <w:t xml:space="preserve"> </w:t>
      </w:r>
      <w:r>
        <w:t xml:space="preserve">and groups by</w:t>
      </w:r>
      <w:r>
        <w:t xml:space="preserve"> </w:t>
      </w:r>
      <w:r>
        <w:rPr>
          <w:rStyle w:val="VerbatimChar"/>
        </w:rPr>
        <w:t xml:space="preserve">SorterId</w:t>
      </w:r>
      <w:r>
        <w:t xml:space="preserve">. A nonclustered index on</w:t>
      </w:r>
      <w:r>
        <w:t xml:space="preserve"> </w:t>
      </w:r>
      <w:r>
        <w:rPr>
          <w:rStyle w:val="VerbatimChar"/>
        </w:rPr>
        <w:t xml:space="preserve">(OrderTypeCode, SorterId)</w:t>
      </w:r>
      <w:r>
        <w:t xml:space="preserve"> </w:t>
      </w:r>
      <w:r>
        <w:t xml:space="preserve">with</w:t>
      </w:r>
      <w:r>
        <w:t xml:space="preserve"> </w:t>
      </w:r>
      <w:r>
        <w:rPr>
          <w:rStyle w:val="VerbatimChar"/>
        </w:rPr>
        <w:t xml:space="preserve">OrderId, RxCvyStateCode</w:t>
      </w:r>
      <w:r>
        <w:t xml:space="preserve"> </w:t>
      </w:r>
      <w:r>
        <w:t xml:space="preserve">included would let the scan seek directly into the SV subset. Confirm against Tolleson.</w:t>
      </w:r>
    </w:p>
    <w:p>
      <w:pPr>
        <w:pStyle w:val="Heading3"/>
      </w:pPr>
      <w:bookmarkStart w:id="35" w:name="per-mfc-post-deployment-monitoring"/>
      <w:r>
        <w:t xml:space="preserve">11.2 Per-MFC post-deployment monitoring</w:t>
      </w:r>
      <w:bookmarkEnd w:id="35"/>
    </w:p>
    <w:p>
      <w:pPr>
        <w:pStyle w:val="FirstParagraph"/>
      </w:pPr>
      <w:r>
        <w:t xml:space="preserve">Two-week capture per site, three-bucket outcome distribution.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2026-05-15T13:29:07Z</dcterms:created>
  <dcterms:modified xsi:type="dcterms:W3CDTF">2026-05-15T13:29:07Z</dcterms:modified>
</cp:coreProperties>
</file>

<file path=docProps/custom.xml><?xml version="1.0" encoding="utf-8"?>
<Properties xmlns="http://schemas.openxmlformats.org/officeDocument/2006/custom-properties" xmlns:vt="http://schemas.openxmlformats.org/officeDocument/2006/docPropsVTypes"/>
</file>