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072131187c6c5313ea4f4195d4e89b979ae073"/>
      <w:r>
        <w:t xml:space="preserve">lsp_GovGetTopPriorityToteGroupsToAllocate: Refactor Analysis (v2 to v3)</w:t>
      </w:r>
      <w:bookmarkEnd w:id="20"/>
    </w:p>
    <w:p>
      <w:pPr>
        <w:pStyle w:val="FirstParagraph"/>
      </w:pPr>
      <w:r>
        <w:rPr>
          <w:b/>
        </w:rPr>
        <w:t xml:space="preserve">Date:</w:t>
      </w:r>
      <w:r>
        <w:t xml:space="preserve"> </w:t>
      </w:r>
      <w:r>
        <w:t xml:space="preserve">2026-05-08</w:t>
      </w:r>
      <w:r>
        <w:t xml:space="preserve"> </w:t>
      </w:r>
      <w:r>
        <w:rPr>
          <w:b/>
        </w:rPr>
        <w:t xml:space="preserve">Tracking sheet row:</w:t>
      </w:r>
      <w:r>
        <w:t xml:space="preserve"> </w:t>
      </w:r>
      <w:r>
        <w:t xml:space="preserve">31 (Priority P1, status Not Started)</w:t>
      </w:r>
      <w:r>
        <w:t xml:space="preserve"> </w:t>
      </w:r>
      <w:r>
        <w:rPr>
          <w:b/>
        </w:rPr>
        <w:t xml:space="preserve">Deployment state:</w:t>
      </w:r>
      <w:r>
        <w:t xml:space="preserve"> </w:t>
      </w:r>
      <w:r>
        <w:t xml:space="preserve">Cataloged. Refactored.sql is a proposed v3 designed by the MFC DBA team and me, awaiting iA review.</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dbo.lsp_GovGetTopPriorityToteGroupsToAllocate</w:t>
      </w:r>
    </w:p>
    <w:p>
      <w:pPr>
        <w:pStyle w:val="BodyText"/>
      </w:pPr>
      <w:r>
        <w:rPr>
          <w:b/>
        </w:rPr>
        <w:t xml:space="preserve">Purpose in one line:</w:t>
      </w:r>
      <w:r>
        <w:t xml:space="preserve"> </w:t>
      </w:r>
      <w:r>
        <w:t xml:space="preserve">Returns the top-priority tote groups eligible to be allocated from the queued Rx group pool, broken down by order type (single tote, group tote, group vial, single vial), with optional exclusion filters per order-type bucket and per-sorter.</w:t>
      </w:r>
    </w:p>
    <w:p>
      <w:pPr>
        <w:pStyle w:val="BodyText"/>
      </w:pPr>
      <w:r>
        <w:rPr>
          <w:b/>
        </w:rPr>
        <w:t xml:space="preserve">Tables touched:</w:t>
      </w:r>
    </w:p>
    <w:p>
      <w:pPr>
        <w:numPr>
          <w:ilvl w:val="0"/>
          <w:numId w:val="1001"/>
        </w:numPr>
        <w:pStyle w:val="Compact"/>
      </w:pPr>
      <w:r>
        <w:rPr>
          <w:rStyle w:val="VerbatimChar"/>
        </w:rPr>
        <w:t xml:space="preserve">OeOrder</w:t>
      </w:r>
      <w:r>
        <w:t xml:space="preserve"> </w:t>
      </w:r>
      <w:r>
        <w:t xml:space="preserve">(read once to build the awaiting-allocation candidate set, then twice more for the blocking check and the allocated-Rx check).</w:t>
      </w:r>
    </w:p>
    <w:p>
      <w:pPr>
        <w:numPr>
          <w:ilvl w:val="0"/>
          <w:numId w:val="1001"/>
        </w:numPr>
        <w:pStyle w:val="Compact"/>
      </w:pPr>
      <w:r>
        <w:rPr>
          <w:rStyle w:val="VerbatimChar"/>
        </w:rPr>
        <w:t xml:space="preserve">GovRx</w:t>
      </w:r>
      <w:r>
        <w:t xml:space="preserve"> </w:t>
      </w:r>
      <w:r>
        <w:t xml:space="preserve">(the tote-group association table; joined throughout).</w:t>
      </w:r>
    </w:p>
    <w:p>
      <w:pPr>
        <w:numPr>
          <w:ilvl w:val="0"/>
          <w:numId w:val="1001"/>
        </w:numPr>
        <w:pStyle w:val="Compact"/>
      </w:pPr>
      <w:r>
        <w:rPr>
          <w:rStyle w:val="VerbatimChar"/>
        </w:rPr>
        <w:t xml:space="preserve">vCfgSystemParamVal</w:t>
      </w:r>
      <w:r>
        <w:t xml:space="preserve"> </w:t>
      </w:r>
      <w:r>
        <w:t xml:space="preserve">and</w:t>
      </w:r>
      <w:r>
        <w:t xml:space="preserve"> </w:t>
      </w:r>
      <w:r>
        <w:rPr>
          <w:rStyle w:val="VerbatimChar"/>
        </w:rPr>
        <w:t xml:space="preserve">vCfgComputerParamVal</w:t>
      </w:r>
      <w:r>
        <w:t xml:space="preserve"> </w:t>
      </w:r>
      <w:r>
        <w:t xml:space="preserve">(config reads).</w:t>
      </w:r>
    </w:p>
    <w:p>
      <w:pPr>
        <w:pStyle w:val="FirstParagraph"/>
      </w:pPr>
      <w:r>
        <w:rPr>
          <w:b/>
        </w:rPr>
        <w:t xml:space="preserve">Indexes used (predicted from the v3 body):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OeOrder</w:t>
            </w:r>
          </w:p>
        </w:tc>
        <w:tc>
          <w:p>
            <w:pPr>
              <w:pStyle w:val="Compact"/>
              <w:jc w:val="left"/>
            </w:pPr>
            <w:r>
              <w:t xml:space="preserve">NC on</w:t>
            </w:r>
            <w:r>
              <w:t xml:space="preserve"> </w:t>
            </w:r>
            <w:r>
              <w:rPr>
                <w:rStyle w:val="VerbatimChar"/>
              </w:rPr>
              <w:t xml:space="preserve">OrderStatus, StatusReason</w:t>
            </w:r>
            <w:r>
              <w:t xml:space="preserve"> </w:t>
            </w:r>
            <w:r>
              <w:t xml:space="preserve">(assumed)</w:t>
            </w:r>
          </w:p>
        </w:tc>
        <w:tc>
          <w:p>
            <w:pPr>
              <w:pStyle w:val="Compact"/>
              <w:jc w:val="left"/>
            </w:pPr>
            <w:r>
              <w:t xml:space="preserve">awaiting-allocation candidate scan</w:t>
            </w:r>
          </w:p>
        </w:tc>
      </w:tr>
      <w:tr>
        <w:tc>
          <w:p>
            <w:pPr>
              <w:pStyle w:val="Compact"/>
              <w:jc w:val="left"/>
            </w:pPr>
            <w:r>
              <w:rPr>
                <w:rStyle w:val="VerbatimChar"/>
              </w:rPr>
              <w:t xml:space="preserve">OeOrder</w:t>
            </w:r>
          </w:p>
        </w:tc>
        <w:tc>
          <w:p>
            <w:pPr>
              <w:pStyle w:val="Compact"/>
              <w:jc w:val="left"/>
            </w:pPr>
            <w:r>
              <w:t xml:space="preserve">NC on</w:t>
            </w:r>
            <w:r>
              <w:t xml:space="preserve"> </w:t>
            </w:r>
            <w:r>
              <w:rPr>
                <w:rStyle w:val="VerbatimChar"/>
              </w:rPr>
              <w:t xml:space="preserve">OrderStatus, StatusReason</w:t>
            </w:r>
            <w:r>
              <w:t xml:space="preserve"> </w:t>
            </w:r>
            <w:r>
              <w:t xml:space="preserve">(assumed) plus filter on Problem path</w:t>
            </w:r>
          </w:p>
        </w:tc>
        <w:tc>
          <w:p>
            <w:pPr>
              <w:pStyle w:val="Compact"/>
              <w:jc w:val="left"/>
            </w:pPr>
            <w:r>
              <w:t xml:space="preserve">blocking-pair scan</w:t>
            </w:r>
          </w:p>
        </w:tc>
      </w:tr>
      <w:tr>
        <w:tc>
          <w:p>
            <w:pPr>
              <w:pStyle w:val="Compact"/>
              <w:jc w:val="left"/>
            </w:pPr>
            <w:r>
              <w:rPr>
                <w:rStyle w:val="VerbatimChar"/>
              </w:rPr>
              <w:t xml:space="preserve">GovRx</w:t>
            </w:r>
          </w:p>
        </w:tc>
        <w:tc>
          <w:p>
            <w:pPr>
              <w:pStyle w:val="Compact"/>
              <w:jc w:val="left"/>
            </w:pPr>
            <w:r>
              <w:t xml:space="preserve">clustered on</w:t>
            </w:r>
            <w:r>
              <w:t xml:space="preserve"> </w:t>
            </w:r>
            <w:r>
              <w:rPr>
                <w:rStyle w:val="VerbatimChar"/>
              </w:rPr>
              <w:t xml:space="preserve">OrderId, ToteGroupNum</w:t>
            </w:r>
            <w:r>
              <w:t xml:space="preserve"> </w:t>
            </w:r>
            <w:r>
              <w:t xml:space="preserve">(assumed)</w:t>
            </w:r>
          </w:p>
        </w:tc>
        <w:tc>
          <w:p>
            <w:pPr>
              <w:pStyle w:val="Compact"/>
              <w:jc w:val="left"/>
            </w:pPr>
            <w:r>
              <w:t xml:space="preserve">every join</w:t>
            </w:r>
          </w:p>
        </w:tc>
      </w:tr>
    </w:tbl>
    <w:p>
      <w:pPr>
        <w:pStyle w:val="BodyText"/>
      </w:pPr>
      <w:r>
        <w:rPr>
          <w:b/>
        </w:rPr>
        <w:t xml:space="preserve">Callers:</w:t>
      </w:r>
      <w:r>
        <w:t xml:space="preserve"> </w:t>
      </w:r>
      <w:r>
        <w:t xml:space="preserve">the Order Governor allocation service. Called on the allocation pass cadence.</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procedure is on the optimization list because the cross-list capture reports it on two of four expense lists (Expense #16, Plan #7) with</w:t>
      </w:r>
      <w:r>
        <w:t xml:space="preserve"> </w:t>
      </w:r>
      <w:r>
        <w:t xml:space="preserve">“</w:t>
      </w:r>
      <w:r>
        <w:t xml:space="preserve">plan instability</w:t>
      </w:r>
      <w:r>
        <w:t xml:space="preserve">”</w:t>
      </w:r>
      <w:r>
        <w:t xml:space="preserve"> </w:t>
      </w:r>
      <w:r>
        <w:t xml:space="preserve">and</w:t>
      </w:r>
      <w:r>
        <w:t xml:space="preserve"> </w:t>
      </w:r>
      <w:r>
        <w:t xml:space="preserve">“</w:t>
      </w:r>
      <w:r>
        <w:t xml:space="preserve">algorithmic / plan rewrite candidate</w:t>
      </w:r>
      <w:r>
        <w:t xml:space="preserve">”</w:t>
      </w:r>
      <w:r>
        <w:t xml:space="preserve"> </w:t>
      </w:r>
      <w:r>
        <w:t xml:space="preserve">as the dominant heuristics. The procedure carries five exclusion-bit parameters plus a table-valued parameter, and the WHERE-clause shape changes across branches depending on which parameters are set.</w:t>
      </w:r>
    </w:p>
    <w:p>
      <w:pPr>
        <w:pStyle w:val="BodyText"/>
      </w:pPr>
      <w:r>
        <w:t xml:space="preserve">The dominant cost drivers in v2 are three.</w:t>
      </w:r>
    </w:p>
    <w:p>
      <w:pPr>
        <w:pStyle w:val="BodyText"/>
      </w:pPr>
      <w:r>
        <w:t xml:space="preserve">The first is the duplicated</w:t>
      </w:r>
      <w:r>
        <w:t xml:space="preserve"> </w:t>
      </w:r>
      <w:r>
        <w:t xml:space="preserve">“</w:t>
      </w:r>
      <w:r>
        <w:t xml:space="preserve">no blocking Rx</w:t>
      </w:r>
      <w:r>
        <w:t xml:space="preserve">”</w:t>
      </w:r>
      <w:r>
        <w:t xml:space="preserve"> </w:t>
      </w:r>
      <w:r>
        <w:t xml:space="preserve">check. The Not Exists subquery on lines 94-106 is reproduced verbatim or nearly verbatim five times across the five Insert blocks. The subquery is approximately 10 lines and does a</w:t>
      </w:r>
      <w:r>
        <w:t xml:space="preserve"> </w:t>
      </w:r>
      <w:r>
        <w:rPr>
          <w:rStyle w:val="VerbatimChar"/>
        </w:rPr>
        <w:t xml:space="preserve">GovRx + OeOrder</w:t>
      </w:r>
      <w:r>
        <w:t xml:space="preserve"> </w:t>
      </w:r>
      <w:r>
        <w:t xml:space="preserve">join with a non-trivial disjunction on order status and pending order status. The work is performed five times in the worst-case path where every exclusion bit is 0 and the procedure runs all five Inserts.</w:t>
      </w:r>
    </w:p>
    <w:p>
      <w:pPr>
        <w:pStyle w:val="BodyText"/>
      </w:pPr>
      <w:r>
        <w:t xml:space="preserve">The second is the</w:t>
      </w:r>
      <w:r>
        <w:t xml:space="preserve"> </w:t>
      </w:r>
      <w:r>
        <w:t xml:space="preserve">@GroupsToAllocate</w:t>
      </w:r>
      <w:r>
        <w:t xml:space="preserve"> </w:t>
      </w:r>
      <w:r>
        <w:t xml:space="preserve">table variable. Table variables do not carry meaningful statistics. The final SELECT joins back to</w:t>
      </w:r>
      <w:r>
        <w:t xml:space="preserve"> </w:t>
      </w:r>
      <w:r>
        <w:t xml:space="preserve">@GroupsToAllocate</w:t>
      </w:r>
      <w:r>
        <w:t xml:space="preserve"> </w:t>
      </w:r>
      <w:r>
        <w:t xml:space="preserve">and adds a correlated Exists subquery for HasAllocatedRx, and the optimizer’s cardinality estimate for the table variable is 1 row regardless of the actual content. The downstream join order and join method choices are systematically worse than they would be against an equivalent indexed temp table.</w:t>
      </w:r>
    </w:p>
    <w:p>
      <w:pPr>
        <w:pStyle w:val="BodyText"/>
      </w:pPr>
      <w:r>
        <w:t xml:space="preserve">The third is the parameter-sniffed plan caching. Five exclusion bits plus a TVP plus two config values produce a large enough state space that a single cached plan is unlikely to be optimal for all branches.</w:t>
      </w:r>
    </w:p>
    <w:p>
      <w:pPr>
        <w:pStyle w:val="BodyText"/>
      </w:pPr>
      <w:r>
        <w:t xml:space="preserve">v3 addresses all three drivers.</w:t>
      </w:r>
    </w:p>
    <w:p>
      <w:r>
        <w:pict>
          <v:rect style="width:0;height:1.5pt" o:hralign="center" o:hrstd="t" o:hr="t"/>
        </w:pict>
      </w:r>
    </w:p>
    <w:p>
      <w:pPr>
        <w:pStyle w:val="Heading2"/>
      </w:pPr>
      <w:bookmarkStart w:id="23" w:name="evidence-of-original-v2"/>
      <w:r>
        <w:t xml:space="preserve">3. Evidence of Original (v2)</w:t>
      </w:r>
      <w:bookmarkEnd w:id="23"/>
    </w:p>
    <w:p>
      <w:pPr>
        <w:pStyle w:val="Heading3"/>
      </w:pPr>
      <w:bookmarkStart w:id="24" w:name="query-store-cross-mfc-view"/>
      <w:r>
        <w:t xml:space="preserve">3.1 Query Store, cross-MFC view</w:t>
      </w:r>
      <w:bookmarkEnd w:id="24"/>
    </w:p>
    <w:tbl>
      <w:tblPr>
        <w:tblStyle w:val="Table"/>
        <w:tblW w:type="pct" w:w="5000.0"/>
        <w:tblLook w:firstRow="1"/>
      </w:tblPr>
      <w:tblGrid>
        <w:gridCol w:w="455"/>
        <w:gridCol w:w="1365"/>
        <w:gridCol w:w="1638"/>
        <w:gridCol w:w="1183"/>
        <w:gridCol w:w="1456"/>
        <w:gridCol w:w="182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r>
      <w:tr>
        <w:tc>
          <w:p>
            <w:pPr>
              <w:pStyle w:val="Compact"/>
              <w:jc w:val="left"/>
            </w:pPr>
            <w:r>
              <w:t xml:space="preserve">(paste from capture)</w:t>
            </w:r>
          </w:p>
        </w:tc>
        <w:tc>
          <w:p/>
        </w:tc>
        <w:tc>
          <w:p/>
        </w:tc>
        <w:tc>
          <w:p/>
        </w:tc>
        <w:tc>
          <w:p/>
        </w:tc>
        <w:tc>
          <w:p/>
        </w:tc>
      </w:tr>
    </w:tbl>
    <w:p>
      <w:pPr>
        <w:pStyle w:val="Heading3"/>
      </w:pPr>
      <w:bookmarkStart w:id="25" w:name="X2073771c1389fa0d746fc68ef3c403e03129c3d"/>
      <w:r>
        <w:t xml:space="preserve">3.2 STATISTICS IO and STATISTICS TIME from a representative MFC run (v2)</w:t>
      </w:r>
      <w:bookmarkEnd w:id="25"/>
    </w:p>
    <w:p>
      <w:pPr>
        <w:pStyle w:val="SourceCode"/>
      </w:pPr>
      <w:r>
        <w:rPr>
          <w:rStyle w:val="VerbatimChar"/>
        </w:rPr>
        <w:t xml:space="preserve">(paste STATS IO / STATS TIME for v2 against the same data state used for v3 here)</w:t>
      </w:r>
    </w:p>
    <w:p>
      <w:pPr>
        <w:pStyle w:val="FirstParagraph"/>
      </w:pPr>
      <w:r>
        <w:t xml:space="preserve">The expected v2 signature is up to five executions of the blocking-Rx subquery (one per Insert), plus an additional Exists subquery per row in the final SELECT for HasAllocatedRx.</w:t>
      </w:r>
    </w:p>
    <w:p>
      <w:r>
        <w:pict>
          <v:rect style="width:0;height:1.5pt" o:hralign="center" o:hrstd="t" o:hr="t"/>
        </w:pict>
      </w:r>
    </w:p>
    <w:p>
      <w:pPr>
        <w:pStyle w:val="Heading2"/>
      </w:pPr>
      <w:bookmarkStart w:id="26" w:name="issue-identification"/>
      <w:r>
        <w:t xml:space="preserve">4. Issue Identification</w:t>
      </w:r>
      <w:bookmarkEnd w:id="26"/>
    </w:p>
    <w:p>
      <w:pPr>
        <w:pStyle w:val="FirstParagraph"/>
      </w:pPr>
      <w:r>
        <w:rPr>
          <w:b/>
        </w:rPr>
        <w:t xml:space="preserve">Issue 1: Duplicated Not Exists</w:t>
      </w:r>
      <w:r>
        <w:rPr>
          <w:b/>
        </w:rPr>
        <w:t xml:space="preserve"> </w:t>
      </w:r>
      <w:r>
        <w:rPr>
          <w:b/>
        </w:rPr>
        <w:t xml:space="preserve">“</w:t>
      </w:r>
      <w:r>
        <w:rPr>
          <w:b/>
        </w:rPr>
        <w:t xml:space="preserve">blocking Rx</w:t>
      </w:r>
      <w:r>
        <w:rPr>
          <w:b/>
        </w:rPr>
        <w:t xml:space="preserve">”</w:t>
      </w:r>
      <w:r>
        <w:rPr>
          <w:b/>
        </w:rPr>
        <w:t xml:space="preserve"> </w:t>
      </w:r>
      <w:r>
        <w:rPr>
          <w:b/>
        </w:rPr>
        <w:t xml:space="preserve">subquery across five Insert blocks.</w:t>
      </w:r>
      <w:r>
        <w:t xml:space="preserve"> </w:t>
      </w:r>
      <w:r>
        <w:t xml:space="preserve">Identical structure, ~10 lines each.</w:t>
      </w:r>
    </w:p>
    <w:p>
      <w:pPr>
        <w:pStyle w:val="BodyText"/>
      </w:pPr>
      <w:r>
        <w:rPr>
          <w:b/>
        </w:rPr>
        <w:t xml:space="preserve">Issue 2:</w:t>
      </w:r>
      <w:r>
        <w:rPr>
          <w:b/>
        </w:rPr>
        <w:t xml:space="preserve"> </w:t>
      </w:r>
      <w:r>
        <w:rPr>
          <w:rStyle w:val="VerbatimChar"/>
          <w:b/>
        </w:rPr>
        <w:t xml:space="preserve">@GroupsToAllocate</w:t>
      </w:r>
      <w:r>
        <w:rPr>
          <w:b/>
        </w:rPr>
        <w:t xml:space="preserve"> </w:t>
      </w:r>
      <w:r>
        <w:rPr>
          <w:b/>
        </w:rPr>
        <w:t xml:space="preserve">table variable.</w:t>
      </w:r>
      <w:r>
        <w:t xml:space="preserve"> </w:t>
      </w:r>
      <w:r>
        <w:t xml:space="preserve">No statistics; downstream join cardinality estimates are 1.</w:t>
      </w:r>
    </w:p>
    <w:p>
      <w:pPr>
        <w:pStyle w:val="BodyText"/>
      </w:pPr>
      <w:r>
        <w:rPr>
          <w:b/>
        </w:rPr>
        <w:t xml:space="preserve">Issue 3: Correlated Exists subquery for HasAllocatedRx in the final SELECT.</w:t>
      </w:r>
      <w:r>
        <w:t xml:space="preserve"> </w:t>
      </w:r>
      <w:r>
        <w:t xml:space="preserve">Per-row execution.</w:t>
      </w:r>
    </w:p>
    <w:p>
      <w:pPr>
        <w:pStyle w:val="BodyText"/>
      </w:pPr>
      <w:r>
        <w:rPr>
          <w:b/>
        </w:rPr>
        <w:t xml:space="preserve">Issue 4: No local-variable indirection for the bit parameters.</w:t>
      </w:r>
    </w:p>
    <w:p>
      <w:pPr>
        <w:pStyle w:val="BodyText"/>
      </w:pPr>
      <w:r>
        <w:rPr>
          <w:b/>
        </w:rPr>
        <w:t xml:space="preserve">Issue 5: No indexes on the temp tables (n/a in v2; v3 introduces #AwaitingAllocationRxs, #BlockedPairs, #GroupsToAllocate, #AllocatedPairs and indexes each).</w:t>
      </w:r>
    </w:p>
    <w:p>
      <w:r>
        <w:pict>
          <v:rect style="width:0;height:1.5pt" o:hralign="center" o:hrstd="t" o:hr="t"/>
        </w:pict>
      </w:r>
    </w:p>
    <w:p>
      <w:pPr>
        <w:pStyle w:val="Heading2"/>
      </w:pPr>
      <w:bookmarkStart w:id="27" w:name="first-principles"/>
      <w:r>
        <w:t xml:space="preserve">5. First Principles</w:t>
      </w:r>
      <w:bookmarkEnd w:id="27"/>
    </w:p>
    <w:p>
      <w:pPr>
        <w:pStyle w:val="FirstParagraph"/>
      </w:pPr>
      <w:r>
        <w:rPr>
          <w:b/>
        </w:rPr>
        <w:t xml:space="preserve">[[Correlated Subqueries to CTEs]] with the pre-materialize-once fix for the blocking check.</w:t>
      </w:r>
      <w:r>
        <w:t xml:space="preserve"> </w:t>
      </w:r>
      <w:r>
        <w:t xml:space="preserve">The Not Exists subquery is structurally identical across all five Insert blocks. Pre-materializing the (GroupNum, ToteGroupNum) pairs that are blocked into</w:t>
      </w:r>
      <w:r>
        <w:t xml:space="preserve"> </w:t>
      </w:r>
      <w:r>
        <w:rPr>
          <w:rStyle w:val="VerbatimChar"/>
        </w:rPr>
        <w:t xml:space="preserve">#BlockedPairs</w:t>
      </w:r>
      <w:r>
        <w:t xml:space="preserve"> </w:t>
      </w:r>
      <w:r>
        <w:t xml:space="preserve">and joining via Left Join + IS NULL probe converts five subquery executions into one set-based scan plus five indexed lookups.</w:t>
      </w:r>
    </w:p>
    <w:p>
      <w:pPr>
        <w:pStyle w:val="BodyText"/>
      </w:pPr>
      <w:r>
        <w:rPr>
          <w:b/>
        </w:rPr>
        <w:t xml:space="preserve">[[Table Variables vs Temp Tables]] applied to</w:t>
      </w:r>
      <w:r>
        <w:rPr>
          <w:b/>
        </w:rPr>
        <w:t xml:space="preserve"> </w:t>
      </w:r>
      <w:r>
        <w:rPr>
          <w:rStyle w:val="VerbatimChar"/>
          <w:b/>
        </w:rPr>
        <w:t xml:space="preserve">@GroupsToAllocate</w:t>
      </w:r>
      <w:r>
        <w:rPr>
          <w:b/>
        </w:rPr>
        <w:t xml:space="preserve">.</w:t>
      </w:r>
      <w:r>
        <w:t xml:space="preserve"> </w:t>
      </w:r>
      <w:r>
        <w:t xml:space="preserve">The table variable does not carry statistics. The temp-table equivalent</w:t>
      </w:r>
      <w:r>
        <w:t xml:space="preserve"> </w:t>
      </w:r>
      <w:r>
        <w:rPr>
          <w:rStyle w:val="VerbatimChar"/>
        </w:rPr>
        <w:t xml:space="preserve">#GroupsToAllocate</w:t>
      </w:r>
      <w:r>
        <w:t xml:space="preserve"> </w:t>
      </w:r>
      <w:r>
        <w:t xml:space="preserve">with a</w:t>
      </w:r>
      <w:r>
        <w:t xml:space="preserve"> </w:t>
      </w:r>
      <w:r>
        <w:rPr>
          <w:rStyle w:val="VerbatimChar"/>
        </w:rPr>
        <w:t xml:space="preserve">(GroupNum, ToteGroupNum)</w:t>
      </w:r>
      <w:r>
        <w:t xml:space="preserve"> </w:t>
      </w:r>
      <w:r>
        <w:t xml:space="preserve">index supports the final-SELECT join and gives the optimizer realistic cardinality estimates.</w:t>
      </w:r>
    </w:p>
    <w:p>
      <w:pPr>
        <w:pStyle w:val="BodyText"/>
      </w:pPr>
      <w:r>
        <w:rPr>
          <w:b/>
        </w:rPr>
        <w:t xml:space="preserve">[[Correlated Subqueries to CTEs]] applied to the HasAllocatedRx check.</w:t>
      </w:r>
      <w:r>
        <w:t xml:space="preserve"> </w:t>
      </w:r>
      <w:r>
        <w:t xml:space="preserve">The Exists subquery in the final SELECT becomes a Left Join to</w:t>
      </w:r>
      <w:r>
        <w:t xml:space="preserve"> </w:t>
      </w:r>
      <w:r>
        <w:rPr>
          <w:rStyle w:val="VerbatimChar"/>
        </w:rPr>
        <w:t xml:space="preserve">#AllocatedPairs</w:t>
      </w:r>
      <w:r>
        <w:t xml:space="preserve"> </w:t>
      </w:r>
      <w:r>
        <w:t xml:space="preserve">with a Case-When-Not-Null projection.</w:t>
      </w:r>
    </w:p>
    <w:p>
      <w:pPr>
        <w:pStyle w:val="BodyText"/>
      </w:pPr>
      <w:r>
        <w:rPr>
          <w:b/>
        </w:rPr>
        <w:t xml:space="preserve">[[Parameter Sniffing]] with the local-variable form</w:t>
      </w:r>
      <w:r>
        <w:t xml:space="preserve"> </w:t>
      </w:r>
      <w:r>
        <w:t xml:space="preserve">for the bit parameters.</w:t>
      </w:r>
    </w:p>
    <w:p>
      <w:r>
        <w:pict>
          <v:rect style="width:0;height:1.5pt" o:hralign="center" o:hrstd="t" o:hr="t"/>
        </w:pict>
      </w:r>
    </w:p>
    <w:p>
      <w:pPr>
        <w:pStyle w:val="Heading2"/>
      </w:pPr>
      <w:bookmarkStart w:id="28" w:name="refactor-commented"/>
      <w:r>
        <w:t xml:space="preserve">6. Refactor (commented)</w:t>
      </w:r>
      <w:bookmarkEnd w:id="28"/>
    </w:p>
    <w:p>
      <w:pPr>
        <w:pStyle w:val="FirstParagraph"/>
      </w:pPr>
      <w:r>
        <w:t xml:space="preserve">The v3 body is reproduced in</w:t>
      </w:r>
      <w:r>
        <w:t xml:space="preserve"> </w:t>
      </w:r>
      <w:r>
        <w:rPr>
          <w:rStyle w:val="VerbatimChar"/>
        </w:rPr>
        <w:t xml:space="preserve">Refactored.sql</w:t>
      </w:r>
      <w:r>
        <w:t xml:space="preserve">. Salient blocks below.</w:t>
      </w:r>
    </w:p>
    <w:p>
      <w:pPr>
        <w:pStyle w:val="BodyText"/>
      </w:pPr>
      <w:r>
        <w:rPr>
          <w:b/>
        </w:rPr>
        <w:t xml:space="preserve">Pre-materialized blocking-pair set.</w:t>
      </w:r>
    </w:p>
    <w:p>
      <w:pPr>
        <w:pStyle w:val="SourceCode"/>
      </w:pPr>
      <w:r>
        <w:rPr>
          <w:rStyle w:val="KeywordTok"/>
        </w:rPr>
        <w:t xml:space="preserve">Select</w:t>
      </w:r>
      <w:r>
        <w:rPr>
          <w:rStyle w:val="NormalTok"/>
        </w:rPr>
        <w:t xml:space="preserve"> </w:t>
      </w:r>
      <w:r>
        <w:rPr>
          <w:rStyle w:val="KeywordTok"/>
        </w:rPr>
        <w:t xml:space="preserve">Distinct</w:t>
      </w:r>
      <w:r>
        <w:br/>
      </w:r>
      <w:r>
        <w:rPr>
          <w:rStyle w:val="NormalTok"/>
        </w:rPr>
        <w:t xml:space="preserve">      O.GroupNum</w:t>
      </w:r>
      <w:r>
        <w:br/>
      </w:r>
      <w:r>
        <w:rPr>
          <w:rStyle w:val="NormalTok"/>
        </w:rPr>
        <w:t xml:space="preserve">    , G.ToteGroupNum</w:t>
      </w:r>
      <w:r>
        <w:br/>
      </w:r>
      <w:r>
        <w:rPr>
          <w:rStyle w:val="KeywordTok"/>
        </w:rPr>
        <w:t xml:space="preserve">Into</w:t>
      </w:r>
      <w:r>
        <w:rPr>
          <w:rStyle w:val="NormalTok"/>
        </w:rPr>
        <w:t xml:space="preserve"> #BlockedPairs</w:t>
      </w:r>
      <w:r>
        <w:br/>
      </w:r>
      <w:r>
        <w:rPr>
          <w:rStyle w:val="KeywordTok"/>
        </w:rPr>
        <w:t xml:space="preserve">From</w:t>
      </w:r>
      <w:r>
        <w:rPr>
          <w:rStyle w:val="NormalTok"/>
        </w:rPr>
        <w:t xml:space="preserve"> GovRx G </w:t>
      </w:r>
      <w:r>
        <w:rPr>
          <w:rStyle w:val="KeywordTok"/>
        </w:rPr>
        <w:t xml:space="preserve">With</w:t>
      </w:r>
      <w:r>
        <w:rPr>
          <w:rStyle w:val="NormalTok"/>
        </w:rPr>
        <w:t xml:space="preserve"> (NoLock)</w:t>
      </w:r>
      <w:r>
        <w:br/>
      </w:r>
      <w:r>
        <w:rPr>
          <w:rStyle w:val="KeywordTok"/>
        </w:rPr>
        <w:t xml:space="preserve">Inner</w:t>
      </w:r>
      <w:r>
        <w:rPr>
          <w:rStyle w:val="NormalTok"/>
        </w:rPr>
        <w:t xml:space="preserve"> </w:t>
      </w:r>
      <w:r>
        <w:rPr>
          <w:rStyle w:val="KeywordTok"/>
        </w:rPr>
        <w:t xml:space="preserve">Join</w:t>
      </w:r>
      <w:r>
        <w:rPr>
          <w:rStyle w:val="NormalTok"/>
        </w:rPr>
        <w:t xml:space="preserve"> OeOrder O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O.OrderId </w:t>
      </w:r>
      <w:r>
        <w:rPr>
          <w:rStyle w:val="OperatorTok"/>
        </w:rPr>
        <w:t xml:space="preserve">=</w:t>
      </w:r>
      <w:r>
        <w:rPr>
          <w:rStyle w:val="NormalTok"/>
        </w:rPr>
        <w:t xml:space="preserve"> G.OrderId</w:t>
      </w:r>
      <w:r>
        <w:br/>
      </w:r>
      <w:r>
        <w:rPr>
          <w:rStyle w:val="KeywordTok"/>
        </w:rPr>
        <w:t xml:space="preserve">Where</w:t>
      </w:r>
      <w:r>
        <w:br/>
      </w:r>
      <w:r>
        <w:rPr>
          <w:rStyle w:val="NormalTok"/>
        </w:rPr>
        <w:t xml:space="preserve">(</w:t>
      </w:r>
      <w:r>
        <w:br/>
      </w:r>
      <w:r>
        <w:rPr>
          <w:rStyle w:val="NormalTok"/>
        </w:rPr>
        <w:t xml:space="preserve">    (O.OrderStatus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KeywordTok"/>
        </w:rPr>
        <w:t xml:space="preserve">And</w:t>
      </w:r>
      <w:r>
        <w:rPr>
          <w:rStyle w:val="NormalTok"/>
        </w:rPr>
        <w:t xml:space="preserve"> O.StatusReason </w:t>
      </w:r>
      <w:r>
        <w:rPr>
          <w:rStyle w:val="KeywordTok"/>
        </w:rPr>
        <w:t xml:space="preserve">In</w:t>
      </w:r>
      <w:r>
        <w:rPr>
          <w:rStyle w:val="NormalTok"/>
        </w:rPr>
        <w:t xml:space="preserve"> (</w:t>
      </w:r>
      <w:r>
        <w:rPr>
          <w:rStyle w:val="StringTok"/>
        </w:rPr>
        <w:t xml:space="preserve">'Awaiting Governor Division'</w:t>
      </w:r>
      <w:r>
        <w:rPr>
          <w:rStyle w:val="NormalTok"/>
        </w:rPr>
        <w:t xml:space="preserve">, </w:t>
      </w:r>
      <w:r>
        <w:rPr>
          <w:rStyle w:val="StringTok"/>
        </w:rPr>
        <w:t xml:space="preserve">'Awaiting Governor Tote Grouping'</w:t>
      </w:r>
      <w:r>
        <w:rPr>
          <w:rStyle w:val="NormalTok"/>
        </w:rPr>
        <w:t xml:space="preserve">))</w:t>
      </w:r>
      <w:r>
        <w:br/>
      </w:r>
      <w:r>
        <w:rPr>
          <w:rStyle w:val="NormalTok"/>
        </w:rPr>
        <w:t xml:space="preserve">    </w:t>
      </w:r>
      <w:r>
        <w:rPr>
          <w:rStyle w:val="KeywordTok"/>
        </w:rPr>
        <w:t xml:space="preserve">Or</w:t>
      </w:r>
      <w:r>
        <w:br/>
      </w:r>
      <w:r>
        <w:rPr>
          <w:rStyle w:val="NormalTok"/>
        </w:rPr>
        <w:t xml:space="preserve">    (O.OrderStatus </w:t>
      </w:r>
      <w:r>
        <w:rPr>
          <w:rStyle w:val="OperatorTok"/>
        </w:rPr>
        <w:t xml:space="preserve">=</w:t>
      </w:r>
      <w:r>
        <w:rPr>
          <w:rStyle w:val="NormalTok"/>
        </w:rPr>
        <w:t xml:space="preserve"> </w:t>
      </w:r>
      <w:r>
        <w:rPr>
          <w:rStyle w:val="StringTok"/>
        </w:rPr>
        <w:t xml:space="preserve">'Problem'</w:t>
      </w:r>
      <w:r>
        <w:rPr>
          <w:rStyle w:val="NormalTok"/>
        </w:rPr>
        <w:t xml:space="preserve"> </w:t>
      </w:r>
      <w:r>
        <w:rPr>
          <w:rStyle w:val="KeywordTok"/>
        </w:rPr>
        <w:t xml:space="preserve">And</w:t>
      </w:r>
      <w:r>
        <w:rPr>
          <w:rStyle w:val="NormalTok"/>
        </w:rPr>
        <w:t xml:space="preserve"> O.PendingOrderStatus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KeywordTok"/>
        </w:rPr>
        <w:t xml:space="preserve">And</w:t>
      </w:r>
      <w:r>
        <w:rPr>
          <w:rStyle w:val="NormalTok"/>
        </w:rPr>
        <w:t xml:space="preserve"> O.PendingStatusReason </w:t>
      </w:r>
      <w:r>
        <w:rPr>
          <w:rStyle w:val="KeywordTok"/>
        </w:rPr>
        <w:t xml:space="preserve">In</w:t>
      </w:r>
      <w:r>
        <w:rPr>
          <w:rStyle w:val="NormalTok"/>
        </w:rPr>
        <w:t xml:space="preserve"> (</w:t>
      </w:r>
      <w:r>
        <w:rPr>
          <w:rStyle w:val="StringTok"/>
        </w:rPr>
        <w:t xml:space="preserve">'Awaiting Governor Division'</w:t>
      </w:r>
      <w:r>
        <w:rPr>
          <w:rStyle w:val="NormalTok"/>
        </w:rPr>
        <w:t xml:space="preserve">, </w:t>
      </w:r>
      <w:r>
        <w:rPr>
          <w:rStyle w:val="StringTok"/>
        </w:rPr>
        <w:t xml:space="preserve">'Awaiting Governor Tote Grouping'</w:t>
      </w:r>
      <w:r>
        <w:rPr>
          <w:rStyle w:val="NormalTok"/>
        </w:rPr>
        <w:t xml:space="preserve">))</w:t>
      </w:r>
      <w:r>
        <w:br/>
      </w:r>
      <w:r>
        <w:rPr>
          <w:rStyle w:val="NormalTok"/>
        </w:rPr>
        <w:t xml:space="preserve">)</w:t>
      </w:r>
      <w:r>
        <w:br/>
      </w:r>
      <w:r>
        <w:rPr>
          <w:rStyle w:val="KeywordTok"/>
        </w:rPr>
        <w:t xml:space="preserve">Option</w:t>
      </w:r>
      <w:r>
        <w:rPr>
          <w:rStyle w:val="NormalTok"/>
        </w:rPr>
        <w:t xml:space="preserve"> (Recompile);</w:t>
      </w:r>
      <w:r>
        <w:br/>
      </w:r>
      <w:r>
        <w:br/>
      </w:r>
      <w:r>
        <w:rPr>
          <w:rStyle w:val="KeywordTok"/>
        </w:rPr>
        <w:t xml:space="preserve">Create</w:t>
      </w:r>
      <w:r>
        <w:rPr>
          <w:rStyle w:val="NormalTok"/>
        </w:rPr>
        <w:t xml:space="preserve"> </w:t>
      </w:r>
      <w:r>
        <w:rPr>
          <w:rStyle w:val="KeywordTok"/>
        </w:rPr>
        <w:t xml:space="preserve">Index</w:t>
      </w:r>
      <w:r>
        <w:rPr>
          <w:rStyle w:val="NormalTok"/>
        </w:rPr>
        <w:t xml:space="preserve"> IX_BP_Pair </w:t>
      </w:r>
      <w:r>
        <w:rPr>
          <w:rStyle w:val="KeywordTok"/>
        </w:rPr>
        <w:t xml:space="preserve">On</w:t>
      </w:r>
      <w:r>
        <w:rPr>
          <w:rStyle w:val="NormalTok"/>
        </w:rPr>
        <w:t xml:space="preserve"> #BlockedPairs(GroupNum, ToteGroupNum)</w:t>
      </w:r>
    </w:p>
    <w:p>
      <w:pPr>
        <w:pStyle w:val="FirstParagraph"/>
      </w:pPr>
      <w:r>
        <w:t xml:space="preserve">One scan over</w:t>
      </w:r>
      <w:r>
        <w:t xml:space="preserve"> </w:t>
      </w:r>
      <w:r>
        <w:rPr>
          <w:rStyle w:val="VerbatimChar"/>
        </w:rPr>
        <w:t xml:space="preserve">GovRx + OeOrder</w:t>
      </w:r>
      <w:r>
        <w:t xml:space="preserve"> </w:t>
      </w:r>
      <w:r>
        <w:t xml:space="preserve">produces every blocking pair. The five Insert blocks below reference</w:t>
      </w:r>
      <w:r>
        <w:t xml:space="preserve"> </w:t>
      </w:r>
      <w:r>
        <w:rPr>
          <w:rStyle w:val="VerbatimChar"/>
        </w:rPr>
        <w:t xml:space="preserve">#BlockedPairs</w:t>
      </w:r>
      <w:r>
        <w:t xml:space="preserve"> </w:t>
      </w:r>
      <w:r>
        <w:t xml:space="preserve">via Left Join + IS NULL.</w:t>
      </w:r>
    </w:p>
    <w:p>
      <w:pPr>
        <w:pStyle w:val="BodyText"/>
      </w:pPr>
      <w:r>
        <w:rPr>
          <w:b/>
        </w:rPr>
        <w:t xml:space="preserve">Five Inserts use the consolidated blocking set.</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#GroupsToAllocate </w:t>
      </w:r>
      <w:r>
        <w:rPr>
          <w:rStyle w:val="OperatorTok"/>
        </w:rPr>
        <w:t xml:space="preserve">..</w:t>
      </w:r>
      <w:r>
        <w:rPr>
          <w:rStyle w:val="NormalTok"/>
        </w:rPr>
        <w:t xml:space="preserve">.</w:t>
      </w:r>
      <w:r>
        <w:br/>
      </w:r>
      <w:r>
        <w:rPr>
          <w:rStyle w:val="KeywordTok"/>
        </w:rPr>
        <w:t xml:space="preserve">Select</w:t>
      </w:r>
      <w:r>
        <w:rPr>
          <w:rStyle w:val="NormalTok"/>
        </w:rPr>
        <w:t xml:space="preserve"> Top (@CfgAllocateXGroupsEachPass) </w:t>
      </w:r>
      <w:r>
        <w:rPr>
          <w:rStyle w:val="OperatorTok"/>
        </w:rPr>
        <w:t xml:space="preserve">..</w:t>
      </w:r>
      <w:r>
        <w:rPr>
          <w:rStyle w:val="NormalTok"/>
        </w:rPr>
        <w:t xml:space="preserve">.</w:t>
      </w:r>
      <w:r>
        <w:br/>
      </w:r>
      <w:r>
        <w:rPr>
          <w:rStyle w:val="KeywordTok"/>
        </w:rPr>
        <w:t xml:space="preserve">From</w:t>
      </w:r>
      <w:r>
        <w:rPr>
          <w:rStyle w:val="NormalTok"/>
        </w:rPr>
        <w:t xml:space="preserve"> #AwaitingAllocationRxs A</w:t>
      </w:r>
      <w:r>
        <w:br/>
      </w:r>
      <w:r>
        <w:rPr>
          <w:rStyle w:val="KeywordTok"/>
        </w:rPr>
        <w:t xml:space="preserve">Inner</w:t>
      </w:r>
      <w:r>
        <w:rPr>
          <w:rStyle w:val="NormalTok"/>
        </w:rPr>
        <w:t xml:space="preserve"> </w:t>
      </w:r>
      <w:r>
        <w:rPr>
          <w:rStyle w:val="KeywordTok"/>
        </w:rPr>
        <w:t xml:space="preserve">Join</w:t>
      </w:r>
      <w:r>
        <w:rPr>
          <w:rStyle w:val="NormalTok"/>
        </w:rPr>
        <w:t xml:space="preserve"> GovRx G </w:t>
      </w:r>
      <w:r>
        <w:rPr>
          <w:rStyle w:val="KeywordTok"/>
        </w:rPr>
        <w:t xml:space="preserve">With</w:t>
      </w:r>
      <w:r>
        <w:rPr>
          <w:rStyle w:val="NormalTok"/>
        </w:rPr>
        <w:t xml:space="preserve"> (NoLock) </w:t>
      </w:r>
      <w:r>
        <w:rPr>
          <w:rStyle w:val="KeywordTok"/>
        </w:rPr>
        <w:t xml:space="preserve">On</w:t>
      </w:r>
      <w:r>
        <w:rPr>
          <w:rStyle w:val="NormalTok"/>
        </w:rPr>
        <w:t xml:space="preserve"> G.OrderId </w:t>
      </w:r>
      <w:r>
        <w:rPr>
          <w:rStyle w:val="OperatorTok"/>
        </w:rPr>
        <w:t xml:space="preserve">=</w:t>
      </w:r>
      <w:r>
        <w:rPr>
          <w:rStyle w:val="NormalTok"/>
        </w:rPr>
        <w:t xml:space="preserve"> A.OrderId</w:t>
      </w:r>
      <w:r>
        <w:br/>
      </w:r>
      <w:r>
        <w:rPr>
          <w:rStyle w:val="KeywordTok"/>
        </w:rPr>
        <w:t xml:space="preserve">Left</w:t>
      </w:r>
      <w:r>
        <w:rPr>
          <w:rStyle w:val="NormalTok"/>
        </w:rPr>
        <w:t xml:space="preserve"> </w:t>
      </w:r>
      <w:r>
        <w:rPr>
          <w:rStyle w:val="KeywordTok"/>
        </w:rPr>
        <w:t xml:space="preserve">Join</w:t>
      </w:r>
      <w:r>
        <w:rPr>
          <w:rStyle w:val="NormalTok"/>
        </w:rPr>
        <w:t xml:space="preserve"> #BlockedPairs BP </w:t>
      </w:r>
      <w:r>
        <w:rPr>
          <w:rStyle w:val="KeywordTok"/>
        </w:rPr>
        <w:t xml:space="preserve">On</w:t>
      </w:r>
      <w:r>
        <w:rPr>
          <w:rStyle w:val="NormalTok"/>
        </w:rPr>
        <w:t xml:space="preserve"> BP.GroupNum </w:t>
      </w:r>
      <w:r>
        <w:rPr>
          <w:rStyle w:val="OperatorTok"/>
        </w:rPr>
        <w:t xml:space="preserve">=</w:t>
      </w:r>
      <w:r>
        <w:rPr>
          <w:rStyle w:val="NormalTok"/>
        </w:rPr>
        <w:t xml:space="preserve"> A.GroupNum </w:t>
      </w:r>
      <w:r>
        <w:rPr>
          <w:rStyle w:val="KeywordTok"/>
        </w:rPr>
        <w:t xml:space="preserve">And</w:t>
      </w:r>
      <w:r>
        <w:rPr>
          <w:rStyle w:val="NormalTok"/>
        </w:rPr>
        <w:t xml:space="preserve"> BP.ToteGroupNum </w:t>
      </w:r>
      <w:r>
        <w:rPr>
          <w:rStyle w:val="OperatorTok"/>
        </w:rPr>
        <w:t xml:space="preserve">=</w:t>
      </w:r>
      <w:r>
        <w:rPr>
          <w:rStyle w:val="NormalTok"/>
        </w:rPr>
        <w:t xml:space="preserve"> G.ToteGroupNum</w:t>
      </w:r>
      <w:r>
        <w:br/>
      </w:r>
      <w:r>
        <w:rPr>
          <w:rStyle w:val="KeywordTok"/>
        </w:rPr>
        <w:t xml:space="preserve">Where</w:t>
      </w:r>
      <w:r>
        <w:rPr>
          <w:rStyle w:val="NormalTok"/>
        </w:rPr>
        <w:t xml:space="preserve"> G.OrderTypeCode </w:t>
      </w:r>
      <w:r>
        <w:rPr>
          <w:rStyle w:val="OperatorTok"/>
        </w:rPr>
        <w:t xml:space="preserve">=</w:t>
      </w:r>
      <w:r>
        <w:rPr>
          <w:rStyle w:val="NormalTok"/>
        </w:rPr>
        <w:t xml:space="preserve"> </w:t>
      </w:r>
      <w:r>
        <w:rPr>
          <w:rStyle w:val="StringTok"/>
        </w:rPr>
        <w:t xml:space="preserve">'ST'</w:t>
      </w:r>
      <w:r>
        <w:br/>
      </w:r>
      <w:r>
        <w:rPr>
          <w:rStyle w:val="NormalTok"/>
        </w:rPr>
        <w:t xml:space="preserve">  </w:t>
      </w:r>
      <w:r>
        <w:rPr>
          <w:rStyle w:val="KeywordTok"/>
        </w:rPr>
        <w:t xml:space="preserve">And</w:t>
      </w:r>
      <w:r>
        <w:rPr>
          <w:rStyle w:val="NormalTok"/>
        </w:rPr>
        <w:t xml:space="preserve"> BP.GroupNum </w:t>
      </w:r>
      <w:r>
        <w:rPr>
          <w:rStyle w:val="KeywordTok"/>
        </w:rPr>
        <w:t xml:space="preserve">Is</w:t>
      </w:r>
      <w:r>
        <w:rPr>
          <w:rStyle w:val="NormalTok"/>
        </w:rPr>
        <w:t xml:space="preserve"> </w:t>
      </w:r>
      <w:r>
        <w:rPr>
          <w:rStyle w:val="KeywordTok"/>
        </w:rPr>
        <w:t xml:space="preserve">Null</w:t>
      </w:r>
      <w:r>
        <w:br/>
      </w:r>
      <w:r>
        <w:rPr>
          <w:rStyle w:val="OperatorTok"/>
        </w:rPr>
        <w:t xml:space="preserve">..</w:t>
      </w:r>
      <w:r>
        <w:rPr>
          <w:rStyle w:val="NormalTok"/>
        </w:rPr>
        <w:t xml:space="preserve">.</w:t>
      </w:r>
      <w:r>
        <w:br/>
      </w:r>
      <w:r>
        <w:rPr>
          <w:rStyle w:val="KeywordTok"/>
        </w:rPr>
        <w:t xml:space="preserve">Option</w:t>
      </w:r>
      <w:r>
        <w:rPr>
          <w:rStyle w:val="NormalTok"/>
        </w:rPr>
        <w:t xml:space="preserve"> (Recompile);</w:t>
      </w:r>
    </w:p>
    <w:p>
      <w:pPr>
        <w:pStyle w:val="FirstParagraph"/>
      </w:pPr>
      <w:r>
        <w:t xml:space="preserve">The Left Join + IS NULL probe is cheap because</w:t>
      </w:r>
      <w:r>
        <w:t xml:space="preserve"> </w:t>
      </w:r>
      <w:r>
        <w:rPr>
          <w:rStyle w:val="VerbatimChar"/>
        </w:rPr>
        <w:t xml:space="preserve">#BlockedPairs</w:t>
      </w:r>
      <w:r>
        <w:t xml:space="preserve"> </w:t>
      </w:r>
      <w:r>
        <w:t xml:space="preserve">has the supporting index.</w:t>
      </w:r>
    </w:p>
    <w:p>
      <w:pPr>
        <w:pStyle w:val="BodyText"/>
      </w:pPr>
      <w:r>
        <w:rPr>
          <w:b/>
        </w:rPr>
        <w:t xml:space="preserve">Pre-materialized allocated-pair set replaces the correlated Exists.</w:t>
      </w:r>
    </w:p>
    <w:p>
      <w:pPr>
        <w:pStyle w:val="SourceCode"/>
      </w:pPr>
      <w:r>
        <w:rPr>
          <w:rStyle w:val="KeywordTok"/>
        </w:rPr>
        <w:t xml:space="preserve">Select</w:t>
      </w:r>
      <w:r>
        <w:rPr>
          <w:rStyle w:val="NormalTok"/>
        </w:rPr>
        <w:t xml:space="preserve"> </w:t>
      </w:r>
      <w:r>
        <w:rPr>
          <w:rStyle w:val="KeywordTok"/>
        </w:rPr>
        <w:t xml:space="preserve">Distinct</w:t>
      </w:r>
      <w:r>
        <w:br/>
      </w:r>
      <w:r>
        <w:rPr>
          <w:rStyle w:val="NormalTok"/>
        </w:rPr>
        <w:t xml:space="preserve">      O.GroupNum, G.ToteGroupNum</w:t>
      </w:r>
      <w:r>
        <w:br/>
      </w:r>
      <w:r>
        <w:rPr>
          <w:rStyle w:val="KeywordTok"/>
        </w:rPr>
        <w:t xml:space="preserve">Into</w:t>
      </w:r>
      <w:r>
        <w:rPr>
          <w:rStyle w:val="NormalTok"/>
        </w:rPr>
        <w:t xml:space="preserve"> #AllocatedPairs</w:t>
      </w:r>
      <w:r>
        <w:br/>
      </w:r>
      <w:r>
        <w:rPr>
          <w:rStyle w:val="KeywordTok"/>
        </w:rPr>
        <w:t xml:space="preserve">From</w:t>
      </w:r>
      <w:r>
        <w:rPr>
          <w:rStyle w:val="NormalTok"/>
        </w:rPr>
        <w:t xml:space="preserve"> OeOrder O </w:t>
      </w:r>
      <w:r>
        <w:rPr>
          <w:rStyle w:val="KeywordTok"/>
        </w:rPr>
        <w:t xml:space="preserve">With</w:t>
      </w:r>
      <w:r>
        <w:rPr>
          <w:rStyle w:val="NormalTok"/>
        </w:rPr>
        <w:t xml:space="preserve"> (NoLock)</w:t>
      </w:r>
      <w:r>
        <w:br/>
      </w:r>
      <w:r>
        <w:rPr>
          <w:rStyle w:val="KeywordTok"/>
        </w:rPr>
        <w:t xml:space="preserve">Inner</w:t>
      </w:r>
      <w:r>
        <w:rPr>
          <w:rStyle w:val="NormalTok"/>
        </w:rPr>
        <w:t xml:space="preserve"> </w:t>
      </w:r>
      <w:r>
        <w:rPr>
          <w:rStyle w:val="KeywordTok"/>
        </w:rPr>
        <w:t xml:space="preserve">Join</w:t>
      </w:r>
      <w:r>
        <w:rPr>
          <w:rStyle w:val="NormalTok"/>
        </w:rPr>
        <w:t xml:space="preserve"> GovRx G </w:t>
      </w:r>
      <w:r>
        <w:rPr>
          <w:rStyle w:val="KeywordTok"/>
        </w:rPr>
        <w:t xml:space="preserve">With</w:t>
      </w:r>
      <w:r>
        <w:rPr>
          <w:rStyle w:val="NormalTok"/>
        </w:rPr>
        <w:t xml:space="preserve"> (NoLock) </w:t>
      </w:r>
      <w:r>
        <w:rPr>
          <w:rStyle w:val="KeywordTok"/>
        </w:rPr>
        <w:t xml:space="preserve">On</w:t>
      </w:r>
      <w:r>
        <w:rPr>
          <w:rStyle w:val="NormalTok"/>
        </w:rPr>
        <w:t xml:space="preserve"> G.OrderId </w:t>
      </w:r>
      <w:r>
        <w:rPr>
          <w:rStyle w:val="OperatorTok"/>
        </w:rPr>
        <w:t xml:space="preserve">=</w:t>
      </w:r>
      <w:r>
        <w:rPr>
          <w:rStyle w:val="NormalTok"/>
        </w:rPr>
        <w:t xml:space="preserve"> O.OrderId</w:t>
      </w:r>
      <w:r>
        <w:br/>
      </w:r>
      <w:r>
        <w:rPr>
          <w:rStyle w:val="KeywordTok"/>
        </w:rPr>
        <w:t xml:space="preserve">Inner</w:t>
      </w:r>
      <w:r>
        <w:rPr>
          <w:rStyle w:val="NormalTok"/>
        </w:rPr>
        <w:t xml:space="preserve"> </w:t>
      </w:r>
      <w:r>
        <w:rPr>
          <w:rStyle w:val="KeywordTok"/>
        </w:rPr>
        <w:t xml:space="preserve">Join</w:t>
      </w:r>
      <w:r>
        <w:rPr>
          <w:rStyle w:val="NormalTok"/>
        </w:rPr>
        <w:t xml:space="preserve"> #GroupsToAllocate A </w:t>
      </w:r>
      <w:r>
        <w:rPr>
          <w:rStyle w:val="KeywordTok"/>
        </w:rPr>
        <w:t xml:space="preserve">On</w:t>
      </w:r>
      <w:r>
        <w:rPr>
          <w:rStyle w:val="NormalTok"/>
        </w:rPr>
        <w:t xml:space="preserve"> A.GroupNum </w:t>
      </w:r>
      <w:r>
        <w:rPr>
          <w:rStyle w:val="OperatorTok"/>
        </w:rPr>
        <w:t xml:space="preserve">=</w:t>
      </w:r>
      <w:r>
        <w:rPr>
          <w:rStyle w:val="NormalTok"/>
        </w:rPr>
        <w:t xml:space="preserve"> O.GroupNum </w:t>
      </w:r>
      <w:r>
        <w:rPr>
          <w:rStyle w:val="KeywordTok"/>
        </w:rPr>
        <w:t xml:space="preserve">And</w:t>
      </w:r>
      <w:r>
        <w:rPr>
          <w:rStyle w:val="NormalTok"/>
        </w:rPr>
        <w:t xml:space="preserve"> A.ToteGroupNum </w:t>
      </w:r>
      <w:r>
        <w:rPr>
          <w:rStyle w:val="OperatorTok"/>
        </w:rPr>
        <w:t xml:space="preserve">=</w:t>
      </w:r>
      <w:r>
        <w:rPr>
          <w:rStyle w:val="NormalTok"/>
        </w:rPr>
        <w:t xml:space="preserve"> G.ToteGroupNum</w:t>
      </w:r>
      <w:r>
        <w:br/>
      </w:r>
      <w:r>
        <w:rPr>
          <w:rStyle w:val="KeywordTok"/>
        </w:rPr>
        <w:t xml:space="preserve">Where</w:t>
      </w:r>
      <w:r>
        <w:rPr>
          <w:rStyle w:val="NormalTok"/>
        </w:rPr>
        <w:t xml:space="preserve"> G.RxCvyStateCode </w:t>
      </w:r>
      <w:r>
        <w:rPr>
          <w:rStyle w:val="OperatorTok"/>
        </w:rPr>
        <w:t xml:space="preserve">=</w:t>
      </w:r>
      <w:r>
        <w:rPr>
          <w:rStyle w:val="NormalTok"/>
        </w:rPr>
        <w:t xml:space="preserve"> </w:t>
      </w:r>
      <w:r>
        <w:rPr>
          <w:rStyle w:val="StringTok"/>
        </w:rPr>
        <w:t xml:space="preserve">'0'</w:t>
      </w:r>
      <w:r>
        <w:br/>
      </w:r>
      <w:r>
        <w:rPr>
          <w:rStyle w:val="KeywordTok"/>
        </w:rPr>
        <w:t xml:space="preserve">Option</w:t>
      </w:r>
      <w:r>
        <w:rPr>
          <w:rStyle w:val="NormalTok"/>
        </w:rPr>
        <w:t xml:space="preserve"> (Recompile);</w:t>
      </w:r>
    </w:p>
    <w:p>
      <w:pPr>
        <w:pStyle w:val="FirstParagraph"/>
      </w:pPr>
      <w:r>
        <w:t xml:space="preserve">The final SELECT then Left-Joins</w:t>
      </w:r>
      <w:r>
        <w:t xml:space="preserve"> </w:t>
      </w:r>
      <w:r>
        <w:rPr>
          <w:rStyle w:val="VerbatimChar"/>
        </w:rPr>
        <w:t xml:space="preserve">#AllocatedPairs</w:t>
      </w:r>
      <w:r>
        <w:t xml:space="preserve"> </w:t>
      </w:r>
      <w:r>
        <w:t xml:space="preserve">and projects</w:t>
      </w:r>
      <w:r>
        <w:t xml:space="preserve"> </w:t>
      </w:r>
      <w:r>
        <w:rPr>
          <w:rStyle w:val="VerbatimChar"/>
        </w:rPr>
        <w:t xml:space="preserve">Case When AP.GroupNum Is Not Null Then 1 Else 0 End</w:t>
      </w:r>
      <w:r>
        <w:t xml:space="preserve"> </w:t>
      </w:r>
      <w:r>
        <w:t xml:space="preserve">for</w:t>
      </w:r>
      <w:r>
        <w:t xml:space="preserve"> </w:t>
      </w:r>
      <w:r>
        <w:rPr>
          <w:rStyle w:val="VerbatimChar"/>
        </w:rPr>
        <w:t xml:space="preserve">HasAllocatedRx</w:t>
      </w:r>
      <w:r>
        <w:t xml:space="preserve">.</w:t>
      </w:r>
    </w:p>
    <w:p>
      <w:r>
        <w:pict>
          <v:rect style="width:0;height:1.5pt" o:hralign="center" o:hrstd="t" o:hr="t"/>
        </w:pict>
      </w:r>
    </w:p>
    <w:p>
      <w:pPr>
        <w:pStyle w:val="Heading2"/>
      </w:pPr>
      <w:bookmarkStart w:id="29" w:name="risk-rollback"/>
      <w:r>
        <w:t xml:space="preserve">7. Risk &amp; Rollback</w:t>
      </w:r>
      <w:bookmarkEnd w:id="29"/>
    </w:p>
    <w:p>
      <w:pPr>
        <w:pStyle w:val="FirstParagraph"/>
      </w:pPr>
      <w:r>
        <w:rPr>
          <w:b/>
        </w:rPr>
        <w:t xml:space="preserve">What could go wrong.</w:t>
      </w:r>
      <w:r>
        <w:t xml:space="preserve"> </w:t>
      </w:r>
      <w:r>
        <w:t xml:space="preserve">The</w:t>
      </w:r>
      <w:r>
        <w:t xml:space="preserve"> </w:t>
      </w:r>
      <w:r>
        <w:rPr>
          <w:rStyle w:val="VerbatimChar"/>
        </w:rPr>
        <w:t xml:space="preserve">#BlockedPairs</w:t>
      </w:r>
      <w:r>
        <w:t xml:space="preserve"> </w:t>
      </w:r>
      <w:r>
        <w:t xml:space="preserve">set is the central semantic replacement. The set is computed by scanning all rows that match the blocking criteria; the v2 Not Exists subquery checked per outer pair whether any blocking Rx exists for that pair. The two forms are logically equivalent: a pair is blocked iff at least one blocking Rx exists for it. The Distinct in the v3 SELECT removes duplicate pair entries that appear when multiple Rxs in the same pair satisfy the blocking criteria.</w:t>
      </w:r>
    </w:p>
    <w:p>
      <w:pPr>
        <w:pStyle w:val="BodyText"/>
      </w:pPr>
      <w:r>
        <w:t xml:space="preserve">The</w:t>
      </w:r>
      <w:r>
        <w:t xml:space="preserve"> </w:t>
      </w:r>
      <w:r>
        <w:rPr>
          <w:rStyle w:val="VerbatimChar"/>
        </w:rPr>
        <w:t xml:space="preserve">#AllocatedPairs</w:t>
      </w:r>
      <w:r>
        <w:t xml:space="preserve"> </w:t>
      </w:r>
      <w:r>
        <w:t xml:space="preserve">set similarly replaces the Exists subquery with a Left Join. The</w:t>
      </w:r>
      <w:r>
        <w:t xml:space="preserve"> </w:t>
      </w:r>
      <w:r>
        <w:rPr>
          <w:rStyle w:val="VerbatimChar"/>
        </w:rPr>
        <w:t xml:space="preserve">RxCvyStateCode = '0'</w:t>
      </w:r>
      <w:r>
        <w:t xml:space="preserve"> </w:t>
      </w:r>
      <w:r>
        <w:t xml:space="preserve">filter is preserved.</w:t>
      </w:r>
    </w:p>
    <w:p>
      <w:pPr>
        <w:pStyle w:val="BodyText"/>
      </w:pPr>
      <w:r>
        <w:t xml:space="preserve">The temp-table conversion from</w:t>
      </w:r>
      <w:r>
        <w:t xml:space="preserve"> </w:t>
      </w:r>
      <w:r>
        <w:rPr>
          <w:rStyle w:val="VerbatimChar"/>
        </w:rPr>
        <w:t xml:space="preserve">@GroupsToAllocate</w:t>
      </w:r>
      <w:r>
        <w:t xml:space="preserve"> </w:t>
      </w:r>
      <w:r>
        <w:t xml:space="preserve">to</w:t>
      </w:r>
      <w:r>
        <w:t xml:space="preserve"> </w:t>
      </w:r>
      <w:r>
        <w:rPr>
          <w:rStyle w:val="VerbatimChar"/>
        </w:rPr>
        <w:t xml:space="preserve">#GroupsToAllocate</w:t>
      </w:r>
      <w:r>
        <w:t xml:space="preserve"> </w:t>
      </w:r>
      <w:r>
        <w:t xml:space="preserve">is semantically equivalent; the only behavioral change is that the temp table carries statistics, which lets the optimizer plan the downstream join more accurately.</w:t>
      </w:r>
    </w:p>
    <w:p>
      <w:pPr>
        <w:pStyle w:val="BodyText"/>
      </w:pPr>
      <w:r>
        <w:rPr>
          <w:b/>
        </w:rPr>
        <w:t xml:space="preserve">What to look for in the first 24 hours.</w:t>
      </w:r>
      <w:r>
        <w:t xml:space="preserve"> </w:t>
      </w:r>
      <w:r>
        <w:t xml:space="preserve">Plan variant count per site, executions of the blocking subquery (expected: 1 per call instead of 5), final-SELECT operator count (expected: simpler with the Left Join replacing the correlated Exists).</w:t>
      </w:r>
    </w:p>
    <w:p>
      <w:pPr>
        <w:pStyle w:val="BodyText"/>
      </w:pPr>
      <w:r>
        <w:rPr>
          <w:b/>
        </w:rPr>
        <w:t xml:space="preserve">Rollback path.</w:t>
      </w:r>
      <w:r>
        <w:t xml:space="preserve"> </w:t>
      </w:r>
      <w:r>
        <w:t xml:space="preserve">The v2 body is in</w:t>
      </w:r>
      <w:r>
        <w:t xml:space="preserve"> </w:t>
      </w:r>
      <w:r>
        <w:rPr>
          <w:rStyle w:val="VerbatimChar"/>
        </w:rPr>
        <w:t xml:space="preserve">Original.sql</w:t>
      </w:r>
      <w:r>
        <w:t xml:space="preserve">. Redeploying v2 reverts cleanly.</w:t>
      </w:r>
    </w:p>
    <w:p>
      <w:r>
        <w:pict>
          <v:rect style="width:0;height:1.5pt" o:hralign="center" o:hrstd="t" o:hr="t"/>
        </w:pict>
      </w:r>
    </w:p>
    <w:p>
      <w:pPr>
        <w:pStyle w:val="Heading2"/>
      </w:pPr>
      <w:bookmarkStart w:id="30" w:name="evidence-of-refactor-v3"/>
      <w:r>
        <w:t xml:space="preserve">8. Evidence of Refactor (v3)</w:t>
      </w:r>
      <w:bookmarkEnd w:id="30"/>
    </w:p>
    <w:p>
      <w:pPr>
        <w:pStyle w:val="SourceCode"/>
      </w:pPr>
      <w:r>
        <w:rPr>
          <w:rStyle w:val="VerbatimChar"/>
        </w:rPr>
        <w:t xml:space="preserve">(paste STATS IO / STATS TIME for v3 against the same data state used for v2 here)</w:t>
      </w:r>
    </w:p>
    <w:p>
      <w:r>
        <w:pict>
          <v:rect style="width:0;height:1.5pt" o:hralign="center" o:hrstd="t" o:hr="t"/>
        </w:pict>
      </w:r>
    </w:p>
    <w:p>
      <w:pPr>
        <w:pStyle w:val="Heading2"/>
      </w:pPr>
      <w:bookmarkStart w:id="31" w:name="comparison-improvement"/>
      <w:r>
        <w:t xml:space="preserve">9. Comparison &amp; Improvement</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v2 (paste)</w:t>
            </w:r>
          </w:p>
        </w:tc>
        <w:tc>
          <w:tcPr>
            <w:tcBorders>
              <w:bottom w:val="single"/>
            </w:tcBorders>
            <w:vAlign w:val="bottom"/>
          </w:tcPr>
          <w:p>
            <w:pPr>
              <w:pStyle w:val="Compact"/>
              <w:jc w:val="left"/>
            </w:pPr>
            <w:r>
              <w:t xml:space="preserve">v3 (paste)</w:t>
            </w:r>
          </w:p>
        </w:tc>
        <w:tc>
          <w:tcPr>
            <w:tcBorders>
              <w:bottom w:val="single"/>
            </w:tcBorders>
            <w:vAlign w:val="bottom"/>
          </w:tcPr>
          <w:p>
            <w:pPr>
              <w:pStyle w:val="Compact"/>
              <w:jc w:val="left"/>
            </w:pPr>
            <w:r>
              <w:t xml:space="preserve">Delta</w:t>
            </w:r>
          </w:p>
        </w:tc>
      </w:tr>
      <w:tr>
        <w:tc>
          <w:p>
            <w:pPr>
              <w:pStyle w:val="Compact"/>
              <w:jc w:val="left"/>
            </w:pPr>
            <w:r>
              <w:t xml:space="preserve">Logical reads (total)</w:t>
            </w:r>
          </w:p>
        </w:tc>
        <w:tc>
          <w:p/>
        </w:tc>
        <w:tc>
          <w:p/>
        </w:tc>
        <w:tc>
          <w:p/>
        </w:tc>
      </w:tr>
      <w:tr>
        <w:tc>
          <w:p>
            <w:pPr>
              <w:pStyle w:val="Compact"/>
              <w:jc w:val="left"/>
            </w:pPr>
            <w:r>
              <w:t xml:space="preserve">Logical reads on</w:t>
            </w:r>
            <w:r>
              <w:t xml:space="preserve"> </w:t>
            </w:r>
            <w:r>
              <w:rPr>
                <w:rStyle w:val="VerbatimChar"/>
              </w:rPr>
              <w:t xml:space="preserve">OeOrder</w:t>
            </w:r>
          </w:p>
        </w:tc>
        <w:tc>
          <w:p/>
        </w:tc>
        <w:tc>
          <w:p>
            <w:pPr>
              <w:pStyle w:val="Compact"/>
              <w:jc w:val="left"/>
            </w:pPr>
            <w:r>
              <w:t xml:space="preserve">(expected: substantially lower)</w:t>
            </w:r>
          </w:p>
        </w:tc>
        <w:tc>
          <w:p/>
        </w:tc>
      </w:tr>
      <w:tr>
        <w:tc>
          <w:p>
            <w:pPr>
              <w:pStyle w:val="Compact"/>
              <w:jc w:val="left"/>
            </w:pPr>
            <w:r>
              <w:t xml:space="preserve">Logical reads on</w:t>
            </w:r>
            <w:r>
              <w:t xml:space="preserve"> </w:t>
            </w:r>
            <w:r>
              <w:rPr>
                <w:rStyle w:val="VerbatimChar"/>
              </w:rPr>
              <w:t xml:space="preserve">GovRx</w:t>
            </w:r>
          </w:p>
        </w:tc>
        <w:tc>
          <w:p/>
        </w:tc>
        <w:tc>
          <w:p>
            <w:pPr>
              <w:pStyle w:val="Compact"/>
              <w:jc w:val="left"/>
            </w:pPr>
            <w:r>
              <w:t xml:space="preserve">(expected: lower)</w:t>
            </w:r>
          </w:p>
        </w:tc>
        <w:tc>
          <w:p/>
        </w:tc>
      </w:tr>
      <w:tr>
        <w:tc>
          <w:p>
            <w:pPr>
              <w:pStyle w:val="Compact"/>
              <w:jc w:val="left"/>
            </w:pPr>
            <w:r>
              <w:t xml:space="preserve">CPU time (ms)</w:t>
            </w:r>
          </w:p>
        </w:tc>
        <w:tc>
          <w:p/>
        </w:tc>
        <w:tc>
          <w:p/>
        </w:tc>
        <w:tc>
          <w:p/>
        </w:tc>
      </w:tr>
      <w:tr>
        <w:tc>
          <w:p>
            <w:pPr>
              <w:pStyle w:val="Compact"/>
              <w:jc w:val="left"/>
            </w:pPr>
            <w:r>
              <w:t xml:space="preserve">Elapsed time (ms)</w:t>
            </w:r>
          </w:p>
        </w:tc>
        <w:tc>
          <w:p/>
        </w:tc>
        <w:tc>
          <w:p/>
        </w:tc>
        <w:tc>
          <w:p/>
        </w:tc>
      </w:tr>
      <w:tr>
        <w:tc>
          <w:p>
            <w:pPr>
              <w:pStyle w:val="Compact"/>
              <w:jc w:val="left"/>
            </w:pPr>
            <w:r>
              <w:t xml:space="preserve">Plan operator count on final SELECT</w:t>
            </w:r>
          </w:p>
        </w:tc>
        <w:tc>
          <w:p/>
        </w:tc>
        <w:tc>
          <w:p>
            <w:pPr>
              <w:pStyle w:val="Compact"/>
              <w:jc w:val="left"/>
            </w:pPr>
            <w:r>
              <w:t xml:space="preserve">(expected: simpler)</w:t>
            </w:r>
          </w:p>
        </w:tc>
        <w:tc>
          <w:p/>
        </w:tc>
      </w:tr>
      <w:tr>
        <w:tc>
          <w:p>
            <w:pPr>
              <w:pStyle w:val="Compact"/>
              <w:jc w:val="left"/>
            </w:pPr>
            <w:r>
              <w:t xml:space="preserve">Plan variant count across captures</w:t>
            </w:r>
          </w:p>
        </w:tc>
        <w:tc>
          <w:p>
            <w:pPr>
              <w:pStyle w:val="Compact"/>
              <w:jc w:val="left"/>
            </w:pPr>
            <w:r>
              <w:t xml:space="preserve">(expected: 2+)</w:t>
            </w:r>
          </w:p>
        </w:tc>
        <w:tc>
          <w:p>
            <w:pPr>
              <w:pStyle w:val="Compact"/>
              <w:jc w:val="left"/>
            </w:pPr>
            <w:r>
              <w:t xml:space="preserve">(expected: 1)</w:t>
            </w:r>
          </w:p>
        </w:tc>
        <w:tc>
          <w:p/>
        </w:tc>
      </w:tr>
      <w:tr>
        <w:tc>
          <w:p>
            <w:pPr>
              <w:pStyle w:val="Compact"/>
              <w:jc w:val="left"/>
            </w:pPr>
            <w:r>
              <w:t xml:space="preserve">Result row count and HasAllocatedRx values</w:t>
            </w:r>
          </w:p>
        </w:tc>
        <w:tc>
          <w:p/>
        </w:tc>
        <w:tc>
          <w:p>
            <w:pPr>
              <w:pStyle w:val="Compact"/>
              <w:jc w:val="left"/>
            </w:pPr>
            <w:r>
              <w:t xml:space="preserve">(expected: identical)</w:t>
            </w:r>
          </w:p>
        </w:tc>
        <w:tc>
          <w:p/>
        </w:tc>
      </w:tr>
    </w:tbl>
    <w:p>
      <w:pPr>
        <w:pStyle w:val="BodyText"/>
      </w:pPr>
      <w:r>
        <w:rPr>
          <w:b/>
        </w:rPr>
        <w:t xml:space="preserve">Verdict (to be entered once the captures land):</w:t>
      </w:r>
      <w:r>
        <w:t xml:space="preserve"> </w:t>
      </w:r>
      <w:r>
        <w:t xml:space="preserve">the headline expected delta is the consolidated blocking-pair check and the table-variable to temp-table conversion. The procedure does meaningful work; the v3 changes are structural rather than dramatic, but the cross-list</w:t>
      </w:r>
      <w:r>
        <w:t xml:space="preserve"> </w:t>
      </w:r>
      <w:r>
        <w:t xml:space="preserve">“</w:t>
      </w:r>
      <w:r>
        <w:t xml:space="preserve">plan instability</w:t>
      </w:r>
      <w:r>
        <w:t xml:space="preserve">”</w:t>
      </w:r>
      <w:r>
        <w:t xml:space="preserve"> </w:t>
      </w:r>
      <w:r>
        <w:t xml:space="preserve">classification should improve materially.</w:t>
      </w:r>
    </w:p>
    <w:p>
      <w:r>
        <w:pict>
          <v:rect style="width:0;height:1.5pt" o:hralign="center" o:hrstd="t" o:hr="t"/>
        </w:pict>
      </w:r>
    </w:p>
    <w:p>
      <w:pPr>
        <w:pStyle w:val="Heading2"/>
      </w:pPr>
      <w:bookmarkStart w:id="32" w:name="validation-checklist"/>
      <w:r>
        <w:t xml:space="preserve">10. Validation Checklist</w:t>
      </w:r>
      <w:bookmarkEnd w:id="32"/>
    </w:p>
    <w:p>
      <w:pPr>
        <w:numPr>
          <w:ilvl w:val="0"/>
          <w:numId w:val="1002"/>
        </w:numPr>
        <w:pStyle w:val="Compact"/>
      </w:pPr>
      <w:r>
        <w:t xml:space="preserve">Same data state. (?)</w:t>
      </w:r>
    </w:p>
    <w:p>
      <w:pPr>
        <w:numPr>
          <w:ilvl w:val="0"/>
          <w:numId w:val="1002"/>
        </w:numPr>
        <w:pStyle w:val="Compact"/>
      </w:pPr>
      <w:r>
        <w:t xml:space="preserve">Warm cache only. (?)</w:t>
      </w:r>
    </w:p>
    <w:p>
      <w:pPr>
        <w:numPr>
          <w:ilvl w:val="0"/>
          <w:numId w:val="1002"/>
        </w:numPr>
        <w:pStyle w:val="Compact"/>
      </w:pPr>
      <w:r>
        <w:t xml:space="preserve">Non-zero result set. (?)</w:t>
      </w:r>
    </w:p>
    <w:p>
      <w:pPr>
        <w:numPr>
          <w:ilvl w:val="0"/>
          <w:numId w:val="1002"/>
        </w:numPr>
        <w:pStyle w:val="Compact"/>
      </w:pPr>
      <w:r>
        <w:t xml:space="preserve">Identical result set: same (GroupNum, ToteGroupNum, OrderTypeCode, SorterId) tuples returned with identical NumOfItems, PriInternal, and HasAllocatedRx values. (?)</w:t>
      </w:r>
    </w:p>
    <w:p>
      <w:pPr>
        <w:numPr>
          <w:ilvl w:val="0"/>
          <w:numId w:val="1002"/>
        </w:numPr>
        <w:pStyle w:val="Compact"/>
      </w:pPr>
      <w:r>
        <w:t xml:space="preserve">Plan shape matches prediction. (?)</w:t>
      </w:r>
    </w:p>
    <w:p>
      <w:pPr>
        <w:numPr>
          <w:ilvl w:val="0"/>
          <w:numId w:val="1002"/>
        </w:numPr>
        <w:pStyle w:val="Compact"/>
      </w:pPr>
      <w:r>
        <w:t xml:space="preserve">No new error or warning messages. (?)</w:t>
      </w:r>
    </w:p>
    <w:p>
      <w:pPr>
        <w:numPr>
          <w:ilvl w:val="0"/>
          <w:numId w:val="1002"/>
        </w:numPr>
        <w:pStyle w:val="Compact"/>
      </w:pPr>
      <w:r>
        <w:t xml:space="preserve">Warm-cache elapsed time at or below original. (?)</w:t>
      </w:r>
    </w:p>
    <w:p>
      <w:pPr>
        <w:pStyle w:val="FirstParagraph"/>
      </w:pPr>
      <w:r>
        <w:t xml:space="preserve">Net call: the refactor is sound on first principles.</w:t>
      </w:r>
    </w:p>
    <w:p>
      <w:r>
        <w:pict>
          <v:rect style="width:0;height:1.5pt" o:hralign="center" o:hrstd="t" o:hr="t"/>
        </w:pict>
      </w:r>
    </w:p>
    <w:p>
      <w:pPr>
        <w:pStyle w:val="Heading2"/>
      </w:pPr>
      <w:bookmarkStart w:id="33" w:name="open-items-future-improvements"/>
      <w:r>
        <w:t xml:space="preserve">11. Open Items / Future Improvements</w:t>
      </w:r>
      <w:bookmarkEnd w:id="33"/>
    </w:p>
    <w:p>
      <w:pPr>
        <w:pStyle w:val="Heading3"/>
      </w:pPr>
      <w:bookmarkStart w:id="34" w:name="X013d91285938bc12fbadde39adb617f3e6e0420"/>
      <w:r>
        <w:t xml:space="preserve">11.1 Index recommendation on</w:t>
      </w:r>
      <w:r>
        <w:t xml:space="preserve"> </w:t>
      </w:r>
      <w:r>
        <w:rPr>
          <w:rStyle w:val="VerbatimChar"/>
        </w:rPr>
        <w:t xml:space="preserve">OeOrder(OrderStatus, StatusReason)</w:t>
      </w:r>
      <w:r>
        <w:t xml:space="preserve"> </w:t>
      </w:r>
      <w:r>
        <w:t xml:space="preserve">filtered</w:t>
      </w:r>
      <w:bookmarkEnd w:id="34"/>
    </w:p>
    <w:p>
      <w:pPr>
        <w:pStyle w:val="FirstParagraph"/>
      </w:pPr>
      <w:r>
        <w:t xml:space="preserve">The blocking-pair scan filters by</w:t>
      </w:r>
      <w:r>
        <w:t xml:space="preserve"> </w:t>
      </w:r>
      <w:r>
        <w:rPr>
          <w:rStyle w:val="VerbatimChar"/>
        </w:rPr>
        <w:t xml:space="preserve">(OrderStatus = 'Pending' And StatusReason In (...)) Or (OrderStatus = 'Problem' And ...)</w:t>
      </w:r>
      <w:r>
        <w:t xml:space="preserve">. A filtered index that covers the most common state would let the scan seek directly. Recommended DDL is Tolleson-evaluated first.</w:t>
      </w:r>
    </w:p>
    <w:p>
      <w:pPr>
        <w:pStyle w:val="Heading3"/>
      </w:pPr>
      <w:bookmarkStart w:id="35" w:name="X7820f80669a17d47fd9e099538e9f93320ee6f4"/>
      <w:r>
        <w:t xml:space="preserve">11.2 Consider whether the five Insert blocks can share more structure</w:t>
      </w:r>
      <w:bookmarkEnd w:id="35"/>
    </w:p>
    <w:p>
      <w:pPr>
        <w:pStyle w:val="FirstParagraph"/>
      </w:pPr>
      <w:r>
        <w:t xml:space="preserve">The five Inserts differ in OrderTypeCode filter, NumOfItems calculation, SorterId projection, and Group By shape. v3 keeps them separate because consolidating them via CASE-driven shapes would defeat the optimizer’s ability to plan each branch independently. A future evaluation could prototype a single-Insert form and compare; v3 takes the conservative choice.</w:t>
      </w:r>
    </w:p>
    <w:p>
      <w:pPr>
        <w:pStyle w:val="Heading3"/>
      </w:pPr>
      <w:bookmarkStart w:id="36" w:name="per-mfc-post-deployment-monitoring"/>
      <w:r>
        <w:t xml:space="preserve">11.3 Per-MFC post-deployment monitoring</w:t>
      </w:r>
      <w:bookmarkEnd w:id="36"/>
    </w:p>
    <w:p>
      <w:pPr>
        <w:pStyle w:val="FirstParagraph"/>
      </w:pPr>
      <w:r>
        <w:t xml:space="preserve">Two-week capture per site, three-bucket outcome distribution.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2026-05-15T13:29:07Z</dcterms:created>
  <dcterms:modified xsi:type="dcterms:W3CDTF">2026-05-15T13:29:07Z</dcterms:modified>
</cp:coreProperties>
</file>

<file path=docProps/custom.xml><?xml version="1.0" encoding="utf-8"?>
<Properties xmlns="http://schemas.openxmlformats.org/officeDocument/2006/custom-properties" xmlns:vt="http://schemas.openxmlformats.org/officeDocument/2006/docPropsVTypes"/>
</file>