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25e7829a2e383387df28bc9dcdd76a4bd68d5f"/>
      <w:r>
        <w:t xml:space="preserve">lsp_OrdGetReadyForDispenseRxsInBank: Refactor Analysis (v20 to v21)</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29 (Priority P1, status Not Started)</w:t>
      </w:r>
      <w:r>
        <w:t xml:space="preserve"> </w:t>
      </w:r>
      <w:r>
        <w:rPr>
          <w:b/>
        </w:rPr>
        <w:t xml:space="preserve">Deployment state:</w:t>
      </w:r>
      <w:r>
        <w:t xml:space="preserve"> </w:t>
      </w:r>
      <w:r>
        <w:t xml:space="preserve">Cataloged. Refactored.sql is a proposed v21 designed by the MFC DBA team and me, awaiting iA review.</w:t>
      </w:r>
    </w:p>
    <w:p>
      <w:pPr>
        <w:pStyle w:val="BodyText"/>
      </w:pPr>
      <w:r>
        <w:rPr>
          <w:b/>
        </w:rPr>
        <w:t xml:space="preserve">Important cross-reference:</w:t>
      </w:r>
      <w:r>
        <w:t xml:space="preserve"> </w:t>
      </w:r>
      <w:r>
        <w:t xml:space="preserve">the analysis for Row 21 (</w:t>
      </w:r>
      <w:r>
        <w:rPr>
          <w:rStyle w:val="VerbatimChar"/>
        </w:rPr>
        <w:t xml:space="preserve">lsp_RbtDetermineNextVialToProcess</w:t>
      </w:r>
      <w:r>
        <w:t xml:space="preserve">) identified this procedure as the dominant cost driver for Row 21. Refactoring this procedure delivers compounding benefit to both rows.</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dbo.lsp_OrdGetReadyForDispenseRxsInBank</w:t>
      </w:r>
    </w:p>
    <w:p>
      <w:pPr>
        <w:pStyle w:val="BodyText"/>
      </w:pPr>
      <w:r>
        <w:rPr>
          <w:b/>
        </w:rPr>
        <w:t xml:space="preserve">Purpose in one line:</w:t>
      </w:r>
      <w:r>
        <w:t xml:space="preserve"> </w:t>
      </w:r>
      <w:r>
        <w:t xml:space="preserve">Returns the list of Counted auto-fill Rxs ready for dispense in the specified cabinet bank, ordered by a</w:t>
      </w:r>
      <w:r>
        <w:t xml:space="preserve"> </w:t>
      </w:r>
      <w:r>
        <w:t xml:space="preserve">“</w:t>
      </w:r>
      <w:r>
        <w:t xml:space="preserve">derived priority</w:t>
      </w:r>
      <w:r>
        <w:t xml:space="preserve">”</w:t>
      </w:r>
      <w:r>
        <w:t xml:space="preserve"> </w:t>
      </w:r>
      <w:r>
        <w:t xml:space="preserve">that accounts for the highest-priority same-product upstream queued Rx (which may force the Counted Rx to fill first to make way).</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read once for the Counted candidate set, once for the combined upstream candidate set, and optionally once more in the</w:t>
      </w:r>
      <w:r>
        <w:t xml:space="preserve"> </w:t>
      </w:r>
      <w:r>
        <w:t xml:space="preserve">@ReturnFillingRelatedData</w:t>
      </w:r>
      <w:r>
        <w:t xml:space="preserve"> </w:t>
      </w:r>
      <w:r>
        <w:t xml:space="preserve">= 1 branch).</w:t>
      </w:r>
    </w:p>
    <w:p>
      <w:pPr>
        <w:numPr>
          <w:ilvl w:val="0"/>
          <w:numId w:val="1001"/>
        </w:numPr>
        <w:pStyle w:val="Compact"/>
      </w:pPr>
      <w:r>
        <w:rPr>
          <w:rStyle w:val="VerbatimChar"/>
        </w:rPr>
        <w:t xml:space="preserve">vCfgSystemParamVal</w:t>
      </w:r>
      <w:r>
        <w:t xml:space="preserve"> </w:t>
      </w:r>
      <w:r>
        <w:t xml:space="preserve">(read once to retrieve the BoostInternalPriOfRxsInGroup configuration).</w:t>
      </w:r>
    </w:p>
    <w:p>
      <w:pPr>
        <w:numPr>
          <w:ilvl w:val="0"/>
          <w:numId w:val="1001"/>
        </w:numPr>
        <w:pStyle w:val="Compact"/>
      </w:pPr>
      <w:r>
        <w:rPr>
          <w:rStyle w:val="VerbatimChar"/>
        </w:rPr>
        <w:t xml:space="preserve">vInvMasterWithUserOverrides</w:t>
      </w:r>
      <w:r>
        <w:t xml:space="preserve"> </w:t>
      </w:r>
      <w:r>
        <w:t xml:space="preserve">(joined in the</w:t>
      </w:r>
      <w:r>
        <w:t xml:space="preserve"> </w:t>
      </w:r>
      <w:r>
        <w:t xml:space="preserve">@ReturnFillingRelatedData</w:t>
      </w:r>
      <w:r>
        <w:t xml:space="preserve"> </w:t>
      </w:r>
      <w:r>
        <w:t xml:space="preserve">= 0 branch for QtyPer100Cc).</w:t>
      </w:r>
    </w:p>
    <w:p>
      <w:pPr>
        <w:numPr>
          <w:ilvl w:val="0"/>
          <w:numId w:val="1001"/>
        </w:numPr>
        <w:pStyle w:val="Compact"/>
      </w:pPr>
      <w:r>
        <w:rPr>
          <w:rStyle w:val="VerbatimChar"/>
        </w:rPr>
        <w:t xml:space="preserve">OeFlaggedRxs</w:t>
      </w:r>
      <w:r>
        <w:t xml:space="preserve"> </w:t>
      </w:r>
      <w:r>
        <w:t xml:space="preserve">(left-joined in the</w:t>
      </w:r>
      <w:r>
        <w:t xml:space="preserve"> </w:t>
      </w:r>
      <w:r>
        <w:t xml:space="preserve">@ReturnFillingRelatedData</w:t>
      </w:r>
      <w:r>
        <w:t xml:space="preserve"> </w:t>
      </w:r>
      <w:r>
        <w:t xml:space="preserve">= 0 branch for the overflow-label flag).</w:t>
      </w:r>
    </w:p>
    <w:p>
      <w:pPr>
        <w:pStyle w:val="FirstParagraph"/>
      </w:pPr>
      <w:r>
        <w:rPr>
          <w:b/>
        </w:rPr>
        <w:t xml:space="preserve">Indexes used (predicted from the v21 body):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ByOrderStatusFillTypeAddrBank</w:t>
            </w:r>
            <w:r>
              <w:t xml:space="preserve"> </w:t>
            </w:r>
            <w:r>
              <w:t xml:space="preserve">(NC, key</w:t>
            </w:r>
            <w:r>
              <w:t xml:space="preserve"> </w:t>
            </w:r>
            <w:r>
              <w:rPr>
                <w:rStyle w:val="VerbatimChar"/>
              </w:rPr>
              <w:t xml:space="preserve">OrderStatus, FillType, AddrBank</w:t>
            </w:r>
            <w:r>
              <w:t xml:space="preserve">)</w:t>
            </w:r>
          </w:p>
        </w:tc>
        <w:tc>
          <w:p>
            <w:pPr>
              <w:pStyle w:val="Compact"/>
              <w:jc w:val="left"/>
            </w:pPr>
            <w:r>
              <w:t xml:space="preserve">Counted candidate scan, upstream candidate scan</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w:t>
            </w:r>
          </w:p>
        </w:tc>
        <w:tc>
          <w:p>
            <w:pPr>
              <w:pStyle w:val="Compact"/>
              <w:jc w:val="left"/>
            </w:pPr>
            <w:r>
              <w:t xml:space="preserve">join in the optional second SELECT</w:t>
            </w:r>
          </w:p>
        </w:tc>
      </w:tr>
      <w:tr>
        <w:tc>
          <w:p>
            <w:pPr>
              <w:pStyle w:val="Compact"/>
              <w:jc w:val="left"/>
            </w:pPr>
            <w:r>
              <w:rPr>
                <w:rStyle w:val="VerbatimChar"/>
              </w:rPr>
              <w:t xml:space="preserve">vCfgSystemParamVal</w:t>
            </w:r>
          </w:p>
        </w:tc>
        <w:tc>
          <w:p>
            <w:pPr>
              <w:pStyle w:val="Compact"/>
              <w:jc w:val="left"/>
            </w:pPr>
            <w:r>
              <w:t xml:space="preserve">base-table indexes</w:t>
            </w:r>
          </w:p>
        </w:tc>
        <w:tc>
          <w:p>
            <w:pPr>
              <w:pStyle w:val="Compact"/>
              <w:jc w:val="left"/>
            </w:pPr>
            <w:r>
              <w:t xml:space="preserve">one-time config read</w:t>
            </w:r>
          </w:p>
        </w:tc>
      </w:tr>
      <w:tr>
        <w:tc>
          <w:p>
            <w:pPr>
              <w:pStyle w:val="Compact"/>
              <w:jc w:val="left"/>
            </w:pPr>
            <w:r>
              <w:rPr>
                <w:rStyle w:val="VerbatimChar"/>
              </w:rPr>
              <w:t xml:space="preserve">vInvMasterWithUserOverrides</w:t>
            </w:r>
          </w:p>
        </w:tc>
        <w:tc>
          <w:p>
            <w:pPr>
              <w:pStyle w:val="Compact"/>
              <w:jc w:val="left"/>
            </w:pPr>
            <w:r>
              <w:t xml:space="preserve">base-table indexes on</w:t>
            </w:r>
            <w:r>
              <w:t xml:space="preserve"> </w:t>
            </w:r>
            <w:r>
              <w:rPr>
                <w:rStyle w:val="VerbatimChar"/>
              </w:rPr>
              <w:t xml:space="preserve">ProductId</w:t>
            </w:r>
          </w:p>
        </w:tc>
        <w:tc>
          <w:p>
            <w:pPr>
              <w:pStyle w:val="Compact"/>
              <w:jc w:val="left"/>
            </w:pPr>
            <w:r>
              <w:t xml:space="preserve">join</w:t>
            </w:r>
          </w:p>
        </w:tc>
      </w:tr>
      <w:tr>
        <w:tc>
          <w:p>
            <w:pPr>
              <w:pStyle w:val="Compact"/>
              <w:jc w:val="left"/>
            </w:pPr>
            <w:r>
              <w:rPr>
                <w:rStyle w:val="VerbatimChar"/>
              </w:rPr>
              <w:t xml:space="preserve">OeFlaggedRxs</w:t>
            </w:r>
          </w:p>
        </w:tc>
        <w:tc>
          <w:p>
            <w:pPr>
              <w:pStyle w:val="Compact"/>
              <w:jc w:val="left"/>
            </w:pPr>
            <w:r>
              <w:t xml:space="preserve">NC on</w:t>
            </w:r>
            <w:r>
              <w:t xml:space="preserve"> </w:t>
            </w:r>
            <w:r>
              <w:rPr>
                <w:rStyle w:val="VerbatimChar"/>
              </w:rPr>
              <w:t xml:space="preserve">OrderId</w:t>
            </w:r>
            <w:r>
              <w:t xml:space="preserve"> </w:t>
            </w:r>
            <w:r>
              <w:t xml:space="preserve">(assumed)</w:t>
            </w:r>
          </w:p>
        </w:tc>
        <w:tc>
          <w:p>
            <w:pPr>
              <w:pStyle w:val="Compact"/>
              <w:jc w:val="left"/>
            </w:pPr>
            <w:r>
              <w:t xml:space="preserve">left-join</w:t>
            </w:r>
          </w:p>
        </w:tc>
      </w:tr>
    </w:tbl>
    <w:p>
      <w:pPr>
        <w:pStyle w:val="BodyText"/>
      </w:pPr>
      <w:r>
        <w:rPr>
          <w:b/>
        </w:rPr>
        <w:t xml:space="preserve">Callers:</w:t>
      </w:r>
      <w:r>
        <w:t xml:space="preserve"> </w:t>
      </w:r>
      <w:r>
        <w:t xml:space="preserve">Multiple callers including</w:t>
      </w:r>
      <w:r>
        <w:t xml:space="preserve"> </w:t>
      </w:r>
      <w:r>
        <w:rPr>
          <w:rStyle w:val="VerbatimChar"/>
        </w:rPr>
        <w:t xml:space="preserve">lsp_RbtDetermineNextVialToProcess</w:t>
      </w:r>
      <w:r>
        <w:t xml:space="preserve"> </w:t>
      </w:r>
      <w:r>
        <w:t xml:space="preserve">(Row 21 cohort). The Row 21 analysis identifies this procedure’s</w:t>
      </w:r>
      <w:r>
        <w:t xml:space="preserve"> </w:t>
      </w:r>
      <w:r>
        <w:rPr>
          <w:rStyle w:val="VerbatimChar"/>
        </w:rPr>
        <w:t xml:space="preserve">INSERT INTO #temp_table2 EXEC lsp_OrdGetReadyForDispenseRxsInBank</w:t>
      </w:r>
      <w:r>
        <w:t xml:space="preserve"> </w:t>
      </w:r>
      <w:r>
        <w:t xml:space="preserve">line as the only statement from Row 21 that appears in the cross-MFC top 50.</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three of four expense lists (Volume #19, Duration #13, Expense #11). The cross-list summary names</w:t>
      </w:r>
      <w:r>
        <w:t xml:space="preserve"> </w:t>
      </w:r>
      <w:r>
        <w:t xml:space="preserve">“</w:t>
      </w:r>
      <w:r>
        <w:t xml:space="preserve">moderate read volume</w:t>
      </w:r>
      <w:r>
        <w:t xml:space="preserve">”</w:t>
      </w:r>
      <w:r>
        <w:t xml:space="preserve"> </w:t>
      </w:r>
      <w:r>
        <w:t xml:space="preserve">with</w:t>
      </w:r>
      <w:r>
        <w:t xml:space="preserve"> </w:t>
      </w:r>
      <w:r>
        <w:t xml:space="preserve">“</w:t>
      </w:r>
      <w:r>
        <w:t xml:space="preserve">review indexing &amp; join strategy</w:t>
      </w:r>
      <w:r>
        <w:t xml:space="preserve">”</w:t>
      </w:r>
      <w:r>
        <w:t xml:space="preserve"> </w:t>
      </w:r>
      <w:r>
        <w:t xml:space="preserve">as the dominant heuristic. This is consistent with the v20 body’s pattern: clean structural design but with several incremental optimizations that compound at scale.</w:t>
      </w:r>
    </w:p>
    <w:p>
      <w:pPr>
        <w:pStyle w:val="BodyText"/>
      </w:pPr>
      <w:r>
        <w:t xml:space="preserve">The dominant cost drivers in v20 are four.</w:t>
      </w:r>
    </w:p>
    <w:p>
      <w:pPr>
        <w:pStyle w:val="BodyText"/>
      </w:pPr>
      <w:r>
        <w:t xml:space="preserve">The first is the two near-identical reads of</w:t>
      </w:r>
      <w:r>
        <w:t xml:space="preserve"> </w:t>
      </w:r>
      <w:r>
        <w:rPr>
          <w:rStyle w:val="VerbatimChar"/>
        </w:rPr>
        <w:t xml:space="preserve">OeOrder</w:t>
      </w:r>
      <w:r>
        <w:t xml:space="preserve"> </w:t>
      </w:r>
      <w:r>
        <w:t xml:space="preserve">for the upstream candidate set (lines 104-126 and 131-151). The two reads differ only in the</w:t>
      </w:r>
      <w:r>
        <w:t xml:space="preserve"> </w:t>
      </w:r>
      <w:r>
        <w:rPr>
          <w:rStyle w:val="VerbatimChar"/>
        </w:rPr>
        <w:t xml:space="preserve">AddrBank</w:t>
      </w:r>
      <w:r>
        <w:t xml:space="preserve"> </w:t>
      </w:r>
      <w:r>
        <w:t xml:space="preserve">value (</w:t>
      </w:r>
      <w:r>
        <w:rPr>
          <w:rStyle w:val="VerbatimChar"/>
        </w:rPr>
        <w:t xml:space="preserve">@AddrBank</w:t>
      </w:r>
      <w:r>
        <w:t xml:space="preserve"> </w:t>
      </w:r>
      <w:r>
        <w:t xml:space="preserve">versus</w:t>
      </w:r>
      <w:r>
        <w:t xml:space="preserve"> </w:t>
      </w:r>
      <w:r>
        <w:rPr>
          <w:rStyle w:val="VerbatimChar"/>
        </w:rPr>
        <w:t xml:space="preserve">'-'</w:t>
      </w:r>
      <w:r>
        <w:t xml:space="preserve">) and the predicate shape is identical. Combining them into one read with</w:t>
      </w:r>
      <w:r>
        <w:t xml:space="preserve"> </w:t>
      </w:r>
      <w:r>
        <w:rPr>
          <w:rStyle w:val="VerbatimChar"/>
        </w:rPr>
        <w:t xml:space="preserve">AddrBank In (@AddrBank, '-')</w:t>
      </w:r>
      <w:r>
        <w:t xml:space="preserve"> </w:t>
      </w:r>
      <w:r>
        <w:t xml:space="preserve">halves the OeOrder access on this section.</w:t>
      </w:r>
    </w:p>
    <w:p>
      <w:pPr>
        <w:pStyle w:val="BodyText"/>
      </w:pPr>
      <w:r>
        <w:t xml:space="preserve">The second is the two-step</w:t>
      </w:r>
      <w:r>
        <w:t xml:space="preserve"> </w:t>
      </w:r>
      <w:r>
        <w:t xml:space="preserve">“</w:t>
      </w:r>
      <w:r>
        <w:t xml:space="preserve">find row with min value per group</w:t>
      </w:r>
      <w:r>
        <w:t xml:space="preserve">”</w:t>
      </w:r>
      <w:r>
        <w:t xml:space="preserve"> </w:t>
      </w:r>
      <w:r>
        <w:t xml:space="preserve">pattern across</w:t>
      </w:r>
      <w:r>
        <w:t xml:space="preserve"> </w:t>
      </w:r>
      <w:r>
        <w:rPr>
          <w:rStyle w:val="VerbatimChar"/>
        </w:rPr>
        <w:t xml:space="preserve">#TopUnassignedOrScheduledBehindCountedRxPriInternalPerProduct</w:t>
      </w:r>
      <w:r>
        <w:t xml:space="preserve"> </w:t>
      </w:r>
      <w:r>
        <w:t xml:space="preserve">and</w:t>
      </w:r>
      <w:r>
        <w:t xml:space="preserve"> </w:t>
      </w:r>
      <w:r>
        <w:rPr>
          <w:rStyle w:val="VerbatimChar"/>
        </w:rPr>
        <w:t xml:space="preserve">#TopUnassignedOrScheduledBehindCountedRxPerProduct</w:t>
      </w:r>
      <w:r>
        <w:t xml:space="preserve">. The first temp table computes the min PriInternal per product; the second re-joins to find the OrderId at that min. The same result is one ROW_NUMBER() window function over the combined upstream set, partitioned by ProductId and ordered by PriInternal.</w:t>
      </w:r>
    </w:p>
    <w:p>
      <w:pPr>
        <w:pStyle w:val="BodyText"/>
      </w:pPr>
      <w:r>
        <w:t xml:space="preserve">The third is the two intermediate temp tables (</w:t>
      </w:r>
      <w:r>
        <w:rPr>
          <w:rStyle w:val="VerbatimChar"/>
        </w:rPr>
        <w:t xml:space="preserve">#CountedRxsWithTopUpstreamRxData01</w:t>
      </w:r>
      <w:r>
        <w:t xml:space="preserve"> </w:t>
      </w:r>
      <w:r>
        <w:t xml:space="preserve">and</w:t>
      </w:r>
      <w:r>
        <w:t xml:space="preserve"> </w:t>
      </w:r>
      <w:r>
        <w:rPr>
          <w:rStyle w:val="VerbatimChar"/>
        </w:rPr>
        <w:t xml:space="preserve">#CountedRxsWithTopUpstreamRxData02</w:t>
      </w:r>
      <w:r>
        <w:t xml:space="preserve">) that v20 uses to derive the adjusted upstream priority and the</w:t>
      </w:r>
      <w:r>
        <w:t xml:space="preserve"> </w:t>
      </w:r>
      <w:r>
        <w:t xml:space="preserve">“</w:t>
      </w:r>
      <w:r>
        <w:t xml:space="preserve">Act On As</w:t>
      </w:r>
      <w:r>
        <w:t xml:space="preserve">”</w:t>
      </w:r>
      <w:r>
        <w:t xml:space="preserve"> </w:t>
      </w:r>
      <w:r>
        <w:t xml:space="preserve">priority. Both are computed from the same base join and can be expressed in a single SELECT.</w:t>
      </w:r>
    </w:p>
    <w:p>
      <w:pPr>
        <w:pStyle w:val="BodyText"/>
      </w:pPr>
      <w:r>
        <w:t xml:space="preserve">The fourth is the seven scattered</w:t>
      </w:r>
      <w:r>
        <w:t xml:space="preserve"> </w:t>
      </w:r>
      <w:r>
        <w:rPr>
          <w:rStyle w:val="VerbatimChar"/>
        </w:rPr>
        <w:t xml:space="preserve">If Object_Id ... Drop Table</w:t>
      </w:r>
      <w:r>
        <w:t xml:space="preserve"> </w:t>
      </w:r>
      <w:r>
        <w:t xml:space="preserve">blocks. Consistency cleanup.</w:t>
      </w:r>
    </w:p>
    <w:p>
      <w:pPr>
        <w:pStyle w:val="BodyText"/>
      </w:pPr>
      <w:r>
        <w:t xml:space="preserve">A fifth observation that v21 retains: the scalar UDF</w:t>
      </w:r>
      <w:r>
        <w:t xml:space="preserve"> </w:t>
      </w:r>
      <w:r>
        <w:rPr>
          <w:rStyle w:val="VerbatimChar"/>
        </w:rPr>
        <w:t xml:space="preserve">dbo.fSqlFormatDecimalValueForDisplay</w:t>
      </w:r>
      <w:r>
        <w:t xml:space="preserve"> </w:t>
      </w:r>
      <w:r>
        <w:t xml:space="preserve">in the</w:t>
      </w:r>
      <w:r>
        <w:t xml:space="preserve"> </w:t>
      </w:r>
      <w:r>
        <w:t xml:space="preserve">@ReturnFillingRelatedData</w:t>
      </w:r>
      <w:r>
        <w:t xml:space="preserve"> </w:t>
      </w:r>
      <w:r>
        <w:t xml:space="preserve">= 1 branch. The UDF is called once per output row in that branch. Inlining is queued for a follow-up.</w:t>
      </w:r>
    </w:p>
    <w:p>
      <w:r>
        <w:pict>
          <v:rect style="width:0;height:1.5pt" o:hralign="center" o:hrstd="t" o:hr="t"/>
        </w:pict>
      </w:r>
    </w:p>
    <w:p>
      <w:pPr>
        <w:pStyle w:val="Heading2"/>
      </w:pPr>
      <w:bookmarkStart w:id="23" w:name="evidence-of-original-v20"/>
      <w:r>
        <w:t xml:space="preserve">3. Evidence of Original (v20)</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BodyText"/>
      </w:pPr>
      <w:r>
        <w:rPr>
          <w:b/>
        </w:rPr>
        <w:t xml:space="preserve">Roll-up across reporting sites:</w:t>
      </w:r>
      <w:r>
        <w:t xml:space="preserve"> </w:t>
      </w:r>
      <w:r>
        <w:t xml:space="preserve">to be filled in from the May 7 capture. Volume #19, Duration #13, Expense #11.</w:t>
      </w:r>
    </w:p>
    <w:p>
      <w:pPr>
        <w:pStyle w:val="Heading3"/>
      </w:pPr>
      <w:bookmarkStart w:id="25" w:name="Xbd773cae6762f3d0e61bd767b1d9a0c215b51ad"/>
      <w:r>
        <w:t xml:space="preserve">3.2 STATISTICS IO and STATISTICS TIME from a representative MFC run (v20)</w:t>
      </w:r>
      <w:bookmarkEnd w:id="25"/>
    </w:p>
    <w:p>
      <w:pPr>
        <w:pStyle w:val="SourceCode"/>
      </w:pPr>
      <w:r>
        <w:rPr>
          <w:rStyle w:val="VerbatimChar"/>
        </w:rPr>
        <w:t xml:space="preserve">(paste STATS IO / STATS TIME for v20 against the same data state used for v21 here)</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rPr>
          <w:b/>
        </w:rPr>
        <w:t xml:space="preserve">Issue 1: Two reads of</w:t>
      </w:r>
      <w:r>
        <w:rPr>
          <w:b/>
        </w:rPr>
        <w:t xml:space="preserve"> </w:t>
      </w:r>
      <w:r>
        <w:rPr>
          <w:rStyle w:val="VerbatimChar"/>
          <w:b/>
        </w:rPr>
        <w:t xml:space="preserve">OeOrder</w:t>
      </w:r>
      <w:r>
        <w:rPr>
          <w:b/>
        </w:rPr>
        <w:t xml:space="preserve"> </w:t>
      </w:r>
      <w:r>
        <w:rPr>
          <w:b/>
        </w:rPr>
        <w:t xml:space="preserve">for the upstream candidate set (lines 104-126 and 131-151).</w:t>
      </w:r>
      <w:r>
        <w:t xml:space="preserve"> </w:t>
      </w:r>
      <w:r>
        <w:t xml:space="preserve">Identical predicate structure aside from the</w:t>
      </w:r>
      <w:r>
        <w:t xml:space="preserve"> </w:t>
      </w:r>
      <w:r>
        <w:rPr>
          <w:rStyle w:val="VerbatimChar"/>
        </w:rPr>
        <w:t xml:space="preserve">AddrBank</w:t>
      </w:r>
      <w:r>
        <w:t xml:space="preserve"> </w:t>
      </w:r>
      <w:r>
        <w:t xml:space="preserve">value. Combine.</w:t>
      </w:r>
    </w:p>
    <w:p>
      <w:pPr>
        <w:pStyle w:val="BodyText"/>
      </w:pPr>
      <w:r>
        <w:rPr>
          <w:b/>
        </w:rPr>
        <w:t xml:space="preserve">Issue 2: Two-step min-then-join pattern for the top upstream Rx per product.</w:t>
      </w:r>
      <w:r>
        <w:t xml:space="preserve"> </w:t>
      </w:r>
      <w:r>
        <w:t xml:space="preserve">The pattern is a classic candidate for a ROW_NUMBER() window function.</w:t>
      </w:r>
    </w:p>
    <w:p>
      <w:pPr>
        <w:pStyle w:val="BodyText"/>
      </w:pPr>
      <w:r>
        <w:rPr>
          <w:b/>
        </w:rPr>
        <w:t xml:space="preserve">Issue 3: Two intermediate temp tables (</w:t>
      </w:r>
      <w:r>
        <w:rPr>
          <w:rStyle w:val="VerbatimChar"/>
          <w:b/>
        </w:rPr>
        <w:t xml:space="preserve">#CountedRxsWithTopUpstreamRxData01</w:t>
      </w:r>
      <w:r>
        <w:rPr>
          <w:b/>
        </w:rPr>
        <w:t xml:space="preserve"> </w:t>
      </w:r>
      <w:r>
        <w:rPr>
          <w:b/>
        </w:rPr>
        <w:t xml:space="preserve">and</w:t>
      </w:r>
      <w:r>
        <w:rPr>
          <w:b/>
        </w:rPr>
        <w:t xml:space="preserve"> </w:t>
      </w:r>
      <w:r>
        <w:rPr>
          <w:rStyle w:val="VerbatimChar"/>
          <w:b/>
        </w:rPr>
        <w:t xml:space="preserve">#CountedRxsWithTopUpstreamRxData02</w:t>
      </w:r>
      <w:r>
        <w:rPr>
          <w:b/>
        </w:rPr>
        <w:t xml:space="preserve">) that derive related expressions over the same base join.</w:t>
      </w:r>
      <w:r>
        <w:t xml:space="preserve"> </w:t>
      </w:r>
      <w:r>
        <w:t xml:space="preserve">Collapse into one SELECT.</w:t>
      </w:r>
    </w:p>
    <w:p>
      <w:pPr>
        <w:pStyle w:val="BodyText"/>
      </w:pPr>
      <w:r>
        <w:rPr>
          <w:b/>
        </w:rPr>
        <w:t xml:space="preserve">Issue 4: Seven scattered</w:t>
      </w:r>
      <w:r>
        <w:rPr>
          <w:b/>
        </w:rPr>
        <w:t xml:space="preserve"> </w:t>
      </w:r>
      <w:r>
        <w:rPr>
          <w:rStyle w:val="VerbatimChar"/>
          <w:b/>
        </w:rPr>
        <w:t xml:space="preserve">If Object_Id ... Drop Table</w:t>
      </w:r>
      <w:r>
        <w:rPr>
          <w:b/>
        </w:rPr>
        <w:t xml:space="preserve"> </w:t>
      </w:r>
      <w:r>
        <w:rPr>
          <w:b/>
        </w:rPr>
        <w:t xml:space="preserve">blocks.</w:t>
      </w:r>
      <w:r>
        <w:t xml:space="preserve"> </w:t>
      </w:r>
      <w:r>
        <w:t xml:space="preserve">Consolidate.</w:t>
      </w:r>
    </w:p>
    <w:p>
      <w:pPr>
        <w:pStyle w:val="BodyText"/>
      </w:pPr>
      <w:r>
        <w:rPr>
          <w:b/>
        </w:rPr>
        <w:t xml:space="preserve">Issue 5: No local-variable indirection for the input parameters.</w:t>
      </w:r>
      <w:r>
        <w:t xml:space="preserve"> </w:t>
      </w:r>
      <w:r>
        <w:t xml:space="preserve">Program convention.</w:t>
      </w:r>
    </w:p>
    <w:p>
      <w:pPr>
        <w:pStyle w:val="BodyText"/>
      </w:pPr>
      <w:r>
        <w:rPr>
          <w:b/>
        </w:rPr>
        <w:t xml:space="preserve">Issue 6: No indexes on the intermediate temp tables.</w:t>
      </w:r>
      <w:r>
        <w:t xml:space="preserve"> </w:t>
      </w:r>
      <w:r>
        <w:t xml:space="preserve">Add explicit indexes after population.</w:t>
      </w:r>
    </w:p>
    <w:p>
      <w:r>
        <w:pict>
          <v:rect style="width:0;height:1.5pt" o:hralign="center" o:hrstd="t" o:hr="t"/>
        </w:pict>
      </w:r>
    </w:p>
    <w:p>
      <w:pPr>
        <w:pStyle w:val="Heading2"/>
      </w:pPr>
      <w:bookmarkStart w:id="27" w:name="first-principles"/>
      <w:r>
        <w:t xml:space="preserve">5. First Principles</w:t>
      </w:r>
      <w:bookmarkEnd w:id="27"/>
    </w:p>
    <w:p>
      <w:pPr>
        <w:pStyle w:val="FirstParagraph"/>
      </w:pPr>
      <w:r>
        <w:rPr>
          <w:b/>
        </w:rPr>
        <w:t xml:space="preserve">[[LEFT JOIN OR Anti-Pattern]] applied to the AddrBank IN-list combination.</w:t>
      </w:r>
      <w:r>
        <w:t xml:space="preserve"> </w:t>
      </w:r>
      <w:r>
        <w:t xml:space="preserve">The two reads of</w:t>
      </w:r>
      <w:r>
        <w:t xml:space="preserve"> </w:t>
      </w:r>
      <w:r>
        <w:rPr>
          <w:rStyle w:val="VerbatimChar"/>
        </w:rPr>
        <w:t xml:space="preserve">OeOrder</w:t>
      </w:r>
      <w:r>
        <w:t xml:space="preserve"> </w:t>
      </w:r>
      <w:r>
        <w:t xml:space="preserve">differ only in the</w:t>
      </w:r>
      <w:r>
        <w:t xml:space="preserve"> </w:t>
      </w:r>
      <w:r>
        <w:rPr>
          <w:rStyle w:val="VerbatimChar"/>
        </w:rPr>
        <w:t xml:space="preserve">AddrBank</w:t>
      </w:r>
      <w:r>
        <w:t xml:space="preserve"> </w:t>
      </w:r>
      <w:r>
        <w:t xml:space="preserve">predicate; combining them via</w:t>
      </w:r>
      <w:r>
        <w:t xml:space="preserve"> </w:t>
      </w:r>
      <w:r>
        <w:rPr>
          <w:rStyle w:val="VerbatimChar"/>
        </w:rPr>
        <w:t xml:space="preserve">In (@LocalAddrBank, '-')</w:t>
      </w:r>
      <w:r>
        <w:t xml:space="preserve"> </w:t>
      </w:r>
      <w:r>
        <w:t xml:space="preserve">is the natural consolidation. The combined predicate is SARGable against an index keyed by</w:t>
      </w:r>
      <w:r>
        <w:t xml:space="preserve"> </w:t>
      </w:r>
      <w:r>
        <w:rPr>
          <w:rStyle w:val="VerbatimChar"/>
        </w:rPr>
        <w:t xml:space="preserve">AddrBank</w:t>
      </w:r>
      <w:r>
        <w:t xml:space="preserve">.</w:t>
      </w:r>
    </w:p>
    <w:p>
      <w:pPr>
        <w:pStyle w:val="BodyText"/>
      </w:pPr>
      <w:r>
        <w:rPr>
          <w:b/>
        </w:rPr>
        <w:t xml:space="preserve">Window function replaces find-row-with-min-value-per-group.</w:t>
      </w:r>
      <w:r>
        <w:t xml:space="preserve"> </w:t>
      </w:r>
      <w:r>
        <w:t xml:space="preserve">The pattern of</w:t>
      </w:r>
      <w:r>
        <w:t xml:space="preserve"> </w:t>
      </w:r>
      <w:r>
        <w:t xml:space="preserve">“</w:t>
      </w:r>
      <w:r>
        <w:t xml:space="preserve">build a min-per-group temp table, then re-join to find the row at that min</w:t>
      </w:r>
      <w:r>
        <w:t xml:space="preserve">”</w:t>
      </w:r>
      <w:r>
        <w:t xml:space="preserve"> </w:t>
      </w:r>
      <w:r>
        <w:t xml:space="preserve">is everywhere in the procedure library. The single-pass equivalent is</w:t>
      </w:r>
      <w:r>
        <w:t xml:space="preserve"> </w:t>
      </w:r>
      <w:r>
        <w:rPr>
          <w:rStyle w:val="VerbatimChar"/>
        </w:rPr>
        <w:t xml:space="preserve">Row_Number() Over (Partition By GroupKey Order By ValueColumn) = 1</w:t>
      </w:r>
      <w:r>
        <w:t xml:space="preserve">. v21 applies this in the</w:t>
      </w:r>
      <w:r>
        <w:t xml:space="preserve"> </w:t>
      </w:r>
      <w:r>
        <w:rPr>
          <w:rStyle w:val="VerbatimChar"/>
        </w:rPr>
        <w:t xml:space="preserve">Ranked</w:t>
      </w:r>
      <w:r>
        <w:t xml:space="preserve"> </w:t>
      </w:r>
      <w:r>
        <w:t xml:space="preserve">CTE.</w:t>
      </w:r>
    </w:p>
    <w:p>
      <w:pPr>
        <w:pStyle w:val="BodyText"/>
      </w:pPr>
      <w:r>
        <w:rPr>
          <w:b/>
        </w:rPr>
        <w:t xml:space="preserve">[[Correlated Subqueries to CTEs]] applied to derived-expression staging.</w:t>
      </w:r>
      <w:r>
        <w:t xml:space="preserve"> </w:t>
      </w:r>
      <w:r>
        <w:t xml:space="preserve">v20 stages two temp tables (</w:t>
      </w:r>
      <w:r>
        <w:rPr>
          <w:rStyle w:val="VerbatimChar"/>
        </w:rPr>
        <w:t xml:space="preserve">#CountedRxsWithTopUpstreamRxData01</w:t>
      </w:r>
      <w:r>
        <w:t xml:space="preserve"> </w:t>
      </w:r>
      <w:r>
        <w:t xml:space="preserve">and</w:t>
      </w:r>
      <w:r>
        <w:t xml:space="preserve"> </w:t>
      </w:r>
      <w:r>
        <w:rPr>
          <w:rStyle w:val="VerbatimChar"/>
        </w:rPr>
        <w:t xml:space="preserve">#CountedRxsWithTopUpstreamRxData02</w:t>
      </w:r>
      <w:r>
        <w:t xml:space="preserve">) where each computes a related expression. v21 uses</w:t>
      </w:r>
      <w:r>
        <w:t xml:space="preserve"> </w:t>
      </w:r>
      <w:r>
        <w:rPr>
          <w:rStyle w:val="VerbatimChar"/>
        </w:rPr>
        <w:t xml:space="preserve">Cross Apply</w:t>
      </w:r>
      <w:r>
        <w:t xml:space="preserve"> </w:t>
      </w:r>
      <w:r>
        <w:t xml:space="preserve">to produce the intermediate</w:t>
      </w:r>
      <w:r>
        <w:t xml:space="preserve"> </w:t>
      </w:r>
      <w:r>
        <w:rPr>
          <w:rStyle w:val="VerbatimChar"/>
        </w:rPr>
        <w:t xml:space="preserve">AdjustedUpstream</w:t>
      </w:r>
      <w:r>
        <w:t xml:space="preserve"> </w:t>
      </w:r>
      <w:r>
        <w:t xml:space="preserve">value once and references it in both the column projection and the derived</w:t>
      </w:r>
      <w:r>
        <w:t xml:space="preserve"> </w:t>
      </w:r>
      <w:r>
        <w:rPr>
          <w:rStyle w:val="VerbatimChar"/>
        </w:rPr>
        <w:t xml:space="preserve">ActOnAsPriInternal</w:t>
      </w:r>
      <w:r>
        <w:t xml:space="preserve"> </w:t>
      </w:r>
      <w:r>
        <w:t xml:space="preserve">and</w:t>
      </w:r>
      <w:r>
        <w:t xml:space="preserve"> </w:t>
      </w:r>
      <w:r>
        <w:rPr>
          <w:rStyle w:val="VerbatimChar"/>
        </w:rPr>
        <w:t xml:space="preserve">FillToMakeWayForUpstreamRxOrderId</w:t>
      </w:r>
      <w:r>
        <w:t xml:space="preserve"> </w:t>
      </w:r>
      <w:r>
        <w:t xml:space="preserve">expressions.</w:t>
      </w:r>
    </w:p>
    <w:p>
      <w:pPr>
        <w:pStyle w:val="BodyText"/>
      </w:pPr>
      <w:r>
        <w:rPr>
          <w:b/>
        </w:rPr>
        <w:t xml:space="preserve">[[Index Key Columns vs Included Columns]] applied to temp tables.</w:t>
      </w:r>
      <w:r>
        <w:t xml:space="preserve"> </w:t>
      </w:r>
      <w:r>
        <w:t xml:space="preserve">Each temp table that participates in a downstream join gets an explicit index sized for the join.</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v21 body is reproduced in</w:t>
      </w:r>
      <w:r>
        <w:t xml:space="preserve"> </w:t>
      </w:r>
      <w:r>
        <w:rPr>
          <w:rStyle w:val="VerbatimChar"/>
        </w:rPr>
        <w:t xml:space="preserve">Refactored.sql</w:t>
      </w:r>
      <w:r>
        <w:t xml:space="preserve">. Salient blocks below.</w:t>
      </w:r>
    </w:p>
    <w:p>
      <w:pPr>
        <w:pStyle w:val="BodyText"/>
      </w:pPr>
      <w:r>
        <w:rPr>
          <w:b/>
        </w:rPr>
        <w:t xml:space="preserve">Combined upstream-candidate scan.</w:t>
      </w:r>
    </w:p>
    <w:p>
      <w:pPr>
        <w:pStyle w:val="SourceCode"/>
      </w:pPr>
      <w:r>
        <w:rPr>
          <w:rStyle w:val="KeywordTok"/>
        </w:rPr>
        <w:t xml:space="preserve">Select</w:t>
      </w:r>
      <w:r>
        <w:br/>
      </w:r>
      <w:r>
        <w:rPr>
          <w:rStyle w:val="NormalTok"/>
        </w:rPr>
        <w:t xml:space="preserve">      O.ProductId</w:t>
      </w:r>
      <w:r>
        <w:br/>
      </w:r>
      <w:r>
        <w:rPr>
          <w:rStyle w:val="NormalTok"/>
        </w:rPr>
        <w:t xml:space="preserve">    , O.PriInternal</w:t>
      </w:r>
      <w:r>
        <w:br/>
      </w:r>
      <w:r>
        <w:rPr>
          <w:rStyle w:val="NormalTok"/>
        </w:rPr>
        <w:t xml:space="preserve">    , O.OrderId</w:t>
      </w:r>
      <w:r>
        <w:br/>
      </w:r>
      <w:r>
        <w:rPr>
          <w:rStyle w:val="KeywordTok"/>
        </w:rPr>
        <w:t xml:space="preserve">Into</w:t>
      </w:r>
      <w:r>
        <w:rPr>
          <w:rStyle w:val="NormalTok"/>
        </w:rPr>
        <w:t xml:space="preserve"> #UpstreamCandidates</w:t>
      </w:r>
      <w:r>
        <w:br/>
      </w:r>
      <w:r>
        <w:rPr>
          <w:rStyle w:val="KeywordTok"/>
        </w:rPr>
        <w:t xml:space="preserve">From</w:t>
      </w:r>
      <w:r>
        <w:rPr>
          <w:rStyle w:val="NormalTok"/>
        </w:rPr>
        <w:t xml:space="preserve"> OeOrder O </w:t>
      </w:r>
      <w:r>
        <w:rPr>
          <w:rStyle w:val="KeywordTok"/>
        </w:rPr>
        <w:t xml:space="preserve">With</w:t>
      </w:r>
      <w:r>
        <w:rPr>
          <w:rStyle w:val="NormalTok"/>
        </w:rPr>
        <w:t xml:space="preserve"> (NoLock)</w:t>
      </w:r>
      <w:r>
        <w:br/>
      </w:r>
      <w:r>
        <w:rPr>
          <w:rStyle w:val="KeywordTok"/>
        </w:rPr>
        <w:t xml:space="preserve">Where</w:t>
      </w:r>
      <w:r>
        <w:rPr>
          <w:rStyle w:val="NormalTok"/>
        </w:rPr>
        <w:t xml:space="preserve"> O.AddrBank </w:t>
      </w:r>
      <w:r>
        <w:rPr>
          <w:rStyle w:val="KeywordTok"/>
        </w:rPr>
        <w:t xml:space="preserve">In</w:t>
      </w:r>
      <w:r>
        <w:rPr>
          <w:rStyle w:val="NormalTok"/>
        </w:rPr>
        <w:t xml:space="preserve"> (@LocalAddrBank, </w:t>
      </w:r>
      <w:r>
        <w:rPr>
          <w:rStyle w:val="String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O.FillType </w:t>
      </w:r>
      <w:r>
        <w:rPr>
          <w:rStyle w:val="OperatorTok"/>
        </w:rPr>
        <w:t xml:space="preserve">=</w:t>
      </w:r>
      <w:r>
        <w:rPr>
          <w:rStyle w:val="NormalTok"/>
        </w:rPr>
        <w:t xml:space="preserve"> </w:t>
      </w:r>
      <w:r>
        <w:rPr>
          <w:rStyle w:val="StringTok"/>
        </w:rPr>
        <w:t xml:space="preserve">'A'</w:t>
      </w:r>
      <w:r>
        <w:br/>
      </w:r>
      <w:r>
        <w:rPr>
          <w:rStyle w:val="NormalTok"/>
        </w:rPr>
        <w:t xml:space="preserve">  </w:t>
      </w:r>
      <w:r>
        <w:rPr>
          <w:rStyle w:val="KeywordTok"/>
        </w:rPr>
        <w:t xml:space="preserve">And</w:t>
      </w:r>
      <w:r>
        <w:rPr>
          <w:rStyle w:val="NormalTok"/>
        </w:rPr>
        <w:t xml:space="preserve"> O.OrderId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'%&lt;[1-2]&gt;'</w:t>
      </w:r>
      <w:r>
        <w:br/>
      </w:r>
      <w:r>
        <w:rPr>
          <w:rStyle w:val="NormalTok"/>
        </w:rPr>
        <w:t xml:space="preserve">  </w:t>
      </w:r>
      <w:r>
        <w:rPr>
          <w:rStyle w:val="KeywordTok"/>
        </w:rPr>
        <w:t xml:space="preserve">And</w:t>
      </w:r>
      <w:r>
        <w:br/>
      </w:r>
      <w:r>
        <w:rPr>
          <w:rStyle w:val="NormalTok"/>
        </w:rPr>
        <w:t xml:space="preserve">  (</w:t>
      </w:r>
      <w:r>
        <w:br/>
      </w:r>
      <w:r>
        <w:rPr>
          <w:rStyle w:val="NormalTok"/>
        </w:rPr>
        <w:t xml:space="preserve">      O.OrderStatus </w:t>
      </w:r>
      <w:r>
        <w:rPr>
          <w:rStyle w:val="OperatorTok"/>
        </w:rPr>
        <w:t xml:space="preserve">=</w:t>
      </w:r>
      <w:r>
        <w:rPr>
          <w:rStyle w:val="NormalTok"/>
        </w:rPr>
        <w:t xml:space="preserve"> </w:t>
      </w:r>
      <w:r>
        <w:rPr>
          <w:rStyle w:val="StringTok"/>
        </w:rPr>
        <w:t xml:space="preserve">'Scheduled'</w:t>
      </w:r>
      <w:r>
        <w:br/>
      </w:r>
      <w:r>
        <w:rPr>
          <w:rStyle w:val="NormalTok"/>
        </w:rPr>
        <w:t xml:space="preserve">      </w:t>
      </w:r>
      <w:r>
        <w:rPr>
          <w:rStyle w:val="KeywordTok"/>
        </w:rPr>
        <w:t xml:space="preserve">Or</w:t>
      </w:r>
      <w:r>
        <w:rPr>
          <w:rStyle w:val="NormalTok"/>
        </w:rPr>
        <w:t xml:space="preserve"> (O.OrderStatus </w:t>
      </w:r>
      <w:r>
        <w:rPr>
          <w:rStyle w:val="OperatorTok"/>
        </w:rPr>
        <w:t xml:space="preserve">=</w:t>
      </w:r>
      <w:r>
        <w:rPr>
          <w:rStyle w:val="NormalTok"/>
        </w:rPr>
        <w:t xml:space="preserve"> </w:t>
      </w:r>
      <w:r>
        <w:rPr>
          <w:rStyle w:val="StringTok"/>
        </w:rPr>
        <w:t xml:space="preserve">'Split-DD'</w:t>
      </w:r>
      <w:r>
        <w:rPr>
          <w:rStyle w:val="NormalTok"/>
        </w:rPr>
        <w:t xml:space="preserve"> </w:t>
      </w:r>
      <w:r>
        <w:rPr>
          <w:rStyle w:val="KeywordTok"/>
        </w:rPr>
        <w:t xml:space="preserve">And</w:t>
      </w:r>
      <w:r>
        <w:rPr>
          <w:rStyle w:val="NormalTok"/>
        </w:rPr>
        <w:t xml:space="preserve"> O.StatusReason </w:t>
      </w:r>
      <w:r>
        <w:rPr>
          <w:rStyle w:val="OperatorTok"/>
        </w:rPr>
        <w:t xml:space="preserve">=</w:t>
      </w:r>
      <w:r>
        <w:rPr>
          <w:rStyle w:val="NormalTok"/>
        </w:rPr>
        <w:t xml:space="preserve"> </w:t>
      </w:r>
      <w:r>
        <w:rPr>
          <w:rStyle w:val="StringTok"/>
        </w:rPr>
        <w:t xml:space="preserve">'Scheduled'</w:t>
      </w:r>
      <w:r>
        <w:rPr>
          <w:rStyle w:val="NormalTok"/>
        </w:rPr>
        <w:t xml:space="preserve">)</w:t>
      </w:r>
      <w:r>
        <w:br/>
      </w:r>
      <w:r>
        <w:rPr>
          <w:rStyle w:val="NormalTok"/>
        </w:rPr>
        <w:t xml:space="preserve">  )</w:t>
      </w:r>
      <w:r>
        <w:br/>
      </w:r>
      <w:r>
        <w:rPr>
          <w:rStyle w:val="NormalTok"/>
        </w:rPr>
        <w:t xml:space="preserve">  </w:t>
      </w:r>
      <w:r>
        <w:rPr>
          <w:rStyle w:val="KeywordTok"/>
        </w:rPr>
        <w:t xml:space="preserve">And</w:t>
      </w:r>
      <w:r>
        <w:rPr>
          <w:rStyle w:val="NormalTok"/>
        </w:rPr>
        <w:t xml:space="preserve"> </w:t>
      </w:r>
      <w:r>
        <w:rPr>
          <w:rStyle w:val="KeywordTok"/>
        </w:rPr>
        <w:t xml:space="preserve">Exists</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#CountedRxs C</w:t>
      </w:r>
      <w:r>
        <w:br/>
      </w:r>
      <w:r>
        <w:rPr>
          <w:rStyle w:val="NormalTok"/>
        </w:rPr>
        <w:t xml:space="preserve">      </w:t>
      </w:r>
      <w:r>
        <w:rPr>
          <w:rStyle w:val="KeywordTok"/>
        </w:rPr>
        <w:t xml:space="preserve">Where</w:t>
      </w:r>
      <w:r>
        <w:rPr>
          <w:rStyle w:val="NormalTok"/>
        </w:rPr>
        <w:t xml:space="preserve"> C.ProductId </w:t>
      </w:r>
      <w:r>
        <w:rPr>
          <w:rStyle w:val="OperatorTok"/>
        </w:rPr>
        <w:t xml:space="preserve">=</w:t>
      </w:r>
      <w:r>
        <w:rPr>
          <w:rStyle w:val="NormalTok"/>
        </w:rPr>
        <w:t xml:space="preserve"> O.ProductId</w:t>
      </w:r>
      <w:r>
        <w:br/>
      </w:r>
      <w:r>
        <w:rPr>
          <w:rStyle w:val="NormalTok"/>
        </w:rPr>
        <w:t xml:space="preserve">  )</w:t>
      </w:r>
      <w:r>
        <w:br/>
      </w:r>
      <w:r>
        <w:rPr>
          <w:rStyle w:val="KeywordTok"/>
        </w:rPr>
        <w:t xml:space="preserve">Option</w:t>
      </w:r>
      <w:r>
        <w:rPr>
          <w:rStyle w:val="NormalTok"/>
        </w:rPr>
        <w:t xml:space="preserve"> (Recompile);</w:t>
      </w:r>
    </w:p>
    <w:p>
      <w:pPr>
        <w:pStyle w:val="FirstParagraph"/>
      </w:pPr>
      <w:r>
        <w:t xml:space="preserve">One OeOrder scan instead of two. The Exists clause filters down to the candidate products from</w:t>
      </w:r>
      <w:r>
        <w:t xml:space="preserve"> </w:t>
      </w:r>
      <w:r>
        <w:rPr>
          <w:rStyle w:val="VerbatimChar"/>
        </w:rPr>
        <w:t xml:space="preserve">#CountedRxs</w:t>
      </w:r>
      <w:r>
        <w:t xml:space="preserve">, which restricts the scan footprint.</w:t>
      </w:r>
    </w:p>
    <w:p>
      <w:pPr>
        <w:pStyle w:val="BodyText"/>
      </w:pPr>
      <w:r>
        <w:rPr>
          <w:b/>
        </w:rPr>
        <w:t xml:space="preserve">Single-pass top-upstream-per-product via ROW_NUMBER().</w:t>
      </w:r>
    </w:p>
    <w:p>
      <w:pPr>
        <w:pStyle w:val="SourceCode"/>
      </w:pPr>
      <w:r>
        <w:rPr>
          <w:rStyle w:val="NormalTok"/>
        </w:rPr>
        <w:t xml:space="preserve">;</w:t>
      </w:r>
      <w:r>
        <w:rPr>
          <w:rStyle w:val="KeywordTok"/>
        </w:rPr>
        <w:t xml:space="preserve">With</w:t>
      </w:r>
      <w:r>
        <w:rPr>
          <w:rStyle w:val="NormalTok"/>
        </w:rPr>
        <w:t xml:space="preserve"> Ranked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br/>
      </w:r>
      <w:r>
        <w:rPr>
          <w:rStyle w:val="NormalTok"/>
        </w:rPr>
        <w:t xml:space="preserve">          ProductId</w:t>
      </w:r>
      <w:r>
        <w:br/>
      </w:r>
      <w:r>
        <w:rPr>
          <w:rStyle w:val="NormalTok"/>
        </w:rPr>
        <w:t xml:space="preserve">        , PriInternal</w:t>
      </w:r>
      <w:r>
        <w:br/>
      </w:r>
      <w:r>
        <w:rPr>
          <w:rStyle w:val="NormalTok"/>
        </w:rPr>
        <w:t xml:space="preserve">        , OrderId</w:t>
      </w:r>
      <w:r>
        <w:br/>
      </w:r>
      <w:r>
        <w:rPr>
          <w:rStyle w:val="NormalTok"/>
        </w:rPr>
        <w:t xml:space="preserve">        , [Rk]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ProductId </w:t>
      </w:r>
      <w:r>
        <w:rPr>
          <w:rStyle w:val="KeywordTok"/>
        </w:rPr>
        <w:t xml:space="preserve">Order</w:t>
      </w:r>
      <w:r>
        <w:rPr>
          <w:rStyle w:val="NormalTok"/>
        </w:rPr>
        <w:t xml:space="preserve"> </w:t>
      </w:r>
      <w:r>
        <w:rPr>
          <w:rStyle w:val="KeywordTok"/>
        </w:rPr>
        <w:t xml:space="preserve">By</w:t>
      </w:r>
      <w:r>
        <w:rPr>
          <w:rStyle w:val="NormalTok"/>
        </w:rPr>
        <w:t xml:space="preserve"> PriInternal </w:t>
      </w:r>
      <w:r>
        <w:rPr>
          <w:rStyle w:val="KeywordTok"/>
        </w:rPr>
        <w:t xml:space="preserve">Asc</w:t>
      </w:r>
      <w:r>
        <w:rPr>
          <w:rStyle w:val="NormalTok"/>
        </w:rPr>
        <w:t xml:space="preserve">, OrderId </w:t>
      </w:r>
      <w:r>
        <w:rPr>
          <w:rStyle w:val="KeywordTok"/>
        </w:rPr>
        <w:t xml:space="preserve">Asc</w:t>
      </w:r>
      <w:r>
        <w:rPr>
          <w:rStyle w:val="NormalTok"/>
        </w:rPr>
        <w:t xml:space="preserve">)</w:t>
      </w:r>
      <w:r>
        <w:br/>
      </w:r>
      <w:r>
        <w:rPr>
          <w:rStyle w:val="NormalTok"/>
        </w:rPr>
        <w:t xml:space="preserve">    </w:t>
      </w:r>
      <w:r>
        <w:rPr>
          <w:rStyle w:val="KeywordTok"/>
        </w:rPr>
        <w:t xml:space="preserve">From</w:t>
      </w:r>
      <w:r>
        <w:rPr>
          <w:rStyle w:val="NormalTok"/>
        </w:rPr>
        <w:t xml:space="preserve"> #UpstreamCandidates</w:t>
      </w:r>
      <w:r>
        <w:br/>
      </w:r>
      <w:r>
        <w:rPr>
          <w:rStyle w:val="NormalTok"/>
        </w:rPr>
        <w:t xml:space="preserve">)</w:t>
      </w:r>
      <w:r>
        <w:br/>
      </w:r>
      <w:r>
        <w:rPr>
          <w:rStyle w:val="KeywordTok"/>
        </w:rPr>
        <w:t xml:space="preserve">Select</w:t>
      </w:r>
      <w:r>
        <w:rPr>
          <w:rStyle w:val="NormalTok"/>
        </w:rPr>
        <w:t xml:space="preserve"> ProductId, PriInternal, OrderId</w:t>
      </w:r>
      <w:r>
        <w:br/>
      </w:r>
      <w:r>
        <w:rPr>
          <w:rStyle w:val="KeywordTok"/>
        </w:rPr>
        <w:t xml:space="preserve">Into</w:t>
      </w:r>
      <w:r>
        <w:rPr>
          <w:rStyle w:val="NormalTok"/>
        </w:rPr>
        <w:t xml:space="preserve"> #TopUpstreamPerProduct</w:t>
      </w:r>
      <w:r>
        <w:br/>
      </w:r>
      <w:r>
        <w:rPr>
          <w:rStyle w:val="KeywordTok"/>
        </w:rPr>
        <w:t xml:space="preserve">From</w:t>
      </w:r>
      <w:r>
        <w:rPr>
          <w:rStyle w:val="NormalTok"/>
        </w:rPr>
        <w:t xml:space="preserve"> Ranked</w:t>
      </w:r>
      <w:r>
        <w:br/>
      </w:r>
      <w:r>
        <w:rPr>
          <w:rStyle w:val="KeywordTok"/>
        </w:rPr>
        <w:t xml:space="preserve">Where</w:t>
      </w:r>
      <w:r>
        <w:rPr>
          <w:rStyle w:val="NormalTok"/>
        </w:rPr>
        <w:t xml:space="preserve"> Rk </w:t>
      </w:r>
      <w:r>
        <w:rPr>
          <w:rStyle w:val="OperatorTok"/>
        </w:rPr>
        <w:t xml:space="preserve">=</w:t>
      </w:r>
      <w:r>
        <w:rPr>
          <w:rStyle w:val="NormalTok"/>
        </w:rPr>
        <w:t xml:space="preserve"> </w:t>
      </w:r>
      <w:r>
        <w:rPr>
          <w:rStyle w:val="DecValTok"/>
        </w:rPr>
        <w:t xml:space="preserve">1</w:t>
      </w:r>
    </w:p>
    <w:p>
      <w:pPr>
        <w:pStyle w:val="FirstParagraph"/>
      </w:pPr>
      <w:r>
        <w:t xml:space="preserve">One pass over</w:t>
      </w:r>
      <w:r>
        <w:t xml:space="preserve"> </w:t>
      </w:r>
      <w:r>
        <w:rPr>
          <w:rStyle w:val="VerbatimChar"/>
        </w:rPr>
        <w:t xml:space="preserve">#UpstreamCandidates</w:t>
      </w:r>
      <w:r>
        <w:t xml:space="preserve"> </w:t>
      </w:r>
      <w:r>
        <w:t xml:space="preserve">produces both the min PriInternal per product and the OrderId at that min. The tie-breaker on OrderId matches the v20</w:t>
      </w:r>
      <w:r>
        <w:t xml:space="preserve"> </w:t>
      </w:r>
      <w:r>
        <w:rPr>
          <w:rStyle w:val="VerbatimChar"/>
        </w:rPr>
        <w:t xml:space="preserve">Min(OrderId)</w:t>
      </w:r>
      <w:r>
        <w:t xml:space="preserve"> </w:t>
      </w:r>
      <w:r>
        <w:t xml:space="preserve">semantics.</w:t>
      </w:r>
    </w:p>
    <w:p>
      <w:pPr>
        <w:pStyle w:val="BodyText"/>
      </w:pPr>
      <w:r>
        <w:rPr>
          <w:b/>
        </w:rPr>
        <w:t xml:space="preserve">Consolidated derived-expression SELECT.</w:t>
      </w:r>
    </w:p>
    <w:p>
      <w:pPr>
        <w:pStyle w:val="SourceCode"/>
      </w:pPr>
      <w:r>
        <w:rPr>
          <w:rStyle w:val="KeywordTok"/>
        </w:rPr>
        <w:t xml:space="preserve">Select</w:t>
      </w:r>
      <w:r>
        <w:br/>
      </w:r>
      <w:r>
        <w:rPr>
          <w:rStyle w:val="NormalTok"/>
        </w:rPr>
        <w:t xml:space="preserve">      C.OrderId, C.ProductId, C.QtyOrdered, C.PriInternal</w:t>
      </w:r>
      <w:r>
        <w:br/>
      </w:r>
      <w:r>
        <w:rPr>
          <w:rStyle w:val="NormalTok"/>
        </w:rPr>
        <w:t xml:space="preserve">    , [TopPriUpstreamQueuedRxOrderId]             </w:t>
      </w:r>
      <w:r>
        <w:rPr>
          <w:rStyle w:val="OperatorTok"/>
        </w:rPr>
        <w:t xml:space="preserve">=</w:t>
      </w:r>
      <w:r>
        <w:rPr>
          <w:rStyle w:val="NormalTok"/>
        </w:rPr>
        <w:t xml:space="preserve"> IsNull(B.OrderId, </w:t>
      </w:r>
      <w:r>
        <w:rPr>
          <w:rStyle w:val="StringTok"/>
        </w:rPr>
        <w:t xml:space="preserve">'None'</w:t>
      </w:r>
      <w:r>
        <w:rPr>
          <w:rStyle w:val="NormalTok"/>
        </w:rPr>
        <w:t xml:space="preserve">)</w:t>
      </w:r>
      <w:r>
        <w:br/>
      </w:r>
      <w:r>
        <w:rPr>
          <w:rStyle w:val="NormalTok"/>
        </w:rPr>
        <w:t xml:space="preserve">    , [TopPriUpstreamQueuedRxAdjustedPriInternal] </w:t>
      </w:r>
      <w:r>
        <w:rPr>
          <w:rStyle w:val="OperatorTok"/>
        </w:rPr>
        <w:t xml:space="preserve">=</w:t>
      </w:r>
      <w:r>
        <w:rPr>
          <w:rStyle w:val="NormalTok"/>
        </w:rPr>
        <w:t xml:space="preserve"> AdjustedUpstream</w:t>
      </w:r>
      <w:r>
        <w:br/>
      </w:r>
      <w:r>
        <w:rPr>
          <w:rStyle w:val="NormalTok"/>
        </w:rPr>
        <w:t xml:space="preserve">    , [ActOnAsPriInternal]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AdjustedUpstream </w:t>
      </w:r>
      <w:r>
        <w:rPr>
          <w:rStyle w:val="OperatorTok"/>
        </w:rPr>
        <w:t xml:space="preserve">&lt;</w:t>
      </w:r>
      <w:r>
        <w:rPr>
          <w:rStyle w:val="NormalTok"/>
        </w:rPr>
        <w:t xml:space="preserve"> C.PriInternal </w:t>
      </w:r>
      <w:r>
        <w:rPr>
          <w:rStyle w:val="ControlFlowTok"/>
        </w:rPr>
        <w:t xml:space="preserve">Then</w:t>
      </w:r>
      <w:r>
        <w:rPr>
          <w:rStyle w:val="NormalTok"/>
        </w:rPr>
        <w:t xml:space="preserve"> AdjustedUpstream </w:t>
      </w:r>
      <w:r>
        <w:rPr>
          <w:rStyle w:val="ControlFlowTok"/>
        </w:rPr>
        <w:t xml:space="preserve">Else</w:t>
      </w:r>
      <w:r>
        <w:rPr>
          <w:rStyle w:val="NormalTok"/>
        </w:rPr>
        <w:t xml:space="preserve"> C.PriInternal </w:t>
      </w:r>
      <w:r>
        <w:rPr>
          <w:rStyle w:val="ControlFlowTok"/>
        </w:rPr>
        <w:t xml:space="preserve">End</w:t>
      </w:r>
      <w:r>
        <w:br/>
      </w:r>
      <w:r>
        <w:rPr>
          <w:rStyle w:val="NormalTok"/>
        </w:rPr>
        <w:t xml:space="preserve">    , [FillToMakeWayForUpstreamRxOrderId]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AdjustedUpstream </w:t>
      </w:r>
      <w:r>
        <w:rPr>
          <w:rStyle w:val="OperatorTok"/>
        </w:rPr>
        <w:t xml:space="preserve">&lt;</w:t>
      </w:r>
      <w:r>
        <w:rPr>
          <w:rStyle w:val="NormalTok"/>
        </w:rPr>
        <w:t xml:space="preserve"> C.PriInternal </w:t>
      </w:r>
      <w:r>
        <w:rPr>
          <w:rStyle w:val="ControlFlowTok"/>
        </w:rPr>
        <w:t xml:space="preserve">Then</w:t>
      </w:r>
      <w:r>
        <w:rPr>
          <w:rStyle w:val="NormalTok"/>
        </w:rPr>
        <w:t xml:space="preserve"> B.OrderId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br/>
      </w:r>
      <w:r>
        <w:rPr>
          <w:rStyle w:val="KeywordTok"/>
        </w:rPr>
        <w:t xml:space="preserve">Into</w:t>
      </w:r>
      <w:r>
        <w:rPr>
          <w:rStyle w:val="NormalTok"/>
        </w:rPr>
        <w:t xml:space="preserve"> #CountedRxsWithTopUpstream</w:t>
      </w:r>
      <w:r>
        <w:br/>
      </w:r>
      <w:r>
        <w:rPr>
          <w:rStyle w:val="KeywordTok"/>
        </w:rPr>
        <w:t xml:space="preserve">From</w:t>
      </w:r>
      <w:r>
        <w:rPr>
          <w:rStyle w:val="NormalTok"/>
        </w:rPr>
        <w:t xml:space="preserve"> #CountedRxs C</w:t>
      </w:r>
      <w:r>
        <w:br/>
      </w:r>
      <w:r>
        <w:rPr>
          <w:rStyle w:val="KeywordTok"/>
        </w:rPr>
        <w:t xml:space="preserve">Left</w:t>
      </w:r>
      <w:r>
        <w:rPr>
          <w:rStyle w:val="NormalTok"/>
        </w:rPr>
        <w:t xml:space="preserve"> </w:t>
      </w:r>
      <w:r>
        <w:rPr>
          <w:rStyle w:val="KeywordTok"/>
        </w:rPr>
        <w:t xml:space="preserve">Join</w:t>
      </w:r>
      <w:r>
        <w:rPr>
          <w:rStyle w:val="NormalTok"/>
        </w:rPr>
        <w:t xml:space="preserve"> #TopUpstreamPerProduct B</w:t>
      </w:r>
      <w:r>
        <w:br/>
      </w:r>
      <w:r>
        <w:rPr>
          <w:rStyle w:val="NormalTok"/>
        </w:rPr>
        <w:t xml:space="preserve">    </w:t>
      </w:r>
      <w:r>
        <w:rPr>
          <w:rStyle w:val="KeywordTok"/>
        </w:rPr>
        <w:t xml:space="preserve">On</w:t>
      </w:r>
      <w:r>
        <w:rPr>
          <w:rStyle w:val="NormalTok"/>
        </w:rPr>
        <w:t xml:space="preserve"> B.ProductId </w:t>
      </w:r>
      <w:r>
        <w:rPr>
          <w:rStyle w:val="OperatorTok"/>
        </w:rPr>
        <w:t xml:space="preserve">=</w:t>
      </w:r>
      <w:r>
        <w:rPr>
          <w:rStyle w:val="NormalTok"/>
        </w:rPr>
        <w:t xml:space="preserve"> C.ProductId</w:t>
      </w:r>
      <w:r>
        <w:br/>
      </w:r>
      <w:r>
        <w:rPr>
          <w:rStyle w:val="KeywordTok"/>
        </w:rPr>
        <w:t xml:space="preserve">Cross</w:t>
      </w:r>
      <w:r>
        <w:rPr>
          <w:rStyle w:val="NormalTok"/>
        </w:rPr>
        <w:t xml:space="preserve"> Apply</w:t>
      </w:r>
      <w:r>
        <w:br/>
      </w:r>
      <w:r>
        <w:rPr>
          <w:rStyle w:val="NormalTok"/>
        </w:rPr>
        <w:t xml:space="preserve">(</w:t>
      </w:r>
      <w:r>
        <w:br/>
      </w:r>
      <w:r>
        <w:rPr>
          <w:rStyle w:val="NormalTok"/>
        </w:rPr>
        <w:t xml:space="preserve">    </w:t>
      </w:r>
      <w:r>
        <w:rPr>
          <w:rStyle w:val="KeywordTok"/>
        </w:rPr>
        <w:t xml:space="preserve">Select</w:t>
      </w:r>
      <w:r>
        <w:br/>
      </w:r>
      <w:r>
        <w:rPr>
          <w:rStyle w:val="NormalTok"/>
        </w:rPr>
        <w:t xml:space="preserve">        [AdjustedUpstream] </w:t>
      </w:r>
      <w:r>
        <w:rPr>
          <w:rStyle w:val="OperatorTok"/>
        </w:rPr>
        <w:t xml:space="preserve">=</w:t>
      </w:r>
      <w:r>
        <w:rPr>
          <w:rStyle w:val="NormalTok"/>
        </w:rPr>
        <w:t xml:space="preserve"> IsNull</w:t>
      </w:r>
      <w:r>
        <w:br/>
      </w:r>
      <w:r>
        <w:rPr>
          <w:rStyle w:val="NormalTok"/>
        </w:rPr>
        <w:t xml:space="preserve">        (</w:t>
      </w:r>
      <w:r>
        <w:br/>
      </w:r>
      <w:r>
        <w:rPr>
          <w:rStyle w:val="NormalTok"/>
        </w:rPr>
        <w:t xml:space="preserve">            </w:t>
      </w:r>
      <w:r>
        <w:rPr>
          <w:rStyle w:val="KeywordTok"/>
        </w:rPr>
        <w:t xml:space="preserve">Left</w:t>
      </w:r>
      <w:r>
        <w:rPr>
          <w:rStyle w:val="NormalTok"/>
        </w:rPr>
        <w:t xml:space="preserve">(B.PriInternal,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SubString(B.PriInternal,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When</w:t>
      </w:r>
      <w:r>
        <w:rPr>
          <w:rStyle w:val="NormalTok"/>
        </w:rPr>
        <w:t xml:space="preserve"> </w:t>
      </w:r>
      <w:r>
        <w:rPr>
          <w:rStyle w:val="StringTok"/>
        </w:rPr>
        <w:t xml:space="preserve">'9'</w:t>
      </w:r>
      <w:r>
        <w:rPr>
          <w:rStyle w:val="NormalTok"/>
        </w:rPr>
        <w:t xml:space="preserve"> </w:t>
      </w:r>
      <w:r>
        <w:rPr>
          <w:rStyle w:val="ControlFlowTok"/>
        </w:rPr>
        <w:t xml:space="preserve">Then</w:t>
      </w:r>
      <w:r>
        <w:rPr>
          <w:rStyle w:val="NormalTok"/>
        </w:rPr>
        <w:t xml:space="preserve"> @UpstreamQueuedRxGroupNotYetCountedAdjustedBoostVal</w:t>
      </w:r>
      <w:r>
        <w:br/>
      </w:r>
      <w:r>
        <w:rPr>
          <w:rStyle w:val="NormalTok"/>
        </w:rPr>
        <w:t xml:space="preserve">                  </w:t>
      </w:r>
      <w:r>
        <w:rPr>
          <w:rStyle w:val="ControlFlowTok"/>
        </w:rPr>
        <w:t xml:space="preserve">Else</w:t>
      </w:r>
      <w:r>
        <w:rPr>
          <w:rStyle w:val="NormalTok"/>
        </w:rPr>
        <w:t xml:space="preserve"> SubString(B.PriInternal,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OperatorTok"/>
        </w:rPr>
        <w:t xml:space="preserve">+</w:t>
      </w:r>
      <w:r>
        <w:rPr>
          <w:rStyle w:val="NormalTok"/>
        </w:rPr>
        <w:t xml:space="preserve"> SubString(B.PriInternal, </w:t>
      </w:r>
      <w:r>
        <w:rPr>
          <w:rStyle w:val="DecValTok"/>
        </w:rPr>
        <w:t xml:space="preserve">3</w:t>
      </w:r>
      <w:r>
        <w:rPr>
          <w:rStyle w:val="NormalTok"/>
        </w:rPr>
        <w:t xml:space="preserve">, </w:t>
      </w:r>
      <w:r>
        <w:rPr>
          <w:rStyle w:val="DecValTok"/>
        </w:rPr>
        <w:t xml:space="preserve">22</w:t>
      </w:r>
      <w:r>
        <w:rPr>
          <w:rStyle w:val="NormalTok"/>
        </w:rPr>
        <w:t xml:space="preserve">)</w:t>
      </w:r>
      <w:r>
        <w:br/>
      </w:r>
      <w:r>
        <w:rPr>
          <w:rStyle w:val="NormalTok"/>
        </w:rPr>
        <w:t xml:space="preserve">          , </w:t>
      </w:r>
      <w:r>
        <w:rPr>
          <w:rStyle w:val="StringTok"/>
        </w:rPr>
        <w:t xml:space="preserve">'999999999999999999'</w:t>
      </w:r>
      <w:r>
        <w:br/>
      </w:r>
      <w:r>
        <w:rPr>
          <w:rStyle w:val="NormalTok"/>
        </w:rPr>
        <w:t xml:space="preserve">        )</w:t>
      </w:r>
      <w:r>
        <w:br/>
      </w:r>
      <w:r>
        <w:rPr>
          <w:rStyle w:val="NormalTok"/>
        </w:rPr>
        <w:t xml:space="preserve">) X</w:t>
      </w:r>
    </w:p>
    <w:p>
      <w:pPr>
        <w:pStyle w:val="FirstParagraph"/>
      </w:pPr>
      <w:r>
        <w:t xml:space="preserve">The</w:t>
      </w:r>
      <w:r>
        <w:t xml:space="preserve"> </w:t>
      </w:r>
      <w:r>
        <w:rPr>
          <w:rStyle w:val="VerbatimChar"/>
        </w:rPr>
        <w:t xml:space="preserve">Cross Apply</w:t>
      </w:r>
      <w:r>
        <w:t xml:space="preserve"> </w:t>
      </w:r>
      <w:r>
        <w:t xml:space="preserve">produces the adjusted-upstream string once per row and makes it referenceable by name (</w:t>
      </w:r>
      <w:r>
        <w:rPr>
          <w:rStyle w:val="VerbatimChar"/>
        </w:rPr>
        <w:t xml:space="preserve">AdjustedUpstream</w:t>
      </w:r>
      <w:r>
        <w:t xml:space="preserve">) in the column projection and in the two derived expressions. The v20 form had to repeat the long expression three times.</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combined AddrBank scan changes the OeOrder access pattern. The</w:t>
      </w:r>
      <w:r>
        <w:t xml:space="preserve"> </w:t>
      </w:r>
      <w:r>
        <w:rPr>
          <w:rStyle w:val="VerbatimChar"/>
        </w:rPr>
        <w:t xml:space="preserve">AddrBank In (@LocalAddrBank, '-')</w:t>
      </w:r>
      <w:r>
        <w:t xml:space="preserve"> </w:t>
      </w:r>
      <w:r>
        <w:t xml:space="preserve">predicate is SARGable against an index keyed by</w:t>
      </w:r>
      <w:r>
        <w:t xml:space="preserve"> </w:t>
      </w:r>
      <w:r>
        <w:rPr>
          <w:rStyle w:val="VerbatimChar"/>
        </w:rPr>
        <w:t xml:space="preserve">AddrBank</w:t>
      </w:r>
      <w:r>
        <w:t xml:space="preserve">; the optimizer should produce a seek-or-scan of the index for each of the two values. If the candidate set at one of the values is empty, the optimizer should short-circuit the corresponding range.</w:t>
      </w:r>
    </w:p>
    <w:p>
      <w:pPr>
        <w:pStyle w:val="BodyText"/>
      </w:pPr>
      <w:r>
        <w:t xml:space="preserve">The ROW_NUMBER() window function changes the cardinality estimate the optimizer sees for the upstream-top-per-product set. The set size is bounded by the number of distinct products in</w:t>
      </w:r>
      <w:r>
        <w:t xml:space="preserve"> </w:t>
      </w:r>
      <w:r>
        <w:rPr>
          <w:rStyle w:val="VerbatimChar"/>
        </w:rPr>
        <w:t xml:space="preserve">#CountedRxs</w:t>
      </w:r>
      <w:r>
        <w:t xml:space="preserve">, which is typically small.</w:t>
      </w:r>
    </w:p>
    <w:p>
      <w:pPr>
        <w:pStyle w:val="BodyText"/>
      </w:pPr>
      <w:r>
        <w:t xml:space="preserve">The Cross Apply form for the derived-expression staging is equivalent to the v20 two-temp-table form by construction. The expressions are computed against the same input columns (</w:t>
      </w:r>
      <w:r>
        <w:rPr>
          <w:rStyle w:val="VerbatimChar"/>
        </w:rPr>
        <w:t xml:space="preserve">B.PriInternal</w:t>
      </w:r>
      <w:r>
        <w:t xml:space="preserve">); the only difference is that v21 names the intermediate result once.</w:t>
      </w:r>
    </w:p>
    <w:p>
      <w:pPr>
        <w:pStyle w:val="BodyText"/>
      </w:pPr>
      <w:r>
        <w:rPr>
          <w:b/>
        </w:rPr>
        <w:t xml:space="preserve">What to look for in the first 24 hours.</w:t>
      </w:r>
      <w:r>
        <w:t xml:space="preserve"> </w:t>
      </w:r>
      <w:r>
        <w:t xml:space="preserve">OeOrder reads per call (expected to drop on the upstream-candidate scan), temp-table count (expected to drop from 5 to 4), result set parity with v20, plan shape changes on the joins.</w:t>
      </w:r>
    </w:p>
    <w:p>
      <w:pPr>
        <w:pStyle w:val="BodyText"/>
      </w:pPr>
      <w:r>
        <w:rPr>
          <w:b/>
        </w:rPr>
        <w:t xml:space="preserve">Rollback path.</w:t>
      </w:r>
      <w:r>
        <w:t xml:space="preserve"> </w:t>
      </w:r>
      <w:r>
        <w:t xml:space="preserve">The v20 body is in</w:t>
      </w:r>
      <w:r>
        <w:t xml:space="preserve"> </w:t>
      </w:r>
      <w:r>
        <w:rPr>
          <w:rStyle w:val="VerbatimChar"/>
        </w:rPr>
        <w:t xml:space="preserve">Original.sql</w:t>
      </w:r>
      <w:r>
        <w:t xml:space="preserve">. Redeploying v20 reverts cleanly.</w:t>
      </w:r>
    </w:p>
    <w:p>
      <w:r>
        <w:pict>
          <v:rect style="width:0;height:1.5pt" o:hralign="center" o:hrstd="t" o:hr="t"/>
        </w:pict>
      </w:r>
    </w:p>
    <w:p>
      <w:pPr>
        <w:pStyle w:val="Heading2"/>
      </w:pPr>
      <w:bookmarkStart w:id="30" w:name="evidence-of-refactor-v21"/>
      <w:r>
        <w:t xml:space="preserve">8. Evidence of Refactor (v21)</w:t>
      </w:r>
      <w:bookmarkEnd w:id="30"/>
    </w:p>
    <w:p>
      <w:pPr>
        <w:pStyle w:val="SourceCode"/>
      </w:pPr>
      <w:r>
        <w:rPr>
          <w:rStyle w:val="VerbatimChar"/>
        </w:rPr>
        <w:t xml:space="preserve">(paste STATS IO / STATS TIME for v21 against the same data state used for v20 here)</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v20 (paste)</w:t>
            </w:r>
          </w:p>
        </w:tc>
        <w:tc>
          <w:tcPr>
            <w:tcBorders>
              <w:bottom w:val="single"/>
            </w:tcBorders>
            <w:vAlign w:val="bottom"/>
          </w:tcPr>
          <w:p>
            <w:pPr>
              <w:pStyle w:val="Compact"/>
              <w:jc w:val="left"/>
            </w:pPr>
            <w:r>
              <w:t xml:space="preserve">v21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w:t>
            </w:r>
          </w:p>
        </w:tc>
        <w:tc>
          <w:p/>
        </w:tc>
        <w:tc>
          <w:p/>
        </w:tc>
        <w:tc>
          <w:p/>
        </w:tc>
      </w:tr>
      <w:tr>
        <w:tc>
          <w:p>
            <w:pPr>
              <w:pStyle w:val="Compact"/>
              <w:jc w:val="left"/>
            </w:pPr>
            <w:r>
              <w:t xml:space="preserve">Logical reads on</w:t>
            </w:r>
            <w:r>
              <w:t xml:space="preserve"> </w:t>
            </w:r>
            <w:r>
              <w:rPr>
                <w:rStyle w:val="VerbatimChar"/>
              </w:rPr>
              <w:t xml:space="preserve">OeOrder</w:t>
            </w:r>
          </w:p>
        </w:tc>
        <w:tc>
          <w:p/>
        </w:tc>
        <w:tc>
          <w:p>
            <w:pPr>
              <w:pStyle w:val="Compact"/>
              <w:jc w:val="left"/>
            </w:pPr>
            <w:r>
              <w:t xml:space="preserve">(expected: ~50-75% of v20)</w:t>
            </w:r>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operator count</w:t>
            </w:r>
          </w:p>
        </w:tc>
        <w:tc>
          <w:p/>
        </w:tc>
        <w:tc>
          <w:p/>
        </w:tc>
        <w:tc>
          <w:p/>
        </w:tc>
      </w:tr>
      <w:tr>
        <w:tc>
          <w:p>
            <w:pPr>
              <w:pStyle w:val="Compact"/>
              <w:jc w:val="left"/>
            </w:pPr>
            <w:r>
              <w:t xml:space="preserve">Result row count</w:t>
            </w:r>
          </w:p>
        </w:tc>
        <w:tc>
          <w:p/>
        </w:tc>
        <w:tc>
          <w:p/>
        </w:tc>
        <w:tc>
          <w:p/>
        </w:tc>
      </w:tr>
    </w:tbl>
    <w:p>
      <w:pPr>
        <w:pStyle w:val="BodyText"/>
      </w:pPr>
      <w:r>
        <w:rPr>
          <w:b/>
        </w:rPr>
        <w:t xml:space="preserve">Verdict (to be entered once the captures land):</w:t>
      </w:r>
      <w:r>
        <w:t xml:space="preserve"> </w:t>
      </w:r>
      <w:r>
        <w:t xml:space="preserve">the headline expected delta is the OeOrder read reduction from the consolidated upstream scan and the elimination of one temp table. Knock-on effect: Row 21 (</w:t>
      </w:r>
      <w:r>
        <w:rPr>
          <w:rStyle w:val="VerbatimChar"/>
        </w:rPr>
        <w:t xml:space="preserve">lsp_RbtDetermineNextVialToProcess</w:t>
      </w:r>
      <w:r>
        <w:t xml:space="preserve">) reads should also drop because this procedure is its dominant cost driver.</w:t>
      </w:r>
    </w:p>
    <w:p>
      <w:r>
        <w:pict>
          <v:rect style="width:0;height:1.5pt" o:hralign="center" o:hrstd="t" o:hr="t"/>
        </w:pict>
      </w:r>
    </w:p>
    <w:p>
      <w:pPr>
        <w:pStyle w:val="Heading2"/>
      </w:pPr>
      <w:bookmarkStart w:id="32" w:name="validation-checklist"/>
      <w:r>
        <w:t xml:space="preserve">10. Validation Checklist</w:t>
      </w:r>
      <w:bookmarkEnd w:id="32"/>
    </w:p>
    <w:p>
      <w:pPr>
        <w:numPr>
          <w:ilvl w:val="0"/>
          <w:numId w:val="1002"/>
        </w:numPr>
        <w:pStyle w:val="Compact"/>
      </w:pPr>
      <w:r>
        <w:t xml:space="preserve">Same data state. (?)</w:t>
      </w:r>
    </w:p>
    <w:p>
      <w:pPr>
        <w:numPr>
          <w:ilvl w:val="0"/>
          <w:numId w:val="1002"/>
        </w:numPr>
        <w:pStyle w:val="Compact"/>
      </w:pPr>
      <w:r>
        <w:t xml:space="preserve">Warm cache only. (?)</w:t>
      </w:r>
    </w:p>
    <w:p>
      <w:pPr>
        <w:numPr>
          <w:ilvl w:val="0"/>
          <w:numId w:val="1002"/>
        </w:numPr>
        <w:pStyle w:val="Compact"/>
      </w:pPr>
      <w:r>
        <w:t xml:space="preserve">Non-zero result set. (?)</w:t>
      </w:r>
    </w:p>
    <w:p>
      <w:pPr>
        <w:numPr>
          <w:ilvl w:val="0"/>
          <w:numId w:val="1002"/>
        </w:numPr>
        <w:pStyle w:val="Compact"/>
      </w:pPr>
      <w:r>
        <w:t xml:space="preserve">Identical result set: same Rxs returned in same priority order in both branches of the</w:t>
      </w:r>
      <w:r>
        <w:t xml:space="preserve"> </w:t>
      </w:r>
      <w:r>
        <w:t xml:space="preserve">@LocalReturnFillingRelatedData</w:t>
      </w:r>
      <w:r>
        <w:t xml:space="preserve"> </w:t>
      </w:r>
      <w:r>
        <w:t xml:space="preserve">switch. (?)</w:t>
      </w:r>
    </w:p>
    <w:p>
      <w:pPr>
        <w:numPr>
          <w:ilvl w:val="0"/>
          <w:numId w:val="1002"/>
        </w:numPr>
        <w:pStyle w:val="Compact"/>
      </w:pPr>
      <w:r>
        <w:t xml:space="preserve">Plan shape matches prediction.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 The compounding effect on Row 21 makes per-MFC monitoring especially valuable on this procedure.</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89960fedbc4a38b3d3f97496eb3d4170266035b"/>
      <w:r>
        <w:t xml:space="preserve">11.1 Inline</w:t>
      </w:r>
      <w:r>
        <w:t xml:space="preserve"> </w:t>
      </w:r>
      <w:r>
        <w:rPr>
          <w:rStyle w:val="VerbatimChar"/>
        </w:rPr>
        <w:t xml:space="preserve">dbo.fSqlFormatDecimalValueForDisplay</w:t>
      </w:r>
      <w:r>
        <w:t xml:space="preserve"> </w:t>
      </w:r>
      <w:r>
        <w:t xml:space="preserve">in the</w:t>
      </w:r>
      <w:r>
        <w:t xml:space="preserve"> </w:t>
      </w:r>
      <w:r>
        <w:t xml:space="preserve">@ReturnFillingRelatedData</w:t>
      </w:r>
      <w:r>
        <w:t xml:space="preserve"> </w:t>
      </w:r>
      <w:r>
        <w:t xml:space="preserve">= 1 branch</w:t>
      </w:r>
      <w:bookmarkEnd w:id="34"/>
    </w:p>
    <w:p>
      <w:pPr>
        <w:pStyle w:val="FirstParagraph"/>
      </w:pPr>
      <w:r>
        <w:t xml:space="preserve">The scalar UDF carries the [[Scalar UDF Parallelism Barrier]] cost. The UDF body is a decimal formatter; the inline form is a</w:t>
      </w:r>
      <w:r>
        <w:t xml:space="preserve"> </w:t>
      </w:r>
      <w:r>
        <w:rPr>
          <w:rStyle w:val="VerbatimChar"/>
        </w:rPr>
        <w:t xml:space="preserve">Format()</w:t>
      </w:r>
      <w:r>
        <w:t xml:space="preserve"> </w:t>
      </w:r>
      <w:r>
        <w:t xml:space="preserve">call or a Cast/Convert with explicit precision. Confirm the UDF body before deployment and inline in a v22.</w:t>
      </w:r>
    </w:p>
    <w:p>
      <w:pPr>
        <w:pStyle w:val="Heading3"/>
      </w:pPr>
      <w:bookmarkStart w:id="35" w:name="cross-reference-to-row-21"/>
      <w:r>
        <w:t xml:space="preserve">11.2 Cross-reference to Row 21</w:t>
      </w:r>
      <w:bookmarkEnd w:id="35"/>
    </w:p>
    <w:p>
      <w:pPr>
        <w:pStyle w:val="FirstParagraph"/>
      </w:pPr>
      <w:r>
        <w:t xml:space="preserve">This procedure is identified in</w:t>
      </w:r>
      <w:r>
        <w:t xml:space="preserve"> </w:t>
      </w:r>
      <w:r>
        <w:rPr>
          <w:rStyle w:val="VerbatimChar"/>
        </w:rPr>
        <w:t xml:space="preserve">refactors/lsp_RbtDetermineNextVialToProcess/Analysis.md</w:t>
      </w:r>
      <w:r>
        <w:t xml:space="preserve"> </w:t>
      </w:r>
      <w:r>
        <w:t xml:space="preserve">Section 11.2 as the dominant cost driver for Row 21. The v21 refactor here is the structural improvement that Row 21’s analysis was waiting on. Once v21 deploys, Row 21’s reads should drop substantially even without a v11 deployment of Row 21 itself.</w:t>
      </w:r>
    </w:p>
    <w:p>
      <w:pPr>
        <w:pStyle w:val="Heading3"/>
      </w:pPr>
      <w:bookmarkStart w:id="36" w:name="per-mfc-post-deployment-monitoring"/>
      <w:r>
        <w:t xml:space="preserve">11.3 Per-MFC post-deployment monitoring</w:t>
      </w:r>
      <w:bookmarkEnd w:id="36"/>
    </w:p>
    <w:p>
      <w:pPr>
        <w:pStyle w:val="FirstParagraph"/>
      </w:pPr>
      <w:r>
        <w:t xml:space="preserve">Two-week capture per site, three-bucket outcome distribution. The capture should look at both Row 29 (this procedure) and Row 21 (the caller) to measure the compounding benefit.</w:t>
      </w:r>
    </w:p>
    <w:p>
      <w:pPr>
        <w:pStyle w:val="Heading3"/>
      </w:pPr>
      <w:bookmarkStart w:id="37" w:name="Xc10fa4aec6e30b411a78896d6cea385196ac465"/>
      <w:r>
        <w:t xml:space="preserve">11.4 Consider whether Counted Rxs need a more selective filter</w:t>
      </w:r>
      <w:bookmarkEnd w:id="37"/>
    </w:p>
    <w:p>
      <w:pPr>
        <w:pStyle w:val="FirstParagraph"/>
      </w:pPr>
      <w:r>
        <w:t xml:space="preserve">The Counted candidate scan filters on</w:t>
      </w:r>
      <w:r>
        <w:t xml:space="preserve"> </w:t>
      </w:r>
      <w:r>
        <w:rPr>
          <w:rStyle w:val="VerbatimChar"/>
        </w:rPr>
        <w:t xml:space="preserve">OrderStatus In ('Counted', 'Partial Counted') Or (OrderStatus = 'Split-DD' And StatusReason = 'Counted')</w:t>
      </w:r>
      <w:r>
        <w:t xml:space="preserve"> </w:t>
      </w:r>
      <w:r>
        <w:t xml:space="preserve">with</w:t>
      </w:r>
      <w:r>
        <w:t xml:space="preserve"> </w:t>
      </w:r>
      <w:r>
        <w:rPr>
          <w:rStyle w:val="VerbatimChar"/>
        </w:rPr>
        <w:t xml:space="preserve">AddrBank = @LocalAddrBank</w:t>
      </w:r>
      <w:r>
        <w:t xml:space="preserve"> </w:t>
      </w:r>
      <w:r>
        <w:t xml:space="preserve">and</w:t>
      </w:r>
      <w:r>
        <w:t xml:space="preserve"> </w:t>
      </w:r>
      <w:r>
        <w:rPr>
          <w:rStyle w:val="VerbatimChar"/>
        </w:rPr>
        <w:t xml:space="preserve">FillType = 'A'</w:t>
      </w:r>
      <w:r>
        <w:t xml:space="preserve">. A filtered index on this combination might be useful if the post-deployment plan shows the scan as the dominant cost. The filtered index would be Tolleson-evaluated first; documented for the architectural backlog.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2026-05-15T13:29:08Z</dcterms:created>
  <dcterms:modified xsi:type="dcterms:W3CDTF">2026-05-15T13:29:08Z</dcterms:modified>
</cp:coreProperties>
</file>

<file path=docProps/custom.xml><?xml version="1.0" encoding="utf-8"?>
<Properties xmlns="http://schemas.openxmlformats.org/officeDocument/2006/custom-properties" xmlns:vt="http://schemas.openxmlformats.org/officeDocument/2006/docPropsVTypes"/>
</file>