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a4fa2e2eb387ca01911d34b8d010637bb011f9"/>
      <w:r>
        <w:t xml:space="preserve">lsp_OrdGetRxNumsMedsFromPo: Refactor Analysis (v22 to v23)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</w:rPr>
        <w:t xml:space="preserve">Tracking sheet row:</w:t>
      </w:r>
      <w:r>
        <w:t xml:space="preserve"> </w:t>
      </w:r>
      <w:r>
        <w:t xml:space="preserve">33 (Priority P1, status Not Started)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Cataloged. Refactored.sql is a proposed v23 designed by the MFC DBA team and me, awaiting iA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cedure-name-surface-area"/>
      <w:r>
        <w:t xml:space="preserve">1. Procedure Name &amp; Surface Area</w:t>
      </w:r>
      <w:bookmarkEnd w:id="21"/>
    </w:p>
    <w:p>
      <w:pPr>
        <w:pStyle w:val="FirstParagraph"/>
      </w:pPr>
      <w:r>
        <w:rPr>
          <w:b/>
        </w:rPr>
        <w:t xml:space="preserve">Procedure:</w:t>
      </w:r>
      <w:r>
        <w:t xml:space="preserve"> </w:t>
      </w:r>
      <w:r>
        <w:rPr>
          <w:rStyle w:val="VerbatimChar"/>
        </w:rPr>
        <w:t xml:space="preserve">dbo.lsp_OrdGetRxNumsMedsFromPo</w:t>
      </w:r>
    </w:p>
    <w:p>
      <w:pPr>
        <w:pStyle w:val="BodyText"/>
      </w:pPr>
      <w:r>
        <w:rPr>
          <w:b/>
        </w:rPr>
        <w:t xml:space="preserve">Purpose in one line:</w:t>
      </w:r>
      <w:r>
        <w:t xml:space="preserve"> </w:t>
      </w:r>
      <w:r>
        <w:t xml:space="preserve">For a PO number, returns the list of Rx numbers, medications, and supporting label-data columns for every active or non-canceled-history Rx on the PO, joined to secondary data, patient language, flag, and user-def overrides.</w:t>
      </w:r>
    </w:p>
    <w:p>
      <w:pPr>
        <w:pStyle w:val="BodyText"/>
      </w:pPr>
      <w:r>
        <w:rPr>
          <w:b/>
        </w:rPr>
        <w:t xml:space="preserve">Tables touched: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OeOrderPoNumAssoc</w:t>
      </w:r>
      <w:r>
        <w:t xml:space="preserve"> </w:t>
      </w:r>
      <w:r>
        <w:t xml:space="preserve">(the PO-to-OrderId map).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</w:t>
      </w:r>
      <w:r>
        <w:t xml:space="preserve"> </w:t>
      </w:r>
      <w:r>
        <w:t xml:space="preserve">(active Rxs).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OeOrderHistory</w:t>
      </w:r>
      <w:r>
        <w:t xml:space="preserve"> </w:t>
      </w:r>
      <w:r>
        <w:t xml:space="preserve">(history Rxs, non-canceled, non-Split/MV).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OeOrderSecondaryData</w:t>
      </w:r>
      <w:r>
        <w:t xml:space="preserve"> </w:t>
      </w:r>
      <w:r>
        <w:t xml:space="preserve">(joined for CustomerPrice).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OeOrderCurrHistoryDtTm</w:t>
      </w:r>
      <w:r>
        <w:t xml:space="preserve"> </w:t>
      </w:r>
      <w:r>
        <w:t xml:space="preserve">(joined to confirm the current HistoryDtTm).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OePatientCustSecondaryData</w:t>
      </w:r>
      <w:r>
        <w:t xml:space="preserve"> </w:t>
      </w:r>
      <w:r>
        <w:t xml:space="preserve">(joined for LanguageCode).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OeOrderExtUserDef</w:t>
      </w:r>
      <w:r>
        <w:t xml:space="preserve"> </w:t>
      </w:r>
      <w:r>
        <w:t xml:space="preserve">(left-joined for the UserDef24/31/32 columns).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OeFlaggedRxs</w:t>
      </w:r>
      <w:r>
        <w:t xml:space="preserve"> </w:t>
      </w:r>
      <w:r>
        <w:t xml:space="preserve">(left-joined for the IsDiffDrugFromLastFill flag).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OeGroupUserDef</w:t>
      </w:r>
      <w:r>
        <w:t xml:space="preserve"> </w:t>
      </w:r>
      <w:r>
        <w:t xml:space="preserve">(left-joined for the UserDef01-06 columns at the group level).</w:t>
      </w:r>
    </w:p>
    <w:p>
      <w:pPr>
        <w:pStyle w:val="FirstParagraph"/>
      </w:pPr>
      <w:r>
        <w:rPr>
          <w:b/>
        </w:rPr>
        <w:t xml:space="preserve">Indexes used (predicted from the v23 body):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used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OeOrderPoNumAssoc</w:t>
            </w:r>
          </w:p>
        </w:tc>
        <w:tc>
          <w:p>
            <w:pPr>
              <w:pStyle w:val="Compact"/>
              <w:jc w:val="left"/>
            </w:pPr>
            <w:r>
              <w:t xml:space="preserve">NC on</w:t>
            </w:r>
            <w:r>
              <w:t xml:space="preserve"> </w:t>
            </w:r>
            <w:r>
              <w:rPr>
                <w:rStyle w:val="VerbatimChar"/>
              </w:rPr>
              <w:t xml:space="preserve">PoNum, OrderId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initial OrderId scan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PK_OeOrder</w:t>
            </w:r>
            <w:r>
              <w:t xml:space="preserve"> </w:t>
            </w:r>
            <w:r>
              <w:t xml:space="preserve">(clustered)</w:t>
            </w:r>
          </w:p>
        </w:tc>
        <w:tc>
          <w:p>
            <w:pPr>
              <w:pStyle w:val="Compact"/>
              <w:jc w:val="left"/>
            </w:pPr>
            <w:r>
              <w:t xml:space="preserve">active Rx join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OeOrderHistory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PK_OeOrderHistory</w:t>
            </w:r>
            <w:r>
              <w:t xml:space="preserve"> </w:t>
            </w:r>
            <w:r>
              <w:t xml:space="preserve">(clustered)</w:t>
            </w:r>
          </w:p>
        </w:tc>
        <w:tc>
          <w:p>
            <w:pPr>
              <w:pStyle w:val="Compact"/>
              <w:jc w:val="left"/>
            </w:pPr>
            <w:r>
              <w:t xml:space="preserve">history Rx join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OeOrderSecondaryData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OrderId, HistoryDtTm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secondary-data join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OeOrderCurrHistoryDtTm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current HistoryDtTm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OePatientCustSecondaryData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PatCustId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language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OeOrderExtUserDef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OrderId, HistoryDtTm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left-join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OeFlaggedRxs</w:t>
            </w:r>
          </w:p>
        </w:tc>
        <w:tc>
          <w:p>
            <w:pPr>
              <w:pStyle w:val="Compact"/>
              <w:jc w:val="left"/>
            </w:pPr>
            <w:r>
              <w:t xml:space="preserve">NC on</w:t>
            </w:r>
            <w:r>
              <w:t xml:space="preserve"> </w:t>
            </w:r>
            <w:r>
              <w:rPr>
                <w:rStyle w:val="VerbatimChar"/>
              </w:rPr>
              <w:t xml:space="preserve">OrderId, HistoryDtTm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IsFlaggedFor</w:t>
            </w:r>
            <w:r>
              <w:t xml:space="preserve"> </w:t>
            </w:r>
            <w:r>
              <w:t xml:space="preserve">included (assumed)</w:t>
            </w:r>
          </w:p>
        </w:tc>
        <w:tc>
          <w:p>
            <w:pPr>
              <w:pStyle w:val="Compact"/>
              <w:jc w:val="left"/>
            </w:pPr>
            <w:r>
              <w:t xml:space="preserve">left-join with flag filter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OeGroupUserDef</w:t>
            </w:r>
          </w:p>
        </w:tc>
        <w:tc>
          <w:p>
            <w:pPr>
              <w:pStyle w:val="Compact"/>
              <w:jc w:val="left"/>
            </w:pPr>
            <w:r>
              <w:t xml:space="preserve">clustered on</w:t>
            </w:r>
            <w:r>
              <w:t xml:space="preserve"> </w:t>
            </w:r>
            <w:r>
              <w:rPr>
                <w:rStyle w:val="VerbatimChar"/>
              </w:rPr>
              <w:t xml:space="preserve">GroupNum</w:t>
            </w:r>
            <w:r>
              <w:t xml:space="preserve"> </w:t>
            </w:r>
            <w:r>
              <w:t xml:space="preserve">(assumed)</w:t>
            </w:r>
          </w:p>
        </w:tc>
        <w:tc>
          <w:p>
            <w:pPr>
              <w:pStyle w:val="Compact"/>
              <w:jc w:val="left"/>
            </w:pPr>
            <w:r>
              <w:t xml:space="preserve">left-join</w:t>
            </w:r>
          </w:p>
        </w:tc>
      </w:tr>
    </w:tbl>
    <w:p>
      <w:pPr>
        <w:pStyle w:val="BodyText"/>
      </w:pPr>
      <w:r>
        <w:rPr>
          <w:b/>
        </w:rPr>
        <w:t xml:space="preserve">Callers:</w:t>
      </w:r>
      <w:r>
        <w:t xml:space="preserve"> </w:t>
      </w:r>
      <w:r>
        <w:t xml:space="preserve">the label-data generator (mentioned in the v22 parameter comment:</w:t>
      </w:r>
      <w:r>
        <w:t xml:space="preserve"> </w:t>
      </w:r>
      <w:r>
        <w:t xml:space="preserve">“</w:t>
      </w:r>
      <w:r>
        <w:t xml:space="preserve">passed in from OrdrGetLabelData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-of-performance"/>
      <w:r>
        <w:t xml:space="preserve">2. Overview of Performance</w:t>
      </w:r>
      <w:bookmarkEnd w:id="22"/>
    </w:p>
    <w:p>
      <w:pPr>
        <w:pStyle w:val="FirstParagraph"/>
      </w:pPr>
      <w:r>
        <w:t xml:space="preserve">The procedure is on the optimization list because the cross-list capture reports it on two of four expense lists (Duration #24, Plan #21) with a 1,720x worst-case-to-average ratio and</w:t>
      </w:r>
      <w:r>
        <w:t xml:space="preserve"> </w:t>
      </w:r>
      <w:r>
        <w:t xml:space="preserve">“</w:t>
      </w:r>
      <w:r>
        <w:t xml:space="preserve">algorithmic / plan rewrite candidate</w:t>
      </w:r>
      <w:r>
        <w:t xml:space="preserve">”</w:t>
      </w:r>
      <w:r>
        <w:t xml:space="preserve"> </w:t>
      </w:r>
      <w:r>
        <w:t xml:space="preserve">as the dominant heuristic. The 1,720x ratio is consistent with parameter sniffing on the PoNum filter: some PO numbers map to a single Rx, others map to a multi-Rx order or a complex multi-vial parent set, and a single cached plan cannot serve both selectivities well.</w:t>
      </w:r>
    </w:p>
    <w:p>
      <w:pPr>
        <w:pStyle w:val="BodyText"/>
      </w:pPr>
      <w:r>
        <w:t xml:space="preserve">The dominant cost drivers in v22 are four.</w:t>
      </w:r>
    </w:p>
    <w:p>
      <w:pPr>
        <w:pStyle w:val="BodyText"/>
      </w:pPr>
      <w:r>
        <w:t xml:space="preserve">The first is parameter sniffing on</w:t>
      </w:r>
      <w:r>
        <w:t xml:space="preserve"> </w:t>
      </w:r>
      <w:r>
        <w:rPr>
          <w:rStyle w:val="VerbatimChar"/>
        </w:rPr>
        <w:t xml:space="preserve">@PoNum</w:t>
      </w:r>
      <w:r>
        <w:t xml:space="preserve">. The selectivity of the PoNum filter varies materially across calls. v23 addresses this via the local-variable form plus</w:t>
      </w:r>
      <w:r>
        <w:t xml:space="preserve"> </w:t>
      </w:r>
      <w:r>
        <w:rPr>
          <w:rStyle w:val="VerbatimChar"/>
        </w:rPr>
        <w:t xml:space="preserve">Option (Recompile)</w:t>
      </w:r>
      <w:r>
        <w:t xml:space="preserve"> </w:t>
      </w:r>
      <w:r>
        <w:t xml:space="preserve">on the three parameter-sensitive INSERTs.</w:t>
      </w:r>
    </w:p>
    <w:p>
      <w:pPr>
        <w:pStyle w:val="BodyText"/>
      </w:pPr>
      <w:r>
        <w:t xml:space="preserve">The second is the constructed parent-OrderId derivation in the final SELECT’s secondary-data join. The original v22 expresses the parent-OrderId logic as an Or-clause inside the join condition:</w:t>
      </w:r>
      <w:r>
        <w:t xml:space="preserve"> </w:t>
      </w:r>
      <w:r>
        <w:rPr>
          <w:rStyle w:val="VerbatimChar"/>
        </w:rPr>
        <w:t xml:space="preserve">((O.OrderId Like '%-[0-9][0-9]' And O2.OrderId = Left(O.OrderId, Len(O.OrderId) - 3)) Or (O.OrderId Not Like '%-[0-9][0-9]' And O2.OrderId = O.OrderId))</w:t>
      </w:r>
      <w:r>
        <w:t xml:space="preserve">. The Or-with-function-on-column shape defeats clean index seeks on</w:t>
      </w:r>
      <w:r>
        <w:t xml:space="preserve"> </w:t>
      </w:r>
      <w:r>
        <w:rPr>
          <w:rStyle w:val="VerbatimChar"/>
        </w:rPr>
        <w:t xml:space="preserve">OeOrderSecondaryData.OrderId</w:t>
      </w:r>
      <w:r>
        <w:t xml:space="preserve">. v23 computes the parent-OrderId once per row into a</w:t>
      </w:r>
      <w:r>
        <w:t xml:space="preserve"> </w:t>
      </w:r>
      <w:r>
        <w:rPr>
          <w:rStyle w:val="VerbatimChar"/>
        </w:rPr>
        <w:t xml:space="preserve">ParentOrderId</w:t>
      </w:r>
      <w:r>
        <w:t xml:space="preserve"> </w:t>
      </w:r>
      <w:r>
        <w:t xml:space="preserve">column on</w:t>
      </w:r>
      <w:r>
        <w:t xml:space="preserve"> </w:t>
      </w:r>
      <w:r>
        <w:rPr>
          <w:rStyle w:val="VerbatimChar"/>
        </w:rPr>
        <w:t xml:space="preserve">#tmpOrders</w:t>
      </w:r>
      <w:r>
        <w:t xml:space="preserve">, and the secondary-data join becomes a clean equality.</w:t>
      </w:r>
    </w:p>
    <w:p>
      <w:pPr>
        <w:pStyle w:val="BodyText"/>
      </w:pPr>
      <w:r>
        <w:t xml:space="preserve">The third is the</w:t>
      </w:r>
      <w:r>
        <w:t xml:space="preserve"> </w:t>
      </w:r>
      <w:r>
        <w:rPr>
          <w:rStyle w:val="VerbatimChar"/>
        </w:rPr>
        <w:t xml:space="preserve">OrderId In (Select OrderId From #tmpPoOrdrId)</w:t>
      </w:r>
      <w:r>
        <w:t xml:space="preserve"> </w:t>
      </w:r>
      <w:r>
        <w:t xml:space="preserve">subquery, used three times. The temp table is small (typically a handful of OrderIds per PO) but the IN subquery defeats clean join behavior. v23 replaces these with direct inner joins to</w:t>
      </w:r>
      <w:r>
        <w:t xml:space="preserve"> </w:t>
      </w:r>
      <w:r>
        <w:rPr>
          <w:rStyle w:val="VerbatimChar"/>
        </w:rPr>
        <w:t xml:space="preserve">#tmpPoOrdrId</w:t>
      </w:r>
      <w:r>
        <w:t xml:space="preserve">, which now carries an index on OrderId.</w:t>
      </w:r>
    </w:p>
    <w:p>
      <w:pPr>
        <w:pStyle w:val="BodyText"/>
      </w:pPr>
      <w:r>
        <w:t xml:space="preserve">The fourth is the mixed convention on temp-table cleanup. v22 uses three legacy</w:t>
      </w:r>
      <w:r>
        <w:t xml:space="preserve"> </w:t>
      </w:r>
      <w:r>
        <w:rPr>
          <w:rStyle w:val="VerbatimChar"/>
        </w:rPr>
        <w:t xml:space="preserve">If Object_Id ... Drop Table</w:t>
      </w:r>
      <w:r>
        <w:t xml:space="preserve"> </w:t>
      </w:r>
      <w:r>
        <w:t xml:space="preserve">blocks at entry and three modern</w:t>
      </w:r>
      <w:r>
        <w:t xml:space="preserve"> </w:t>
      </w:r>
      <w:r>
        <w:rPr>
          <w:rStyle w:val="VerbatimChar"/>
        </w:rPr>
        <w:t xml:space="preserve">Drop Table If Exists</w:t>
      </w:r>
      <w:r>
        <w:t xml:space="preserve"> </w:t>
      </w:r>
      <w:r>
        <w:t xml:space="preserve">at exit. v23 consolidates both.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vidence-of-original-v22"/>
      <w:r>
        <w:t xml:space="preserve">3. Evidence of Original (v22)</w:t>
      </w:r>
      <w:bookmarkEnd w:id="23"/>
    </w:p>
    <w:p>
      <w:pPr>
        <w:pStyle w:val="Heading3"/>
      </w:pPr>
      <w:bookmarkStart w:id="24" w:name="query-store-cross-mfc-view"/>
      <w:r>
        <w:t xml:space="preserve">3.1 Query Store, cross-MFC view</w:t>
      </w:r>
      <w:bookmarkEnd w:id="24"/>
    </w:p>
    <w:tbl>
      <w:tblPr>
        <w:tblStyle w:val="Table"/>
        <w:tblW w:type="pct" w:w="5000.0"/>
        <w:tblLook w:firstRow="1"/>
      </w:tblPr>
      <w:tblGrid>
        <w:gridCol w:w="377"/>
        <w:gridCol w:w="1131"/>
        <w:gridCol w:w="1357"/>
        <w:gridCol w:w="980"/>
        <w:gridCol w:w="1206"/>
        <w:gridCol w:w="1508"/>
        <w:gridCol w:w="135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MFC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 variants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Executions (30d)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reads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reads/exec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Avg dur range (ms)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Max-vs-avg ratio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(paste from capture)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</w:tbl>
    <w:p>
      <w:pPr>
        <w:pStyle w:val="Heading3"/>
      </w:pPr>
      <w:bookmarkStart w:id="25" w:name="X3c627d4ea6ddf8a1b5f6371b629218c4763e873"/>
      <w:r>
        <w:t xml:space="preserve">3.2 STATISTICS IO and STATISTICS TIME from a representative MFC run (v22)</w:t>
      </w:r>
      <w:bookmarkEnd w:id="25"/>
    </w:p>
    <w:p>
      <w:pPr>
        <w:pStyle w:val="SourceCode"/>
      </w:pPr>
      <w:r>
        <w:rPr>
          <w:rStyle w:val="VerbatimChar"/>
        </w:rPr>
        <w:t xml:space="preserve">(paste STATS IO / STATS TIME for v22 against the same data state used for v23 here)</w:t>
      </w:r>
    </w:p>
    <w:p>
      <w:pPr>
        <w:pStyle w:val="FirstParagraph"/>
      </w:pPr>
      <w:r>
        <w:t xml:space="preserve">Two captures at different</w:t>
      </w:r>
      <w:r>
        <w:t xml:space="preserve"> </w:t>
      </w:r>
      <w:r>
        <w:rPr>
          <w:rStyle w:val="VerbatimChar"/>
        </w:rPr>
        <w:t xml:space="preserve">@PoNum</w:t>
      </w:r>
      <w:r>
        <w:t xml:space="preserve"> </w:t>
      </w:r>
      <w:r>
        <w:t xml:space="preserve">selectivities are needed to expose the plan-volatility behavior.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ssue-identification"/>
      <w:r>
        <w:t xml:space="preserve">4. Issue Identification</w:t>
      </w:r>
      <w:bookmarkEnd w:id="26"/>
    </w:p>
    <w:p>
      <w:pPr>
        <w:pStyle w:val="FirstParagraph"/>
      </w:pPr>
      <w:r>
        <w:rPr>
          <w:b/>
        </w:rPr>
        <w:t xml:space="preserve">Issue 1: Parameter sniffing on</w:t>
      </w:r>
      <w:r>
        <w:rPr>
          <w:b/>
        </w:rPr>
        <w:t xml:space="preserve"> </w:t>
      </w:r>
      <w:r>
        <w:rPr>
          <w:rStyle w:val="VerbatimChar"/>
          <w:b/>
        </w:rPr>
        <w:t xml:space="preserve">@PoNum</w:t>
      </w:r>
      <w:r>
        <w:rPr>
          <w:b/>
        </w:rPr>
        <w:t xml:space="preserve">.</w:t>
      </w:r>
      <w:r>
        <w:t xml:space="preserve"> </w:t>
      </w:r>
      <w:r>
        <w:t xml:space="preserve">1,720x worst-case-to-average ratio.</w:t>
      </w:r>
    </w:p>
    <w:p>
      <w:pPr>
        <w:pStyle w:val="BodyText"/>
      </w:pPr>
      <w:r>
        <w:rPr>
          <w:b/>
        </w:rPr>
        <w:t xml:space="preserve">Issue 2: Constructed parent-OrderId in the final SELECT’s secondary-data join (lines 108-114 in v22).</w:t>
      </w:r>
      <w:r>
        <w:t xml:space="preserve"> </w:t>
      </w:r>
      <w:r>
        <w:t xml:space="preserve">Or-clause shape defeats clean seek. Compute the derivation once per row into</w:t>
      </w:r>
      <w:r>
        <w:t xml:space="preserve"> </w:t>
      </w:r>
      <w:r>
        <w:rPr>
          <w:rStyle w:val="VerbatimChar"/>
        </w:rPr>
        <w:t xml:space="preserve">#tmpOrders.ParentOrderId</w:t>
      </w:r>
      <w:r>
        <w:t xml:space="preserve">.</w:t>
      </w:r>
    </w:p>
    <w:p>
      <w:pPr>
        <w:pStyle w:val="BodyText"/>
      </w:pPr>
      <w:r>
        <w:rPr>
          <w:b/>
        </w:rPr>
        <w:t xml:space="preserve">Issue 3: Repeated</w:t>
      </w:r>
      <w:r>
        <w:rPr>
          <w:b/>
        </w:rPr>
        <w:t xml:space="preserve"> </w:t>
      </w:r>
      <w:r>
        <w:rPr>
          <w:rStyle w:val="VerbatimChar"/>
          <w:b/>
        </w:rPr>
        <w:t xml:space="preserve">OrderId In (Select OrderId From #tmpPoOrdrId)</w:t>
      </w:r>
      <w:r>
        <w:rPr>
          <w:b/>
        </w:rPr>
        <w:t xml:space="preserve"> </w:t>
      </w:r>
      <w:r>
        <w:rPr>
          <w:b/>
        </w:rPr>
        <w:t xml:space="preserve">subqueries.</w:t>
      </w:r>
      <w:r>
        <w:t xml:space="preserve"> </w:t>
      </w:r>
      <w:r>
        <w:t xml:space="preserve">Replace with direct joins.</w:t>
      </w:r>
    </w:p>
    <w:p>
      <w:pPr>
        <w:pStyle w:val="BodyText"/>
      </w:pPr>
      <w:r>
        <w:rPr>
          <w:b/>
        </w:rPr>
        <w:t xml:space="preserve">Issue 4: Mixed-convention temp-table cleanup.</w:t>
      </w:r>
      <w:r>
        <w:t xml:space="preserve"> </w:t>
      </w:r>
      <w:r>
        <w:t xml:space="preserve">Consolidate.</w:t>
      </w:r>
    </w:p>
    <w:p>
      <w:pPr>
        <w:pStyle w:val="BodyText"/>
      </w:pPr>
      <w:r>
        <w:rPr>
          <w:b/>
        </w:rPr>
        <w:t xml:space="preserve">Issue 5: No indexes on the three temp tables.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irst-principles"/>
      <w:r>
        <w:t xml:space="preserve">5. First Principles</w:t>
      </w:r>
      <w:bookmarkEnd w:id="27"/>
    </w:p>
    <w:p>
      <w:pPr>
        <w:pStyle w:val="FirstParagraph"/>
      </w:pPr>
      <w:r>
        <w:rPr>
          <w:b/>
        </w:rPr>
        <w:t xml:space="preserve">[[Parameter Sniffing]] with the local-variable form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Option (Recompile)</w:t>
      </w:r>
      <w:r>
        <w:t xml:space="preserve"> </w:t>
      </w:r>
      <w:r>
        <w:t xml:space="preserve">on the parameter-sensitive INSERTs.</w:t>
      </w:r>
    </w:p>
    <w:p>
      <w:pPr>
        <w:pStyle w:val="BodyText"/>
      </w:pPr>
      <w:r>
        <w:rPr>
          <w:b/>
        </w:rPr>
        <w:t xml:space="preserve">Constructed-key once per row.</w:t>
      </w:r>
      <w:r>
        <w:t xml:space="preserve"> </w:t>
      </w:r>
      <w:r>
        <w:t xml:space="preserve">The parent-OrderId derivation (the same pattern as the constructed-sibling-OrderId in Row 22 and the constructed-ParentOrderId in Row 23) is non-SARGable against the source-table index. The fix is to compute the derivation once per row into a typed column on the temp table and join on the typed column. This is the same pattern documented in [[Correlated Subqueries to CTEs]] and recommended for promotion to a new</w:t>
      </w:r>
      <w:r>
        <w:t xml:space="preserve"> </w:t>
      </w:r>
      <w:r>
        <w:t xml:space="preserve">“</w:t>
      </w:r>
      <w:r>
        <w:t xml:space="preserve">Constructed-Key Self-Joins</w:t>
      </w:r>
      <w:r>
        <w:t xml:space="preserve">”</w:t>
      </w:r>
      <w:r>
        <w:t xml:space="preserve"> </w:t>
      </w:r>
      <w:r>
        <w:t xml:space="preserve">masterclass entry in the Row 22 and Row 23 analyses.</w:t>
      </w:r>
    </w:p>
    <w:p>
      <w:pPr>
        <w:pStyle w:val="BodyText"/>
      </w:pPr>
      <w:r>
        <w:rPr>
          <w:b/>
        </w:rPr>
        <w:t xml:space="preserve">Direct joins beat IN-subqueries on small candidate sets.</w:t>
      </w:r>
      <w:r>
        <w:t xml:space="preserve"> </w:t>
      </w:r>
      <w:r>
        <w:t xml:space="preserve">The three</w:t>
      </w:r>
      <w:r>
        <w:t xml:space="preserve"> </w:t>
      </w:r>
      <w:r>
        <w:rPr>
          <w:rStyle w:val="VerbatimChar"/>
        </w:rPr>
        <w:t xml:space="preserve">OrderId In (Select OrderId From #tmpPoOrdrId)</w:t>
      </w:r>
      <w:r>
        <w:t xml:space="preserve"> </w:t>
      </w:r>
      <w:r>
        <w:t xml:space="preserve">subqueries are functionally equivalent to inner joins on the indexed temp table; the join form gives the optimizer more flexibility and produces cleaner plans.</w:t>
      </w:r>
    </w:p>
    <w:p>
      <w:pPr>
        <w:pStyle w:val="BodyText"/>
      </w:pPr>
      <w:r>
        <w:rPr>
          <w:b/>
        </w:rPr>
        <w:t xml:space="preserve">[[Index Key Columns vs Included Columns]] applied to temp tables.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refactor-commented"/>
      <w:r>
        <w:t xml:space="preserve">6. Refactor (commented)</w:t>
      </w:r>
      <w:bookmarkEnd w:id="28"/>
    </w:p>
    <w:p>
      <w:pPr>
        <w:pStyle w:val="FirstParagraph"/>
      </w:pPr>
      <w:r>
        <w:t xml:space="preserve">The v23 body is reproduced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Salient blocks below.</w:t>
      </w:r>
    </w:p>
    <w:p>
      <w:pPr>
        <w:pStyle w:val="BodyText"/>
      </w:pPr>
      <w:r>
        <w:rPr>
          <w:b/>
        </w:rPr>
        <w:t xml:space="preserve">Local variable and consolidated cleanup.</w:t>
      </w:r>
    </w:p>
    <w:p>
      <w:pPr>
        <w:pStyle w:val="SourceCode"/>
      </w:pPr>
      <w:r>
        <w:rPr>
          <w:rStyle w:val="KeywordTok"/>
        </w:rPr>
        <w:t xml:space="preserve">Declare</w:t>
      </w:r>
      <w:r>
        <w:rPr>
          <w:rStyle w:val="NormalTok"/>
        </w:rPr>
        <w:t xml:space="preserve"> @LocalPoNum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@PoNum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#tmpPoOrdrId, #tmpOrdSecondaryData, #tmpOrders</w:t>
      </w:r>
    </w:p>
    <w:p>
      <w:pPr>
        <w:pStyle w:val="FirstParagraph"/>
      </w:pPr>
      <w:r>
        <w:rPr>
          <w:b/>
        </w:rPr>
        <w:t xml:space="preserve">Indexed temp table for the PO-to-OrderId map.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OrderId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#tmpPoOrdrId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OeOrderPoNumAssoc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PoNum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@LocalPoNum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(Recompile);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IX_PoOrdrId_OrderId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#tmpPoOrdrId(OrderId)</w:t>
      </w:r>
    </w:p>
    <w:p>
      <w:pPr>
        <w:pStyle w:val="FirstParagraph"/>
      </w:pPr>
      <w:r>
        <w:rPr>
          <w:b/>
        </w:rPr>
        <w:t xml:space="preserve">Parent-OrderId derivation in #tmpOrders.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  O.OrderId, O.RxNum, O.Medication, O.HistoryDtTm, O.PatCustId, O.GroupNum</w:t>
      </w:r>
      <w:r>
        <w:br/>
      </w:r>
      <w:r>
        <w:rPr>
          <w:rStyle w:val="NormalTok"/>
        </w:rPr>
        <w:t xml:space="preserve">    , [ParentOrderId]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O.OrderId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'%-[0-9][0-9]'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(O.OrderId, Len(O.OrderId)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O.OrderId</w:t>
      </w:r>
      <w:r>
        <w:br/>
      </w:r>
      <w:r>
        <w:rPr>
          <w:rStyle w:val="NormalTok"/>
        </w:rPr>
        <w:t xml:space="preserve">                   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#tmpOrders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OeOrder O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#tmpPoOrdrId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O.OrderId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O.OrderStatus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'Split/%'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(Recompile);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#tmpOrders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., [ParentOrderId]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OeOrderHistory O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#tmpPoOrdrId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O.OrderId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O.OrderStatus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O.OrderStatus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'Split/%'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(Recompile);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IX_TmpOrders_Lookup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#tmpOrders(OrderId, HistoryDtTm)</w:t>
      </w:r>
      <w:r>
        <w:br/>
      </w:r>
      <w:r>
        <w:rPr>
          <w:rStyle w:val="NormalTok"/>
        </w:rPr>
        <w:t xml:space="preserve">   Include (RxNum, Medication, PatCustId, GroupNum, ParentOrderId)</w:t>
      </w:r>
    </w:p>
    <w:p>
      <w:pPr>
        <w:pStyle w:val="FirstParagraph"/>
      </w:pPr>
      <w:r>
        <w:rPr>
          <w:b/>
        </w:rPr>
        <w:t xml:space="preserve">Final SELECT with a clean parent-OrderId equality.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br/>
      </w:r>
      <w:r>
        <w:rPr>
          <w:rStyle w:val="NormalTok"/>
        </w:rPr>
        <w:t xml:space="preserve">      O.RxNum, O.Medication, O2.CustomerPrice,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#tmpOrders O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OeOrderCurrHistoryDtTm CHDT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CHDT.OrderId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O.OrderId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CHDT.HistoryDtTm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O.HistoryDtTm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#tmpOrdSecondaryData O2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O2.OrderId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O.ParentOrderId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O2.HistoryDtTm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O.HistoryDtTm</w:t>
      </w:r>
      <w:r>
        <w:br/>
      </w:r>
      <w:r>
        <w:rPr>
          <w:rStyle w:val="KeywordTok"/>
        </w:rPr>
        <w:t xml:space="preserve">Inner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OePatientCustSecondaryData P2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P2.PatCustId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O.PatCustId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OeOrderExtUserDef E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OeFlaggedRxs F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F.IsFlaggedFor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'Diff Drug From Last Fill'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OeGroupUserDef G2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(NoLock)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G2.GroupNum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O.GroupNum</w:t>
      </w:r>
      <w:r>
        <w:br/>
      </w:r>
      <w:r>
        <w:rPr>
          <w:rStyle w:val="KeywordTok"/>
        </w:rPr>
        <w:t xml:space="preserve">Option</w:t>
      </w:r>
      <w:r>
        <w:rPr>
          <w:rStyle w:val="NormalTok"/>
        </w:rPr>
        <w:t xml:space="preserve"> (Recompile);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O2.OrderId = O.ParentOrderId</w:t>
      </w:r>
      <w:r>
        <w:t xml:space="preserve"> </w:t>
      </w:r>
      <w:r>
        <w:t xml:space="preserve">equality replaces the Or-clause join condition.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isk-rollback"/>
      <w:r>
        <w:t xml:space="preserve">7. Risk &amp; Rollback</w:t>
      </w:r>
      <w:bookmarkEnd w:id="29"/>
    </w:p>
    <w:p>
      <w:pPr>
        <w:pStyle w:val="FirstParagraph"/>
      </w:pPr>
      <w:r>
        <w:rPr>
          <w:b/>
        </w:rPr>
        <w:t xml:space="preserve">What could go wrong.</w:t>
      </w:r>
      <w:r>
        <w:t xml:space="preserve"> </w:t>
      </w:r>
      <w:r>
        <w:t xml:space="preserve">The parent-OrderId derivation in v23 is logically equivalent to the v22 Or-clause: a multi-vial portion Rx has OrderId of the form</w:t>
      </w:r>
      <w:r>
        <w:t xml:space="preserve"> </w:t>
      </w:r>
      <w:r>
        <w:rPr>
          <w:rStyle w:val="VerbatimChar"/>
        </w:rPr>
        <w:t xml:space="preserve">parent-NN</w:t>
      </w:r>
      <w:r>
        <w:t xml:space="preserve">, and the parent OrderId is the first</w:t>
      </w:r>
      <w:r>
        <w:t xml:space="preserve"> </w:t>
      </w:r>
      <w:r>
        <w:rPr>
          <w:rStyle w:val="VerbatimChar"/>
        </w:rPr>
        <w:t xml:space="preserve">Len - 3</w:t>
      </w:r>
      <w:r>
        <w:t xml:space="preserve"> </w:t>
      </w:r>
      <w:r>
        <w:t xml:space="preserve">characters; a single-vial Rx has OrderId without that suffix and uses the OrderId directly. The Case expression in v23 produces the same value the v22 Or-clause expected on each side of the disjunction.</w:t>
      </w:r>
    </w:p>
    <w:p>
      <w:pPr>
        <w:pStyle w:val="BodyText"/>
      </w:pPr>
      <w:r>
        <w:t xml:space="preserve">The Recompile hint on the three INSERTs takes a per-call compile cost. The PoNum filter selectivity is what drives the plan volatility; Recompile pays the compile cost once per call and produces a plan matched to the actual candidate-set size.</w:t>
      </w:r>
    </w:p>
    <w:p>
      <w:pPr>
        <w:pStyle w:val="BodyText"/>
      </w:pPr>
      <w:r>
        <w:t xml:space="preserve">The Distinct in the final SELECT is preserved as a safety net for duplicate rows arising from the Left Joins. v23 does not attempt to remove the Distinct because the duplicate-row risk depends on the OeGroupUserDef cardinality per GroupNum, which is application-side state.</w:t>
      </w:r>
    </w:p>
    <w:p>
      <w:pPr>
        <w:pStyle w:val="BodyText"/>
      </w:pPr>
      <w:r>
        <w:rPr>
          <w:b/>
        </w:rPr>
        <w:t xml:space="preserve">What to look for in the first 24 hours.</w:t>
      </w:r>
      <w:r>
        <w:t xml:space="preserve"> </w:t>
      </w:r>
      <w:r>
        <w:t xml:space="preserve">Plan variant count per site (expected: drop from many to one), max-vs-avg ratio per site (expected to fall substantially from 1,720x), Distinct row count parity with v22, OeOrderSecondaryData read shape (expected: indexed seek on ParentOrderId rather than a scan-or-fallback driven by the Or-clause join condition).</w:t>
      </w:r>
    </w:p>
    <w:p>
      <w:pPr>
        <w:pStyle w:val="BodyText"/>
      </w:pPr>
      <w:r>
        <w:rPr>
          <w:b/>
        </w:rPr>
        <w:t xml:space="preserve">Rollback path.</w:t>
      </w:r>
      <w:r>
        <w:t xml:space="preserve"> </w:t>
      </w:r>
      <w:r>
        <w:t xml:space="preserve">The v22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 Redeploying v22 reverts cleanly.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evidence-of-refactor-v23"/>
      <w:r>
        <w:t xml:space="preserve">8. Evidence of Refactor (v23)</w:t>
      </w:r>
      <w:bookmarkEnd w:id="30"/>
    </w:p>
    <w:p>
      <w:pPr>
        <w:pStyle w:val="SourceCode"/>
      </w:pPr>
      <w:r>
        <w:rPr>
          <w:rStyle w:val="VerbatimChar"/>
        </w:rPr>
        <w:t xml:space="preserve">(paste STATS IO / STATS TIME for v23 against the same data state used for v22 here)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comparison-improvement"/>
      <w:r>
        <w:t xml:space="preserve">9. Comparison &amp; Improvement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v22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v23 (paste)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Logical reads (total, median run)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Logical reads on</w:t>
            </w:r>
            <w:r>
              <w:t xml:space="preserve"> </w:t>
            </w:r>
            <w:r>
              <w:rPr>
                <w:rStyle w:val="VerbatimChar"/>
              </w:rPr>
              <w:t xml:space="preserve">OeOrderSecondaryData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substantially lower)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CPU time (ms)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Elapsed time (ms)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Plan variant count across two captures</w:t>
            </w:r>
          </w:p>
        </w:tc>
        <w:tc>
          <w:p>
            <w:pPr>
              <w:pStyle w:val="Compact"/>
              <w:jc w:val="left"/>
            </w:pPr>
            <w:r>
              <w:t xml:space="preserve">(expected: 2+)</w:t>
            </w:r>
          </w:p>
        </w:tc>
        <w:tc>
          <w:p>
            <w:pPr>
              <w:pStyle w:val="Compact"/>
              <w:jc w:val="left"/>
            </w:pPr>
            <w:r>
              <w:t xml:space="preserve">(expected: 1)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Max-vs-avg ratio (cross-MFC, 30d)</w:t>
            </w:r>
          </w:p>
        </w:tc>
        <w:tc>
          <w:p>
            <w:pPr>
              <w:pStyle w:val="Compact"/>
              <w:jc w:val="left"/>
            </w:pPr>
            <w:r>
              <w:t xml:space="preserve">1,720x</w:t>
            </w:r>
          </w:p>
        </w:tc>
        <w:tc>
          <w:p>
            <w:pPr>
              <w:pStyle w:val="Compact"/>
              <w:jc w:val="left"/>
            </w:pPr>
            <w:r>
              <w:t xml:space="preserve">(expected: &lt;50x)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Result row count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(expected: identical)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Verdict (to be entered once the captures land):</w:t>
      </w:r>
      <w:r>
        <w:t xml:space="preserve"> </w:t>
      </w:r>
      <w:r>
        <w:t xml:space="preserve">the headline expected delta is the plan-stability improvement plus the clean-equality parent-OrderId join into</w:t>
      </w:r>
      <w:r>
        <w:t xml:space="preserve"> </w:t>
      </w:r>
      <w:r>
        <w:rPr>
          <w:rStyle w:val="VerbatimChar"/>
        </w:rPr>
        <w:t xml:space="preserve">OeOrderSecondaryData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validation-checklist"/>
      <w:r>
        <w:t xml:space="preserve">10. Validation Checklist</w:t>
      </w:r>
      <w:bookmarkEnd w:id="32"/>
    </w:p>
    <w:p>
      <w:pPr>
        <w:numPr>
          <w:ilvl w:val="0"/>
          <w:numId w:val="1002"/>
        </w:numPr>
        <w:pStyle w:val="Compact"/>
      </w:pPr>
      <w:r>
        <w:t xml:space="preserve">Same data state. (?)</w:t>
      </w:r>
    </w:p>
    <w:p>
      <w:pPr>
        <w:numPr>
          <w:ilvl w:val="0"/>
          <w:numId w:val="1002"/>
        </w:numPr>
        <w:pStyle w:val="Compact"/>
      </w:pPr>
      <w:r>
        <w:t xml:space="preserve">Warm cache only. (?)</w:t>
      </w:r>
    </w:p>
    <w:p>
      <w:pPr>
        <w:numPr>
          <w:ilvl w:val="0"/>
          <w:numId w:val="1002"/>
        </w:numPr>
        <w:pStyle w:val="Compact"/>
      </w:pPr>
      <w:r>
        <w:t xml:space="preserve">Non-zero result set. (?)</w:t>
      </w:r>
    </w:p>
    <w:p>
      <w:pPr>
        <w:numPr>
          <w:ilvl w:val="0"/>
          <w:numId w:val="1002"/>
        </w:numPr>
        <w:pStyle w:val="Compact"/>
      </w:pPr>
      <w:r>
        <w:t xml:space="preserve">Identical result set: same RxNum/Medication/CustomerPrice/flag tuples returned. (?)</w:t>
      </w:r>
    </w:p>
    <w:p>
      <w:pPr>
        <w:numPr>
          <w:ilvl w:val="0"/>
          <w:numId w:val="1002"/>
        </w:numPr>
        <w:pStyle w:val="Compact"/>
      </w:pPr>
      <w:r>
        <w:t xml:space="preserve">Plan shape matches prediction. (?)</w:t>
      </w:r>
    </w:p>
    <w:p>
      <w:pPr>
        <w:numPr>
          <w:ilvl w:val="0"/>
          <w:numId w:val="1002"/>
        </w:numPr>
        <w:pStyle w:val="Compact"/>
      </w:pPr>
      <w:r>
        <w:t xml:space="preserve">No new error or warning messages. (?)</w:t>
      </w:r>
    </w:p>
    <w:p>
      <w:pPr>
        <w:numPr>
          <w:ilvl w:val="0"/>
          <w:numId w:val="1002"/>
        </w:numPr>
        <w:pStyle w:val="Compact"/>
      </w:pPr>
      <w:r>
        <w:t xml:space="preserve">Warm-cache elapsed time at or below original. (?)</w:t>
      </w:r>
    </w:p>
    <w:p>
      <w:pPr>
        <w:pStyle w:val="FirstParagraph"/>
      </w:pPr>
      <w:r>
        <w:t xml:space="preserve">Net call: the refactor is sound on first principles.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open-items-future-improvements"/>
      <w:r>
        <w:t xml:space="preserve">11. Open Items / Future Improvements</w:t>
      </w:r>
      <w:bookmarkEnd w:id="33"/>
    </w:p>
    <w:p>
      <w:pPr>
        <w:pStyle w:val="Heading3"/>
      </w:pPr>
      <w:bookmarkStart w:id="34" w:name="X1de48a9bd4c9ffec32656fa0aa0031815d08435"/>
      <w:r>
        <w:t xml:space="preserve">11.1 Cross-reference to Row 22 and Row 23 on the constructed-key pattern</w:t>
      </w:r>
      <w:bookmarkEnd w:id="34"/>
    </w:p>
    <w:p>
      <w:pPr>
        <w:pStyle w:val="FirstParagraph"/>
      </w:pPr>
      <w:r>
        <w:t xml:space="preserve">The constructed parent-OrderId derivation here is the third occurrence of the</w:t>
      </w:r>
      <w:r>
        <w:t xml:space="preserve"> </w:t>
      </w:r>
      <w:r>
        <w:t xml:space="preserve">“</w:t>
      </w:r>
      <w:r>
        <w:t xml:space="preserve">constructed-key self-join</w:t>
      </w:r>
      <w:r>
        <w:t xml:space="preserve">”</w:t>
      </w:r>
      <w:r>
        <w:t xml:space="preserve"> </w:t>
      </w:r>
      <w:r>
        <w:t xml:space="preserve">pattern in the deep-dive cohort (after Row 22 sibling-OrderId and Row 23 parent-OrderId). The pattern is recurrent enough to warrant its own masterclass entry. The recommendation in Row 22’s Section 11 and Row 23’s Section 11 is unchanged: write the</w:t>
      </w:r>
      <w:r>
        <w:t xml:space="preserve"> </w:t>
      </w:r>
      <w:r>
        <w:t xml:space="preserve">“</w:t>
      </w:r>
      <w:r>
        <w:t xml:space="preserve">Constructed-Key Self-Joins</w:t>
      </w:r>
      <w:r>
        <w:t xml:space="preserve">”</w:t>
      </w:r>
      <w:r>
        <w:t xml:space="preserve"> </w:t>
      </w:r>
      <w:r>
        <w:t xml:space="preserve">entry the next time the pattern surfaces in a deep-dive.</w:t>
      </w:r>
    </w:p>
    <w:p>
      <w:pPr>
        <w:pStyle w:val="Heading3"/>
      </w:pPr>
      <w:bookmarkStart w:id="35" w:name="X30f1585d480c329467bdffa5b00b2a93ff23e4a"/>
      <w:r>
        <w:t xml:space="preserve">11.2 Index recommendation on</w:t>
      </w:r>
      <w:r>
        <w:t xml:space="preserve"> </w:t>
      </w:r>
      <w:r>
        <w:rPr>
          <w:rStyle w:val="VerbatimChar"/>
        </w:rPr>
        <w:t xml:space="preserve">OeOrderPoNumAssoc(PoNum)</w:t>
      </w:r>
      <w:bookmarkEnd w:id="35"/>
    </w:p>
    <w:p>
      <w:pPr>
        <w:pStyle w:val="FirstParagraph"/>
      </w:pPr>
      <w:r>
        <w:t xml:space="preserve">If the table is keyed on</w:t>
      </w:r>
      <w:r>
        <w:t xml:space="preserve"> </w:t>
      </w:r>
      <w:r>
        <w:rPr>
          <w:rStyle w:val="VerbatimChar"/>
        </w:rPr>
        <w:t xml:space="preserve">(OrderId, PoNum)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(PoNum, OrderId)</w:t>
      </w:r>
      <w:r>
        <w:t xml:space="preserve">, the initial scan has to read the table and filter rather than seek. A nonclustered index on</w:t>
      </w:r>
      <w:r>
        <w:t xml:space="preserve"> </w:t>
      </w:r>
      <w:r>
        <w:rPr>
          <w:rStyle w:val="VerbatimChar"/>
        </w:rPr>
        <w:t xml:space="preserve">(PoNum)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 </w:t>
      </w:r>
      <w:r>
        <w:t xml:space="preserve">included would let the scan seek directly. Confirm against Tolleson.</w:t>
      </w:r>
    </w:p>
    <w:p>
      <w:pPr>
        <w:pStyle w:val="Heading3"/>
      </w:pPr>
      <w:bookmarkStart w:id="36" w:name="Xdc7e2724c5c2f9de5572083fa40a163c3f7a92a"/>
      <w:r>
        <w:t xml:space="preserve">11.3 Investigate the Distinct in the final SELECT</w:t>
      </w:r>
      <w:bookmarkEnd w:id="36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Select Distinct</w:t>
      </w:r>
      <w:r>
        <w:t xml:space="preserve"> </w:t>
      </w:r>
      <w:r>
        <w:t xml:space="preserve">is a defensive accommodation. If the OeGroupUserDef table has multiple rows per GroupNum (multiple user-def overrides per group), the Distinct collapses them. Confirm whether OeGroupUserDef is unique per GroupNum; if so, the Distinct can be dropped, and the optimizer can avoid the sort.</w:t>
      </w:r>
    </w:p>
    <w:p>
      <w:pPr>
        <w:pStyle w:val="Heading3"/>
      </w:pPr>
      <w:bookmarkStart w:id="37" w:name="per-mfc-post-deployment-monitoring"/>
      <w:r>
        <w:t xml:space="preserve">11.4 Per-MFC post-deployment monitoring</w:t>
      </w:r>
      <w:bookmarkEnd w:id="37"/>
    </w:p>
    <w:p>
      <w:pPr>
        <w:pStyle w:val="FirstParagraph"/>
      </w:pPr>
      <w:r>
        <w:t xml:space="preserve">Two-week capture per site, three-bucket outcome distribution. Two captures at different</w:t>
      </w:r>
      <w:r>
        <w:t xml:space="preserve"> </w:t>
      </w:r>
      <w:r>
        <w:rPr>
          <w:rStyle w:val="VerbatimChar"/>
        </w:rPr>
        <w:t xml:space="preserve">@PoNum</w:t>
      </w:r>
      <w:r>
        <w:t xml:space="preserve"> </w:t>
      </w:r>
      <w:r>
        <w:t xml:space="preserve">selectivities are required to confirm plan stability.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2026-05-15T13:29:08Z</dcterms:created>
  <dcterms:modified xsi:type="dcterms:W3CDTF">2026-05-15T13:29:08Z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