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65cf4a99cd5dcad1177c5b01f4909275c5533fa"/>
      <w:r>
        <w:t xml:space="preserve">lsp_RbtDetermineNextVialToProcess: Refactor Analysis (v10 to v11)</w:t>
      </w:r>
      <w:bookmarkEnd w:id="20"/>
    </w:p>
    <w:p>
      <w:pPr>
        <w:pStyle w:val="FirstParagraph"/>
      </w:pPr>
      <w:r>
        <w:rPr>
          <w:b/>
        </w:rPr>
        <w:t xml:space="preserve">Date:</w:t>
      </w:r>
      <w:r>
        <w:t xml:space="preserve"> </w:t>
      </w:r>
      <w:r>
        <w:t xml:space="preserve">2026-05-07</w:t>
      </w:r>
      <w:r>
        <w:t xml:space="preserve"> </w:t>
      </w:r>
      <w:r>
        <w:rPr>
          <w:b/>
        </w:rPr>
        <w:t xml:space="preserve">Tracking sheet row:</w:t>
      </w:r>
      <w:r>
        <w:t xml:space="preserve"> </w:t>
      </w:r>
      <w:r>
        <w:t xml:space="preserve">21 (Priority P3, status Not Started)</w:t>
      </w:r>
    </w:p>
    <w:p>
      <w:r>
        <w:pict>
          <v:rect style="width:0;height:1.5pt" o:hralign="center" o:hrstd="t" o:hr="t"/>
        </w:pict>
      </w:r>
    </w:p>
    <w:p>
      <w:pPr>
        <w:pStyle w:val="Heading2"/>
      </w:pPr>
      <w:bookmarkStart w:id="21" w:name="procedure-name-surface-area"/>
      <w:r>
        <w:t xml:space="preserve">1. Procedure Name &amp; Surface Area</w:t>
      </w:r>
      <w:bookmarkEnd w:id="21"/>
    </w:p>
    <w:p>
      <w:pPr>
        <w:pStyle w:val="FirstParagraph"/>
      </w:pPr>
      <w:r>
        <w:rPr>
          <w:b/>
        </w:rPr>
        <w:t xml:space="preserve">Procedure:</w:t>
      </w:r>
      <w:r>
        <w:t xml:space="preserve"> </w:t>
      </w:r>
      <w:r>
        <w:rPr>
          <w:rStyle w:val="VerbatimChar"/>
        </w:rPr>
        <w:t xml:space="preserve">dbo.lsp_RbtDetermineNextVialToProcess</w:t>
      </w:r>
    </w:p>
    <w:p>
      <w:pPr>
        <w:pStyle w:val="BodyText"/>
      </w:pPr>
      <w:r>
        <w:rPr>
          <w:b/>
        </w:rPr>
        <w:t xml:space="preserve">Purpose in one line:</w:t>
      </w:r>
      <w:r>
        <w:t xml:space="preserve"> </w:t>
      </w:r>
      <w:r>
        <w:t xml:space="preserve">Decides which type of vial the robot should fill next (dispenser reset, count-dry non-Rx, or standard Rx) for a given bank, then returns a header recordset describing the decision plus a detail recordset of the work items to act on.</w:t>
      </w:r>
    </w:p>
    <w:p>
      <w:pPr>
        <w:pStyle w:val="BodyText"/>
      </w:pPr>
      <w:r>
        <w:rPr>
          <w:b/>
        </w:rPr>
        <w:t xml:space="preserve">Tables touched:</w:t>
      </w:r>
    </w:p>
    <w:p>
      <w:pPr>
        <w:numPr>
          <w:ilvl w:val="0"/>
          <w:numId w:val="1001"/>
        </w:numPr>
        <w:pStyle w:val="Compact"/>
      </w:pPr>
      <w:r>
        <w:rPr>
          <w:rStyle w:val="VerbatimChar"/>
        </w:rPr>
        <w:t xml:space="preserve">OeOrder</w:t>
      </w:r>
      <w:r>
        <w:t xml:space="preserve"> </w:t>
      </w:r>
      <w:r>
        <w:t xml:space="preserve">(the workhorse Rx table; read once at the top to count counted Auto-Fill Rxs in the bank).</w:t>
      </w:r>
    </w:p>
    <w:p>
      <w:pPr>
        <w:numPr>
          <w:ilvl w:val="0"/>
          <w:numId w:val="1001"/>
        </w:numPr>
        <w:pStyle w:val="Compact"/>
      </w:pPr>
      <w:r>
        <w:rPr>
          <w:rStyle w:val="VerbatimChar"/>
        </w:rPr>
        <w:t xml:space="preserve">TcdStatus</w:t>
      </w:r>
      <w:r>
        <w:t xml:space="preserve"> </w:t>
      </w:r>
      <w:r>
        <w:t xml:space="preserve">(per-dispenser status; read in the non-Rx count, the dispenser-reset count, the priority-1 detail return, and the priority-2 detail return).</w:t>
      </w:r>
    </w:p>
    <w:p>
      <w:pPr>
        <w:numPr>
          <w:ilvl w:val="0"/>
          <w:numId w:val="1001"/>
        </w:numPr>
        <w:pStyle w:val="Compact"/>
      </w:pPr>
      <w:r>
        <w:rPr>
          <w:rStyle w:val="VerbatimChar"/>
        </w:rPr>
        <w:t xml:space="preserve">RvoNonRxProductVial</w:t>
      </w:r>
      <w:r>
        <w:t xml:space="preserve"> </w:t>
      </w:r>
      <w:r>
        <w:t xml:space="preserve">(non-Rx product vial state; joined to</w:t>
      </w:r>
      <w:r>
        <w:t xml:space="preserve"> </w:t>
      </w:r>
      <w:r>
        <w:rPr>
          <w:rStyle w:val="VerbatimChar"/>
        </w:rPr>
        <w:t xml:space="preserve">TcdStatus</w:t>
      </w:r>
      <w:r>
        <w:t xml:space="preserve"> </w:t>
      </w:r>
      <w:r>
        <w:t xml:space="preserve">for the count-dry path in counts and detail).</w:t>
      </w:r>
    </w:p>
    <w:p>
      <w:pPr>
        <w:numPr>
          <w:ilvl w:val="0"/>
          <w:numId w:val="1001"/>
        </w:numPr>
        <w:pStyle w:val="Compact"/>
      </w:pPr>
      <w:r>
        <w:rPr>
          <w:rStyle w:val="VerbatimChar"/>
        </w:rPr>
        <w:t xml:space="preserve">RbtQueuedForResetTcds</w:t>
      </w:r>
      <w:r>
        <w:t xml:space="preserve"> </w:t>
      </w:r>
      <w:r>
        <w:t xml:space="preserve">(queue of dispensers awaiting reset; joined to</w:t>
      </w:r>
      <w:r>
        <w:t xml:space="preserve"> </w:t>
      </w:r>
      <w:r>
        <w:rPr>
          <w:rStyle w:val="VerbatimChar"/>
        </w:rPr>
        <w:t xml:space="preserve">TcdStatus</w:t>
      </w:r>
      <w:r>
        <w:t xml:space="preserve"> </w:t>
      </w:r>
      <w:r>
        <w:t xml:space="preserve">in the dispenser-reset count and detail).</w:t>
      </w:r>
    </w:p>
    <w:p>
      <w:pPr>
        <w:numPr>
          <w:ilvl w:val="0"/>
          <w:numId w:val="1001"/>
        </w:numPr>
        <w:pStyle w:val="Compact"/>
      </w:pPr>
      <w:r>
        <w:rPr>
          <w:rStyle w:val="VerbatimChar"/>
        </w:rPr>
        <w:t xml:space="preserve">RbtVialSupply</w:t>
      </w:r>
      <w:r>
        <w:t xml:space="preserve"> </w:t>
      </w:r>
      <w:r>
        <w:t xml:space="preserve">(vial supply inventory in the bank; read twice in v10 for the largest-vial-availability check).</w:t>
      </w:r>
    </w:p>
    <w:p>
      <w:pPr>
        <w:numPr>
          <w:ilvl w:val="0"/>
          <w:numId w:val="1001"/>
        </w:numPr>
        <w:pStyle w:val="Compact"/>
      </w:pPr>
      <w:r>
        <w:rPr>
          <w:rStyle w:val="VerbatimChar"/>
        </w:rPr>
        <w:t xml:space="preserve">TcdSecondaryData</w:t>
      </w:r>
      <w:r>
        <w:t xml:space="preserve"> </w:t>
      </w:r>
      <w:r>
        <w:t xml:space="preserve">(joined to</w:t>
      </w:r>
      <w:r>
        <w:t xml:space="preserve"> </w:t>
      </w:r>
      <w:r>
        <w:rPr>
          <w:rStyle w:val="VerbatimChar"/>
        </w:rPr>
        <w:t xml:space="preserve">TcdStatus</w:t>
      </w:r>
      <w:r>
        <w:t xml:space="preserve"> </w:t>
      </w:r>
      <w:r>
        <w:t xml:space="preserve">in the priority-1 detail return for</w:t>
      </w:r>
      <w:r>
        <w:t xml:space="preserve"> </w:t>
      </w:r>
      <w:r>
        <w:rPr>
          <w:rStyle w:val="VerbatimChar"/>
        </w:rPr>
        <w:t xml:space="preserve">CostPerPill</w:t>
      </w:r>
      <w:r>
        <w:t xml:space="preserve">).</w:t>
      </w:r>
    </w:p>
    <w:p>
      <w:pPr>
        <w:numPr>
          <w:ilvl w:val="0"/>
          <w:numId w:val="1001"/>
        </w:numPr>
        <w:pStyle w:val="Compact"/>
      </w:pPr>
      <w:r>
        <w:rPr>
          <w:rStyle w:val="VerbatimChar"/>
        </w:rPr>
        <w:t xml:space="preserve">vInvMasterWithUserOverrides</w:t>
      </w:r>
      <w:r>
        <w:t xml:space="preserve"> </w:t>
      </w:r>
      <w:r>
        <w:t xml:space="preserve">(inventory master view with user overrides; joined in priority-1 and priority-2 detail returns for</w:t>
      </w:r>
      <w:r>
        <w:t xml:space="preserve"> </w:t>
      </w:r>
      <w:r>
        <w:rPr>
          <w:rStyle w:val="VerbatimChar"/>
        </w:rPr>
        <w:t xml:space="preserve">FirstNdc</w:t>
      </w:r>
      <w:r>
        <w:t xml:space="preserve">,</w:t>
      </w:r>
      <w:r>
        <w:t xml:space="preserve"> </w:t>
      </w:r>
      <w:r>
        <w:rPr>
          <w:rStyle w:val="VerbatimChar"/>
        </w:rPr>
        <w:t xml:space="preserve">QtyPer100Cc</w:t>
      </w:r>
      <w:r>
        <w:t xml:space="preserve">, and similar columns).</w:t>
      </w:r>
    </w:p>
    <w:p>
      <w:pPr>
        <w:numPr>
          <w:ilvl w:val="0"/>
          <w:numId w:val="1001"/>
        </w:numPr>
        <w:pStyle w:val="Compact"/>
      </w:pPr>
      <w:r>
        <w:rPr>
          <w:rStyle w:val="VerbatimChar"/>
        </w:rPr>
        <w:t xml:space="preserve">#temp_table2</w:t>
      </w:r>
      <w:r>
        <w:t xml:space="preserve"> </w:t>
      </w:r>
      <w:r>
        <w:t xml:space="preserve">(heap temp table populated by</w:t>
      </w:r>
      <w:r>
        <w:t xml:space="preserve"> </w:t>
      </w:r>
      <w:r>
        <w:rPr>
          <w:rStyle w:val="VerbatimChar"/>
        </w:rPr>
        <w:t xml:space="preserve">lsp_OrdGetReadyForDispenseRxsInBank</w:t>
      </w:r>
      <w:r>
        <w:t xml:space="preserve"> </w:t>
      </w:r>
      <w:r>
        <w:t xml:space="preserve">in the priority-3 path).</w:t>
      </w:r>
    </w:p>
    <w:p>
      <w:pPr>
        <w:pStyle w:val="FirstParagraph"/>
      </w:pPr>
      <w:r>
        <w:rPr>
          <w:b/>
        </w:rPr>
        <w:t xml:space="preserve">Called procedure:</w:t>
      </w:r>
      <w:r>
        <w:t xml:space="preserve"> </w:t>
      </w:r>
      <w:r>
        <w:rPr>
          <w:rStyle w:val="VerbatimChar"/>
        </w:rPr>
        <w:t xml:space="preserve">lsp_OrdGetReadyForDispenseRxsInBank @AddrBank, 0</w:t>
      </w:r>
      <w:r>
        <w:t xml:space="preserve">. The output of this proc is materialized into</w:t>
      </w:r>
      <w:r>
        <w:t xml:space="preserve"> </w:t>
      </w:r>
      <w:r>
        <w:rPr>
          <w:rStyle w:val="VerbatimChar"/>
        </w:rPr>
        <w:t xml:space="preserve">#temp_table2</w:t>
      </w:r>
      <w:r>
        <w:t xml:space="preserve"> </w:t>
      </w:r>
      <w:r>
        <w:t xml:space="preserve">and then streamed to the caller in the priority-3 path. Per the cross-MFC Query Store, the</w:t>
      </w:r>
      <w:r>
        <w:t xml:space="preserve"> </w:t>
      </w:r>
      <w:r>
        <w:rPr>
          <w:rStyle w:val="VerbatimChar"/>
        </w:rPr>
        <w:t xml:space="preserve">INSERT INTO #temp_table2 EXEC lsp_OrdGetReadyForDispenseRxsInBank</w:t>
      </w:r>
      <w:r>
        <w:t xml:space="preserve"> </w:t>
      </w:r>
      <w:r>
        <w:t xml:space="preserve">line is the only statement from this proc that appears in the top 50 anywhere in the fleet (see Section 2).</w:t>
      </w:r>
    </w:p>
    <w:p>
      <w:pPr>
        <w:pStyle w:val="BodyText"/>
      </w:pPr>
      <w:r>
        <w:rPr>
          <w:b/>
        </w:rPr>
        <w:t xml:space="preserve">Indexes used (predicted from the v10 body, to be confirmed against the v11 plan once captured):</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Table</w:t>
            </w:r>
          </w:p>
        </w:tc>
        <w:tc>
          <w:tcPr>
            <w:tcBorders>
              <w:bottom w:val="single"/>
            </w:tcBorders>
            <w:vAlign w:val="bottom"/>
          </w:tcPr>
          <w:p>
            <w:pPr>
              <w:pStyle w:val="Compact"/>
              <w:jc w:val="left"/>
            </w:pPr>
            <w:r>
              <w:t xml:space="preserve">Index</w:t>
            </w:r>
          </w:p>
        </w:tc>
        <w:tc>
          <w:tcPr>
            <w:tcBorders>
              <w:bottom w:val="single"/>
            </w:tcBorders>
            <w:vAlign w:val="bottom"/>
          </w:tcPr>
          <w:p>
            <w:pPr>
              <w:pStyle w:val="Compact"/>
              <w:jc w:val="left"/>
            </w:pPr>
            <w:r>
              <w:t xml:space="preserve">Where used</w:t>
            </w:r>
          </w:p>
        </w:tc>
      </w:tr>
      <w:tr>
        <w:tc>
          <w:p>
            <w:pPr>
              <w:pStyle w:val="Compact"/>
              <w:jc w:val="left"/>
            </w:pPr>
            <w:r>
              <w:rPr>
                <w:rStyle w:val="VerbatimChar"/>
              </w:rPr>
              <w:t xml:space="preserve">OeOrder</w:t>
            </w:r>
          </w:p>
        </w:tc>
        <w:tc>
          <w:p>
            <w:pPr>
              <w:pStyle w:val="Compact"/>
              <w:jc w:val="left"/>
            </w:pPr>
            <w:r>
              <w:rPr>
                <w:rStyle w:val="VerbatimChar"/>
              </w:rPr>
              <w:t xml:space="preserve">ByOrderStatusFillTypeAddrBank</w:t>
            </w:r>
            <w:r>
              <w:t xml:space="preserve"> </w:t>
            </w:r>
            <w:r>
              <w:t xml:space="preserve">(NC, key</w:t>
            </w:r>
            <w:r>
              <w:t xml:space="preserve"> </w:t>
            </w:r>
            <w:r>
              <w:rPr>
                <w:rStyle w:val="VerbatimChar"/>
              </w:rPr>
              <w:t xml:space="preserve">OrderStatus, FillType, AddrBank</w:t>
            </w:r>
            <w:r>
              <w:t xml:space="preserve">)</w:t>
            </w:r>
          </w:p>
        </w:tc>
        <w:tc>
          <w:p>
            <w:pPr>
              <w:pStyle w:val="Compact"/>
              <w:jc w:val="left"/>
            </w:pPr>
            <w:r>
              <w:t xml:space="preserve">counted-Rx count predicate</w:t>
            </w:r>
          </w:p>
        </w:tc>
      </w:tr>
      <w:tr>
        <w:tc>
          <w:p>
            <w:pPr>
              <w:pStyle w:val="Compact"/>
              <w:jc w:val="left"/>
            </w:pPr>
            <w:r>
              <w:rPr>
                <w:rStyle w:val="VerbatimChar"/>
              </w:rPr>
              <w:t xml:space="preserve">OeOrder</w:t>
            </w:r>
          </w:p>
        </w:tc>
        <w:tc>
          <w:p>
            <w:pPr>
              <w:pStyle w:val="Compact"/>
              <w:jc w:val="left"/>
            </w:pPr>
            <w:r>
              <w:rPr>
                <w:rStyle w:val="VerbatimChar"/>
              </w:rPr>
              <w:t xml:space="preserve">ByOrderStatus</w:t>
            </w:r>
            <w:r>
              <w:t xml:space="preserve"> </w:t>
            </w:r>
            <w:r>
              <w:t xml:space="preserve">(NC, key</w:t>
            </w:r>
            <w:r>
              <w:t xml:space="preserve"> </w:t>
            </w:r>
            <w:r>
              <w:rPr>
                <w:rStyle w:val="VerbatimChar"/>
              </w:rPr>
              <w:t xml:space="preserve">OrderStatus</w:t>
            </w:r>
            <w:r>
              <w:t xml:space="preserve">)</w:t>
            </w:r>
          </w:p>
        </w:tc>
        <w:tc>
          <w:p>
            <w:pPr>
              <w:pStyle w:val="Compact"/>
              <w:jc w:val="left"/>
            </w:pPr>
            <w:r>
              <w:t xml:space="preserve">counted-Rx count fallback</w:t>
            </w:r>
          </w:p>
        </w:tc>
      </w:tr>
      <w:tr>
        <w:tc>
          <w:p>
            <w:pPr>
              <w:pStyle w:val="Compact"/>
              <w:jc w:val="left"/>
            </w:pPr>
            <w:r>
              <w:rPr>
                <w:rStyle w:val="VerbatimChar"/>
              </w:rPr>
              <w:t xml:space="preserve">TcdStatus</w:t>
            </w:r>
          </w:p>
        </w:tc>
        <w:tc>
          <w:p>
            <w:pPr>
              <w:pStyle w:val="Compact"/>
              <w:jc w:val="left"/>
            </w:pPr>
            <w:r>
              <w:t xml:space="preserve">unknown (TcdStatus is not in IndexExtract; flagged in Section 11)</w:t>
            </w:r>
          </w:p>
        </w:tc>
        <w:tc>
          <w:p>
            <w:pPr>
              <w:pStyle w:val="Compact"/>
              <w:jc w:val="left"/>
            </w:pPr>
            <w:r>
              <w:t xml:space="preserve">non-Rx count, reset count, both detail returns</w:t>
            </w:r>
          </w:p>
        </w:tc>
      </w:tr>
      <w:tr>
        <w:tc>
          <w:p>
            <w:pPr>
              <w:pStyle w:val="Compact"/>
              <w:jc w:val="left"/>
            </w:pPr>
            <w:r>
              <w:rPr>
                <w:rStyle w:val="VerbatimChar"/>
              </w:rPr>
              <w:t xml:space="preserve">RvoNonRxProductVial</w:t>
            </w:r>
          </w:p>
        </w:tc>
        <w:tc>
          <w:p>
            <w:pPr>
              <w:pStyle w:val="Compact"/>
              <w:jc w:val="left"/>
            </w:pPr>
            <w:r>
              <w:t xml:space="preserve">unknown</w:t>
            </w:r>
          </w:p>
        </w:tc>
        <w:tc>
          <w:p>
            <w:pPr>
              <w:pStyle w:val="Compact"/>
              <w:jc w:val="left"/>
            </w:pPr>
            <w:r>
              <w:t xml:space="preserve">non-Rx count and priority-2 detail return</w:t>
            </w:r>
          </w:p>
        </w:tc>
      </w:tr>
      <w:tr>
        <w:tc>
          <w:p>
            <w:pPr>
              <w:pStyle w:val="Compact"/>
              <w:jc w:val="left"/>
            </w:pPr>
            <w:r>
              <w:rPr>
                <w:rStyle w:val="VerbatimChar"/>
              </w:rPr>
              <w:t xml:space="preserve">RbtQueuedForResetTcds</w:t>
            </w:r>
          </w:p>
        </w:tc>
        <w:tc>
          <w:p>
            <w:pPr>
              <w:pStyle w:val="Compact"/>
              <w:jc w:val="left"/>
            </w:pPr>
            <w:r>
              <w:t xml:space="preserve">unknown (not in IndexExtract; flagged in Section 11)</w:t>
            </w:r>
          </w:p>
        </w:tc>
        <w:tc>
          <w:p>
            <w:pPr>
              <w:pStyle w:val="Compact"/>
              <w:jc w:val="left"/>
            </w:pPr>
            <w:r>
              <w:t xml:space="preserve">reset count and priority-1 detail return</w:t>
            </w:r>
          </w:p>
        </w:tc>
      </w:tr>
      <w:tr>
        <w:tc>
          <w:p>
            <w:pPr>
              <w:pStyle w:val="Compact"/>
              <w:jc w:val="left"/>
            </w:pPr>
            <w:r>
              <w:rPr>
                <w:rStyle w:val="VerbatimChar"/>
              </w:rPr>
              <w:t xml:space="preserve">RbtVialSupply</w:t>
            </w:r>
          </w:p>
        </w:tc>
        <w:tc>
          <w:p>
            <w:pPr>
              <w:pStyle w:val="Compact"/>
              <w:jc w:val="left"/>
            </w:pPr>
            <w:r>
              <w:t xml:space="preserve">unknown</w:t>
            </w:r>
          </w:p>
        </w:tc>
        <w:tc>
          <w:p>
            <w:pPr>
              <w:pStyle w:val="Compact"/>
              <w:jc w:val="left"/>
            </w:pPr>
            <w:r>
              <w:t xml:space="preserve">large-vial-availability check</w:t>
            </w:r>
          </w:p>
        </w:tc>
      </w:tr>
      <w:tr>
        <w:tc>
          <w:p>
            <w:pPr>
              <w:pStyle w:val="Compact"/>
              <w:jc w:val="left"/>
            </w:pPr>
            <w:r>
              <w:rPr>
                <w:rStyle w:val="VerbatimChar"/>
              </w:rPr>
              <w:t xml:space="preserve">TcdSecondaryData</w:t>
            </w:r>
          </w:p>
        </w:tc>
        <w:tc>
          <w:p>
            <w:pPr>
              <w:pStyle w:val="Compact"/>
              <w:jc w:val="left"/>
            </w:pPr>
            <w:r>
              <w:t xml:space="preserve">clustered on</w:t>
            </w:r>
            <w:r>
              <w:t xml:space="preserve"> </w:t>
            </w:r>
            <w:r>
              <w:rPr>
                <w:rStyle w:val="VerbatimChar"/>
              </w:rPr>
              <w:t xml:space="preserve">TcdSn</w:t>
            </w:r>
            <w:r>
              <w:t xml:space="preserve"> </w:t>
            </w:r>
            <w:r>
              <w:t xml:space="preserve">(assumed)</w:t>
            </w:r>
          </w:p>
        </w:tc>
        <w:tc>
          <w:p>
            <w:pPr>
              <w:pStyle w:val="Compact"/>
              <w:jc w:val="left"/>
            </w:pPr>
            <w:r>
              <w:t xml:space="preserve">priority-1 detail return</w:t>
            </w:r>
          </w:p>
        </w:tc>
      </w:tr>
      <w:tr>
        <w:tc>
          <w:p>
            <w:pPr>
              <w:pStyle w:val="Compact"/>
              <w:jc w:val="left"/>
            </w:pPr>
            <w:r>
              <w:rPr>
                <w:rStyle w:val="VerbatimChar"/>
              </w:rPr>
              <w:t xml:space="preserve">vInvMasterWithUserOverrides</w:t>
            </w:r>
          </w:p>
        </w:tc>
        <w:tc>
          <w:p>
            <w:pPr>
              <w:pStyle w:val="Compact"/>
              <w:jc w:val="left"/>
            </w:pPr>
            <w:r>
              <w:t xml:space="preserve">base-table indexes on</w:t>
            </w:r>
            <w:r>
              <w:t xml:space="preserve"> </w:t>
            </w:r>
            <w:r>
              <w:rPr>
                <w:rStyle w:val="VerbatimChar"/>
              </w:rPr>
              <w:t xml:space="preserve">ProductId</w:t>
            </w:r>
            <w:r>
              <w:t xml:space="preserve"> </w:t>
            </w:r>
            <w:r>
              <w:t xml:space="preserve">(view)</w:t>
            </w:r>
          </w:p>
        </w:tc>
        <w:tc>
          <w:p>
            <w:pPr>
              <w:pStyle w:val="Compact"/>
              <w:jc w:val="left"/>
            </w:pPr>
            <w:r>
              <w:t xml:space="preserve">priority-1 and priority-2 detail returns</w:t>
            </w:r>
          </w:p>
        </w:tc>
      </w:tr>
    </w:tbl>
    <w:p>
      <w:pPr>
        <w:pStyle w:val="BodyText"/>
      </w:pPr>
      <w:r>
        <w:rPr>
          <w:b/>
        </w:rPr>
        <w:t xml:space="preserve">Index DDL gap.</w:t>
      </w:r>
      <w:r>
        <w:t xml:space="preserve"> </w:t>
      </w:r>
      <w:r>
        <w:t xml:space="preserve">The shared</w:t>
      </w:r>
      <w:r>
        <w:t xml:space="preserve"> </w:t>
      </w:r>
      <w:r>
        <w:rPr>
          <w:rStyle w:val="VerbatimChar"/>
        </w:rPr>
        <w:t xml:space="preserve">IndexExtract.xlsx</w:t>
      </w:r>
      <w:r>
        <w:t xml:space="preserve"> </w:t>
      </w:r>
      <w:r>
        <w:t xml:space="preserve">from the Row 15 pilot covers the</w:t>
      </w:r>
      <w:r>
        <w:t xml:space="preserve"> </w:t>
      </w:r>
      <w:r>
        <w:rPr>
          <w:rStyle w:val="VerbatimChar"/>
        </w:rPr>
        <w:t xml:space="preserve">OeOrder</w:t>
      </w:r>
      <w:r>
        <w:t xml:space="preserve"> </w:t>
      </w:r>
      <w:r>
        <w:t xml:space="preserve">family.</w:t>
      </w:r>
      <w:r>
        <w:t xml:space="preserve"> </w:t>
      </w:r>
      <w:r>
        <w:rPr>
          <w:rStyle w:val="VerbatimChar"/>
        </w:rPr>
        <w:t xml:space="preserve">TcdStatus</w:t>
      </w:r>
      <w:r>
        <w:t xml:space="preserve">,</w:t>
      </w:r>
      <w:r>
        <w:t xml:space="preserve"> </w:t>
      </w:r>
      <w:r>
        <w:rPr>
          <w:rStyle w:val="VerbatimChar"/>
        </w:rPr>
        <w:t xml:space="preserve">RbtQueuedForResetTcds</w:t>
      </w:r>
      <w:r>
        <w:t xml:space="preserve">,</w:t>
      </w:r>
      <w:r>
        <w:t xml:space="preserve"> </w:t>
      </w:r>
      <w:r>
        <w:rPr>
          <w:rStyle w:val="VerbatimChar"/>
        </w:rPr>
        <w:t xml:space="preserve">RbtVialSupply</w:t>
      </w:r>
      <w:r>
        <w:t xml:space="preserve">,</w:t>
      </w:r>
      <w:r>
        <w:t xml:space="preserve"> </w:t>
      </w:r>
      <w:r>
        <w:rPr>
          <w:rStyle w:val="VerbatimChar"/>
        </w:rPr>
        <w:t xml:space="preserve">RvoNonRxProductVial</w:t>
      </w:r>
      <w:r>
        <w:t xml:space="preserve">, and</w:t>
      </w:r>
      <w:r>
        <w:t xml:space="preserve"> </w:t>
      </w:r>
      <w:r>
        <w:rPr>
          <w:rStyle w:val="VerbatimChar"/>
        </w:rPr>
        <w:t xml:space="preserve">TcdSecondaryData</w:t>
      </w:r>
      <w:r>
        <w:t xml:space="preserve"> </w:t>
      </w:r>
      <w:r>
        <w:t xml:space="preserve">are not in that extract. Run</w:t>
      </w:r>
      <w:r>
        <w:t xml:space="preserve"> </w:t>
      </w:r>
      <w:r>
        <w:rPr>
          <w:rStyle w:val="VerbatimChar"/>
        </w:rPr>
        <w:t xml:space="preserve">extract_index_ddl.sql</w:t>
      </w:r>
      <w:r>
        <w:t xml:space="preserve"> </w:t>
      </w:r>
      <w:r>
        <w:t xml:space="preserve">against Tolleson with the table list set to those five before deploying v11. Section 11.1 stages the extraction request as the first open item.</w:t>
      </w:r>
    </w:p>
    <w:p>
      <w:pPr>
        <w:pStyle w:val="BodyText"/>
      </w:pPr>
      <w:r>
        <w:rPr>
          <w:b/>
        </w:rPr>
        <w:t xml:space="preserve">Callers:</w:t>
      </w:r>
      <w:r>
        <w:t xml:space="preserve"> </w:t>
      </w:r>
      <w:r>
        <w:t xml:space="preserve">Robot dispense controller. The proc is the decision step in the per-vial loop, called once per</w:t>
      </w:r>
      <w:r>
        <w:t xml:space="preserve"> </w:t>
      </w:r>
      <w:r>
        <w:t xml:space="preserve">“</w:t>
      </w:r>
      <w:r>
        <w:t xml:space="preserve">what should I fill next</w:t>
      </w:r>
      <w:r>
        <w:t xml:space="preserve">”</w:t>
      </w:r>
      <w:r>
        <w:t xml:space="preserve"> </w:t>
      </w:r>
      <w:r>
        <w:t xml:space="preserve">question. Across the 14 reporting MFCs, this lands at roughly 43.4M executions per month (see Section 3.1).</w:t>
      </w:r>
    </w:p>
    <w:p>
      <w:r>
        <w:pict>
          <v:rect style="width:0;height:1.5pt" o:hralign="center" o:hrstd="t" o:hr="t"/>
        </w:pict>
      </w:r>
    </w:p>
    <w:p>
      <w:pPr>
        <w:pStyle w:val="Heading2"/>
      </w:pPr>
      <w:bookmarkStart w:id="22" w:name="overview-of-performance"/>
      <w:r>
        <w:t xml:space="preserve">2. Overview of Performance</w:t>
      </w:r>
      <w:bookmarkEnd w:id="22"/>
    </w:p>
    <w:p>
      <w:pPr>
        <w:pStyle w:val="FirstParagraph"/>
      </w:pPr>
      <w:r>
        <w:t xml:space="preserve">The tracking sheet flagged this proc on March single-site numbers: 189K executions, 1.4B total reads, 7.4K avg reads/exec. The current cross-MFC view from the 2026-05-07 Query Store capture shows the systemic picture:</w:t>
      </w:r>
      <w:r>
        <w:t xml:space="preserve"> </w:t>
      </w:r>
      <w:r>
        <w:rPr>
          <w:b/>
        </w:rPr>
        <w:t xml:space="preserve">roughly 705 billion logical reads per month across 43.4 million executions, present in 14 of 14 reporting sites</w:t>
      </w:r>
      <w:r>
        <w:t xml:space="preserve">. The proc is the highest-call-volume member of the deep-dive cohort so far. Per-site avg reads/exec ranges from 6,495 (Denver) to 28,220 (Bolingbrook), a 4.3x spread that is narrower than the spreads observed on Row 15 and Row 16, suggesting the dominant cost driver is similar in shape across sites. The detailed per-site breakdown is in Section 3.1.</w:t>
      </w:r>
    </w:p>
    <w:p>
      <w:pPr>
        <w:pStyle w:val="BodyText"/>
      </w:pPr>
      <w:r>
        <w:t xml:space="preserve">A surprising finding from the cross-MFC capture:</w:t>
      </w:r>
      <w:r>
        <w:t xml:space="preserve"> </w:t>
      </w:r>
      <w:r>
        <w:rPr>
          <w:b/>
        </w:rPr>
        <w:t xml:space="preserve">only one statement inside the proc appears in the top 50 at any site, and it is the same statement at every site</w:t>
      </w:r>
      <w:r>
        <w:t xml:space="preserve">:</w:t>
      </w:r>
      <w:r>
        <w:t xml:space="preserve"> </w:t>
      </w:r>
      <w:r>
        <w:rPr>
          <w:rStyle w:val="VerbatimChar"/>
        </w:rPr>
        <w:t xml:space="preserve">INSERT INTO #temp_table2 EXEC lsp_OrdGetReadyForDispenseRxsInBank @AddrBank, 0</w:t>
      </w:r>
      <w:r>
        <w:t xml:space="preserve">. The four</w:t>
      </w:r>
      <w:r>
        <w:t xml:space="preserve"> </w:t>
      </w:r>
      <w:r>
        <w:rPr>
          <w:rStyle w:val="VerbatimChar"/>
        </w:rPr>
        <w:t xml:space="preserve">Count(*)</w:t>
      </w:r>
      <w:r>
        <w:t xml:space="preserve"> </w:t>
      </w:r>
      <w:r>
        <w:t xml:space="preserve">queries called out in the tracking-sheet narrative do not appear in the top 50 at any site. They are real, they are repeated, and they are worth fixing for code-organization and plan-cache reasons, but they are not the dominant I/O contributor. The dominant cost is in the called sub-proc</w:t>
      </w:r>
      <w:r>
        <w:t xml:space="preserve"> </w:t>
      </w:r>
      <w:r>
        <w:rPr>
          <w:rStyle w:val="VerbatimChar"/>
        </w:rPr>
        <w:t xml:space="preserve">lsp_OrdGetReadyForDispenseRxsInBank</w:t>
      </w:r>
      <w:r>
        <w:t xml:space="preserve">. That proc is out of scope for this refactor, but it is where the next refactor pass should focus: see Section 11.2.</w:t>
      </w:r>
    </w:p>
    <w:p>
      <w:pPr>
        <w:pStyle w:val="BodyText"/>
      </w:pPr>
      <w:r>
        <w:t xml:space="preserve">The dominant cost driver at the proc-level statements that v11 actually changes is structural rather than scan-heavy: three separate</w:t>
      </w:r>
      <w:r>
        <w:t xml:space="preserve"> </w:t>
      </w:r>
      <w:r>
        <w:rPr>
          <w:rStyle w:val="VerbatimChar"/>
        </w:rPr>
        <w:t xml:space="preserve">Count(*)</w:t>
      </w:r>
      <w:r>
        <w:t xml:space="preserve"> </w:t>
      </w:r>
      <w:r>
        <w:t xml:space="preserve">variable assignments are followed by an</w:t>
      </w:r>
      <w:r>
        <w:t xml:space="preserve"> </w:t>
      </w:r>
      <w:r>
        <w:rPr>
          <w:rStyle w:val="VerbatimChar"/>
        </w:rPr>
        <w:t xml:space="preserve">If Exists</w:t>
      </w:r>
      <w:r>
        <w:t xml:space="preserve"> </w:t>
      </w:r>
      <w:r>
        <w:t xml:space="preserve">check whose predicate contains a correlated</w:t>
      </w:r>
      <w:r>
        <w:t xml:space="preserve"> </w:t>
      </w:r>
      <w:r>
        <w:rPr>
          <w:rStyle w:val="VerbatimChar"/>
        </w:rPr>
        <w:t xml:space="preserve">Top 1 / Order By</w:t>
      </w:r>
      <w:r>
        <w:t xml:space="preserve"> </w:t>
      </w:r>
      <w:r>
        <w:t xml:space="preserve">subquery against the same table, then a heap temp table populated by the called proc and read back with a sort. v11 collapses the three counts into one statement via [[Conditional Aggregation Consolidation]] (Flavor B, since the three sources hit different tables), replaces the two-pass vial-supply check with a single-pass conditional-aggregation form, swaps the heap temp table for one with a clustered key on the</w:t>
      </w:r>
      <w:r>
        <w:t xml:space="preserve"> </w:t>
      </w:r>
      <w:r>
        <w:rPr>
          <w:rStyle w:val="VerbatimChar"/>
        </w:rPr>
        <w:t xml:space="preserve">Order By</w:t>
      </w:r>
      <w:r>
        <w:t xml:space="preserve"> </w:t>
      </w:r>
      <w:r>
        <w:t xml:space="preserve">columns, and replaces</w:t>
      </w:r>
      <w:r>
        <w:t xml:space="preserve"> </w:t>
      </w:r>
      <w:r>
        <w:rPr>
          <w:rStyle w:val="VerbatimChar"/>
        </w:rPr>
        <w:t xml:space="preserve">Select * From #temp_table2</w:t>
      </w:r>
      <w:r>
        <w:t xml:space="preserve"> </w:t>
      </w:r>
      <w:r>
        <w:t xml:space="preserve">with an explicit column list. These are honest code-quality and small per-call wins, not a 50% read reduction. Setting expectations correctly: the read-cost win on the proc-level body is small in absolute terms because the four counts being collapsed are each cheap. The big lever for this proc’s overall cost lives inside</w:t>
      </w:r>
      <w:r>
        <w:t xml:space="preserve"> </w:t>
      </w:r>
      <w:r>
        <w:rPr>
          <w:rStyle w:val="VerbatimChar"/>
        </w:rPr>
        <w:t xml:space="preserve">lsp_OrdGetReadyForDispenseRxsInBank</w:t>
      </w:r>
      <w:r>
        <w:t xml:space="preserve"> </w:t>
      </w:r>
      <w:r>
        <w:t xml:space="preserve">and is reachable as a follow-on refactor.</w:t>
      </w:r>
    </w:p>
    <w:p>
      <w:r>
        <w:pict>
          <v:rect style="width:0;height:1.5pt" o:hralign="center" o:hrstd="t" o:hr="t"/>
        </w:pict>
      </w:r>
    </w:p>
    <w:p>
      <w:pPr>
        <w:pStyle w:val="Heading2"/>
      </w:pPr>
      <w:bookmarkStart w:id="23" w:name="evidence-of-original-v10"/>
      <w:r>
        <w:t xml:space="preserve">3. Evidence of Original (v10)</w:t>
      </w:r>
      <w:bookmarkEnd w:id="23"/>
    </w:p>
    <w:p>
      <w:pPr>
        <w:pStyle w:val="Heading3"/>
      </w:pPr>
      <w:bookmarkStart w:id="24" w:name="query-store-cross-mfc-view"/>
      <w:r>
        <w:t xml:space="preserve">3.1 Query Store, cross-MFC view</w:t>
      </w:r>
      <w:bookmarkEnd w:id="24"/>
    </w:p>
    <w:p>
      <w:pPr>
        <w:pStyle w:val="FirstParagraph"/>
      </w:pPr>
      <w:r>
        <w:rPr>
          <w:b/>
        </w:rPr>
        <w:t xml:space="preserve">Source:</w:t>
      </w:r>
      <w:r>
        <w:t xml:space="preserve"> </w:t>
      </w:r>
      <w:r>
        <w:rPr>
          <w:rStyle w:val="VerbatimChar"/>
        </w:rPr>
        <w:t xml:space="preserve">diagnostics/querystore_outputs/QueryStore_20260507.xlsx</w:t>
      </w:r>
      <w:r>
        <w:t xml:space="preserve">. Top 50 offenders per site, 30-day lookback, captured 2026-05-07. One tab per site.</w:t>
      </w:r>
    </w:p>
    <w:p>
      <w:pPr>
        <w:pStyle w:val="BodyText"/>
      </w:pPr>
      <w:r>
        <w:rPr>
          <w:b/>
        </w:rPr>
        <w:t xml:space="preserve">Aggregation method:</w:t>
      </w:r>
      <w:r>
        <w:t xml:space="preserve"> </w:t>
      </w:r>
      <w:r>
        <w:t xml:space="preserve">for each site, all rows whose</w:t>
      </w:r>
      <w:r>
        <w:t xml:space="preserve"> </w:t>
      </w:r>
      <w:r>
        <w:rPr>
          <w:rStyle w:val="VerbatimChar"/>
        </w:rPr>
        <w:t xml:space="preserve">objectname</w:t>
      </w:r>
      <w:r>
        <w:t xml:space="preserve"> </w:t>
      </w:r>
      <w:r>
        <w:t xml:space="preserve">matches</w:t>
      </w:r>
      <w:r>
        <w:t xml:space="preserve"> </w:t>
      </w:r>
      <w:r>
        <w:rPr>
          <w:rStyle w:val="VerbatimChar"/>
        </w:rPr>
        <w:t xml:space="preserve">lsp_RbtDetermineNextVialToProcess</w:t>
      </w:r>
      <w:r>
        <w:t xml:space="preserve"> </w:t>
      </w:r>
      <w:r>
        <w:t xml:space="preserve">are aggregated. Each row in the source file is the</w:t>
      </w:r>
      <w:r>
        <w:t xml:space="preserve"> </w:t>
      </w:r>
      <w:r>
        <w:rPr>
          <w:rStyle w:val="VerbatimChar"/>
        </w:rPr>
        <w:t xml:space="preserve">INSERT INTO #temp_table2 EXEC lsp_OrdGetReadyForDispenseRxsInBank</w:t>
      </w:r>
      <w:r>
        <w:t xml:space="preserve"> </w:t>
      </w:r>
      <w:r>
        <w:t xml:space="preserve">statement. Multiple distinct</w:t>
      </w:r>
      <w:r>
        <w:t xml:space="preserve"> </w:t>
      </w:r>
      <w:r>
        <w:rPr>
          <w:rStyle w:val="VerbatimChar"/>
        </w:rPr>
        <w:t xml:space="preserve">query_id</w:t>
      </w:r>
      <w:r>
        <w:t xml:space="preserve">s would indicate that more than one statement inside the proc is appearing in the top 50; in this capture, every site has exactly one row.</w:t>
      </w:r>
    </w:p>
    <w:tbl>
      <w:tblPr>
        <w:tblStyle w:val="Table"/>
        <w:tblW w:type="pct" w:w="5000.0"/>
        <w:tblLook w:firstRow="1"/>
      </w:tblPr>
      <w:tblGrid>
        <w:gridCol w:w="338"/>
        <w:gridCol w:w="1015"/>
        <w:gridCol w:w="1353"/>
        <w:gridCol w:w="1218"/>
        <w:gridCol w:w="880"/>
        <w:gridCol w:w="1083"/>
        <w:gridCol w:w="947"/>
        <w:gridCol w:w="1083"/>
      </w:tblGrid>
      <w:tr>
        <w:trPr>
          <w:cnfStyle w:firstRow="1"/>
        </w:trPr>
        <w:tc>
          <w:tcPr>
            <w:tcBorders>
              <w:bottom w:val="single"/>
            </w:tcBorders>
            <w:vAlign w:val="bottom"/>
          </w:tcPr>
          <w:p>
            <w:pPr>
              <w:pStyle w:val="Compact"/>
              <w:jc w:val="left"/>
            </w:pPr>
            <w:r>
              <w:t xml:space="preserve">MFC</w:t>
            </w:r>
          </w:p>
        </w:tc>
        <w:tc>
          <w:tcPr>
            <w:tcBorders>
              <w:bottom w:val="single"/>
            </w:tcBorders>
            <w:vAlign w:val="bottom"/>
          </w:tcPr>
          <w:p>
            <w:pPr>
              <w:pStyle w:val="Compact"/>
              <w:jc w:val="left"/>
            </w:pPr>
            <w:r>
              <w:t xml:space="preserve">Plan variants</w:t>
            </w:r>
          </w:p>
        </w:tc>
        <w:tc>
          <w:tcPr>
            <w:tcBorders>
              <w:bottom w:val="single"/>
            </w:tcBorders>
            <w:vAlign w:val="bottom"/>
          </w:tcPr>
          <w:p>
            <w:pPr>
              <w:pStyle w:val="Compact"/>
              <w:jc w:val="left"/>
            </w:pPr>
            <w:r>
              <w:t xml:space="preserve">Distinct query_ids</w:t>
            </w:r>
          </w:p>
        </w:tc>
        <w:tc>
          <w:tcPr>
            <w:tcBorders>
              <w:bottom w:val="single"/>
            </w:tcBorders>
            <w:vAlign w:val="bottom"/>
          </w:tcPr>
          <w:p>
            <w:pPr>
              <w:pStyle w:val="Compact"/>
              <w:jc w:val="left"/>
            </w:pPr>
            <w:r>
              <w:t xml:space="preserve">Executions (30d)</w:t>
            </w:r>
          </w:p>
        </w:tc>
        <w:tc>
          <w:tcPr>
            <w:tcBorders>
              <w:bottom w:val="single"/>
            </w:tcBorders>
            <w:vAlign w:val="bottom"/>
          </w:tcPr>
          <w:p>
            <w:pPr>
              <w:pStyle w:val="Compact"/>
              <w:jc w:val="left"/>
            </w:pPr>
            <w:r>
              <w:t xml:space="preserve">Total reads</w:t>
            </w:r>
          </w:p>
        </w:tc>
        <w:tc>
          <w:tcPr>
            <w:tcBorders>
              <w:bottom w:val="single"/>
            </w:tcBorders>
            <w:vAlign w:val="bottom"/>
          </w:tcPr>
          <w:p>
            <w:pPr>
              <w:pStyle w:val="Compact"/>
              <w:jc w:val="left"/>
            </w:pPr>
            <w:r>
              <w:t xml:space="preserve">Avg reads/exec</w:t>
            </w:r>
          </w:p>
        </w:tc>
        <w:tc>
          <w:tcPr>
            <w:tcBorders>
              <w:bottom w:val="single"/>
            </w:tcBorders>
            <w:vAlign w:val="bottom"/>
          </w:tcPr>
          <w:p>
            <w:pPr>
              <w:pStyle w:val="Compact"/>
              <w:jc w:val="left"/>
            </w:pPr>
            <w:r>
              <w:t xml:space="preserve">Avg dur (ms)</w:t>
            </w:r>
          </w:p>
        </w:tc>
        <w:tc>
          <w:tcPr>
            <w:tcBorders>
              <w:bottom w:val="single"/>
            </w:tcBorders>
            <w:vAlign w:val="bottom"/>
          </w:tcPr>
          <w:p>
            <w:pPr>
              <w:pStyle w:val="Compact"/>
              <w:jc w:val="left"/>
            </w:pPr>
            <w:r>
              <w:t xml:space="preserve">Total CPU (ms)</w:t>
            </w:r>
          </w:p>
        </w:tc>
      </w:tr>
      <w:tr>
        <w:tc>
          <w:p>
            <w:pPr>
              <w:pStyle w:val="Compact"/>
              <w:jc w:val="left"/>
            </w:pPr>
            <w:r>
              <w:t xml:space="preserve">Bolingbrook</w:t>
            </w:r>
          </w:p>
        </w:tc>
        <w:tc>
          <w:p>
            <w:pPr>
              <w:pStyle w:val="Compact"/>
              <w:jc w:val="left"/>
            </w:pPr>
            <w:r>
              <w:t xml:space="preserve">1</w:t>
            </w:r>
          </w:p>
        </w:tc>
        <w:tc>
          <w:p>
            <w:pPr>
              <w:pStyle w:val="Compact"/>
              <w:jc w:val="left"/>
            </w:pPr>
            <w:r>
              <w:t xml:space="preserve">1</w:t>
            </w:r>
          </w:p>
        </w:tc>
        <w:tc>
          <w:p>
            <w:pPr>
              <w:pStyle w:val="Compact"/>
              <w:jc w:val="left"/>
            </w:pPr>
            <w:r>
              <w:t xml:space="preserve">5,098,765</w:t>
            </w:r>
          </w:p>
        </w:tc>
        <w:tc>
          <w:p>
            <w:pPr>
              <w:pStyle w:val="Compact"/>
              <w:jc w:val="left"/>
            </w:pPr>
            <w:r>
              <w:t xml:space="preserve">143,887,649,000</w:t>
            </w:r>
          </w:p>
        </w:tc>
        <w:tc>
          <w:p>
            <w:pPr>
              <w:pStyle w:val="Compact"/>
              <w:jc w:val="left"/>
            </w:pPr>
            <w:r>
              <w:t xml:space="preserve">28,220</w:t>
            </w:r>
          </w:p>
        </w:tc>
        <w:tc>
          <w:p>
            <w:pPr>
              <w:pStyle w:val="Compact"/>
              <w:jc w:val="left"/>
            </w:pPr>
            <w:r>
              <w:t xml:space="preserve">143.8</w:t>
            </w:r>
          </w:p>
        </w:tc>
        <w:tc>
          <w:p>
            <w:pPr>
              <w:pStyle w:val="Compact"/>
              <w:jc w:val="left"/>
            </w:pPr>
            <w:r>
              <w:t xml:space="preserve">525,641,100</w:t>
            </w:r>
          </w:p>
        </w:tc>
      </w:tr>
      <w:tr>
        <w:tc>
          <w:p>
            <w:pPr>
              <w:pStyle w:val="Compact"/>
              <w:jc w:val="left"/>
            </w:pPr>
            <w:r>
              <w:t xml:space="preserve">Orlando</w:t>
            </w:r>
          </w:p>
        </w:tc>
        <w:tc>
          <w:p>
            <w:pPr>
              <w:pStyle w:val="Compact"/>
              <w:jc w:val="left"/>
            </w:pPr>
            <w:r>
              <w:t xml:space="preserve">1</w:t>
            </w:r>
          </w:p>
        </w:tc>
        <w:tc>
          <w:p>
            <w:pPr>
              <w:pStyle w:val="Compact"/>
              <w:jc w:val="left"/>
            </w:pPr>
            <w:r>
              <w:t xml:space="preserve">1</w:t>
            </w:r>
          </w:p>
        </w:tc>
        <w:tc>
          <w:p>
            <w:pPr>
              <w:pStyle w:val="Compact"/>
              <w:jc w:val="left"/>
            </w:pPr>
            <w:r>
              <w:t xml:space="preserve">6,109,653</w:t>
            </w:r>
          </w:p>
        </w:tc>
        <w:tc>
          <w:p>
            <w:pPr>
              <w:pStyle w:val="Compact"/>
              <w:jc w:val="left"/>
            </w:pPr>
            <w:r>
              <w:t xml:space="preserve">118,224,418,931</w:t>
            </w:r>
          </w:p>
        </w:tc>
        <w:tc>
          <w:p>
            <w:pPr>
              <w:pStyle w:val="Compact"/>
              <w:jc w:val="left"/>
            </w:pPr>
            <w:r>
              <w:t xml:space="preserve">19,350</w:t>
            </w:r>
          </w:p>
        </w:tc>
        <w:tc>
          <w:p>
            <w:pPr>
              <w:pStyle w:val="Compact"/>
              <w:jc w:val="left"/>
            </w:pPr>
            <w:r>
              <w:t xml:space="preserve">98.7</w:t>
            </w:r>
          </w:p>
        </w:tc>
        <w:tc>
          <w:p>
            <w:pPr>
              <w:pStyle w:val="Compact"/>
              <w:jc w:val="left"/>
            </w:pPr>
            <w:r>
              <w:t xml:space="preserve">418,637,609</w:t>
            </w:r>
          </w:p>
        </w:tc>
      </w:tr>
      <w:tr>
        <w:tc>
          <w:p>
            <w:pPr>
              <w:pStyle w:val="Compact"/>
              <w:jc w:val="left"/>
            </w:pPr>
            <w:r>
              <w:t xml:space="preserve">NorthLake</w:t>
            </w:r>
          </w:p>
        </w:tc>
        <w:tc>
          <w:p>
            <w:pPr>
              <w:pStyle w:val="Compact"/>
              <w:jc w:val="left"/>
            </w:pPr>
            <w:r>
              <w:t xml:space="preserve">1</w:t>
            </w:r>
          </w:p>
        </w:tc>
        <w:tc>
          <w:p>
            <w:pPr>
              <w:pStyle w:val="Compact"/>
              <w:jc w:val="left"/>
            </w:pPr>
            <w:r>
              <w:t xml:space="preserve">1</w:t>
            </w:r>
          </w:p>
        </w:tc>
        <w:tc>
          <w:p>
            <w:pPr>
              <w:pStyle w:val="Compact"/>
              <w:jc w:val="left"/>
            </w:pPr>
            <w:r>
              <w:t xml:space="preserve">3,437,915</w:t>
            </w:r>
          </w:p>
        </w:tc>
        <w:tc>
          <w:p>
            <w:pPr>
              <w:pStyle w:val="Compact"/>
              <w:jc w:val="left"/>
            </w:pPr>
            <w:r>
              <w:t xml:space="preserve">85,193,343,427</w:t>
            </w:r>
          </w:p>
        </w:tc>
        <w:tc>
          <w:p>
            <w:pPr>
              <w:pStyle w:val="Compact"/>
              <w:jc w:val="left"/>
            </w:pPr>
            <w:r>
              <w:t xml:space="preserve">24,780</w:t>
            </w:r>
          </w:p>
        </w:tc>
        <w:tc>
          <w:p>
            <w:pPr>
              <w:pStyle w:val="Compact"/>
              <w:jc w:val="left"/>
            </w:pPr>
            <w:r>
              <w:t xml:space="preserve">117.0</w:t>
            </w:r>
          </w:p>
        </w:tc>
        <w:tc>
          <w:p>
            <w:pPr>
              <w:pStyle w:val="Compact"/>
              <w:jc w:val="left"/>
            </w:pPr>
            <w:r>
              <w:t xml:space="preserve">279,317,667</w:t>
            </w:r>
          </w:p>
        </w:tc>
      </w:tr>
      <w:tr>
        <w:tc>
          <w:p>
            <w:pPr>
              <w:pStyle w:val="Compact"/>
              <w:jc w:val="left"/>
            </w:pPr>
            <w:r>
              <w:t xml:space="preserve">Mechanicsville</w:t>
            </w:r>
          </w:p>
        </w:tc>
        <w:tc>
          <w:p>
            <w:pPr>
              <w:pStyle w:val="Compact"/>
              <w:jc w:val="left"/>
            </w:pPr>
            <w:r>
              <w:t xml:space="preserve">1</w:t>
            </w:r>
          </w:p>
        </w:tc>
        <w:tc>
          <w:p>
            <w:pPr>
              <w:pStyle w:val="Compact"/>
              <w:jc w:val="left"/>
            </w:pPr>
            <w:r>
              <w:t xml:space="preserve">1</w:t>
            </w:r>
          </w:p>
        </w:tc>
        <w:tc>
          <w:p>
            <w:pPr>
              <w:pStyle w:val="Compact"/>
              <w:jc w:val="left"/>
            </w:pPr>
            <w:r>
              <w:t xml:space="preserve">4,375,766</w:t>
            </w:r>
          </w:p>
        </w:tc>
        <w:tc>
          <w:p>
            <w:pPr>
              <w:pStyle w:val="Compact"/>
              <w:jc w:val="left"/>
            </w:pPr>
            <w:r>
              <w:t xml:space="preserve">63,033,219,154</w:t>
            </w:r>
          </w:p>
        </w:tc>
        <w:tc>
          <w:p>
            <w:pPr>
              <w:pStyle w:val="Compact"/>
              <w:jc w:val="left"/>
            </w:pPr>
            <w:r>
              <w:t xml:space="preserve">14,405</w:t>
            </w:r>
          </w:p>
        </w:tc>
        <w:tc>
          <w:p>
            <w:pPr>
              <w:pStyle w:val="Compact"/>
              <w:jc w:val="left"/>
            </w:pPr>
            <w:r>
              <w:t xml:space="preserve">104.9</w:t>
            </w:r>
          </w:p>
        </w:tc>
        <w:tc>
          <w:p>
            <w:pPr>
              <w:pStyle w:val="Compact"/>
              <w:jc w:val="left"/>
            </w:pPr>
            <w:r>
              <w:t xml:space="preserve">211,723,128</w:t>
            </w:r>
          </w:p>
        </w:tc>
      </w:tr>
      <w:tr>
        <w:tc>
          <w:p>
            <w:pPr>
              <w:pStyle w:val="Compact"/>
              <w:jc w:val="left"/>
            </w:pPr>
            <w:r>
              <w:t xml:space="preserve">Indy</w:t>
            </w:r>
          </w:p>
        </w:tc>
        <w:tc>
          <w:p>
            <w:pPr>
              <w:pStyle w:val="Compact"/>
              <w:jc w:val="left"/>
            </w:pPr>
            <w:r>
              <w:t xml:space="preserve">1</w:t>
            </w:r>
          </w:p>
        </w:tc>
        <w:tc>
          <w:p>
            <w:pPr>
              <w:pStyle w:val="Compact"/>
              <w:jc w:val="left"/>
            </w:pPr>
            <w:r>
              <w:t xml:space="preserve">1</w:t>
            </w:r>
          </w:p>
        </w:tc>
        <w:tc>
          <w:p>
            <w:pPr>
              <w:pStyle w:val="Compact"/>
              <w:jc w:val="left"/>
            </w:pPr>
            <w:r>
              <w:t xml:space="preserve">4,227,212</w:t>
            </w:r>
          </w:p>
        </w:tc>
        <w:tc>
          <w:p>
            <w:pPr>
              <w:pStyle w:val="Compact"/>
              <w:jc w:val="left"/>
            </w:pPr>
            <w:r>
              <w:t xml:space="preserve">60,180,320,785</w:t>
            </w:r>
          </w:p>
        </w:tc>
        <w:tc>
          <w:p>
            <w:pPr>
              <w:pStyle w:val="Compact"/>
              <w:jc w:val="left"/>
            </w:pPr>
            <w:r>
              <w:t xml:space="preserve">14,236</w:t>
            </w:r>
          </w:p>
        </w:tc>
        <w:tc>
          <w:p>
            <w:pPr>
              <w:pStyle w:val="Compact"/>
              <w:jc w:val="left"/>
            </w:pPr>
            <w:r>
              <w:t xml:space="preserve">61.9</w:t>
            </w:r>
          </w:p>
        </w:tc>
        <w:tc>
          <w:p>
            <w:pPr>
              <w:pStyle w:val="Compact"/>
              <w:jc w:val="left"/>
            </w:pPr>
            <w:r>
              <w:t xml:space="preserve">206,629,067</w:t>
            </w:r>
          </w:p>
        </w:tc>
      </w:tr>
      <w:tr>
        <w:tc>
          <w:p>
            <w:pPr>
              <w:pStyle w:val="Compact"/>
              <w:jc w:val="left"/>
            </w:pPr>
            <w:r>
              <w:t xml:space="preserve">Memphis</w:t>
            </w:r>
          </w:p>
        </w:tc>
        <w:tc>
          <w:p>
            <w:pPr>
              <w:pStyle w:val="Compact"/>
              <w:jc w:val="left"/>
            </w:pPr>
            <w:r>
              <w:t xml:space="preserve">1</w:t>
            </w:r>
          </w:p>
        </w:tc>
        <w:tc>
          <w:p>
            <w:pPr>
              <w:pStyle w:val="Compact"/>
              <w:jc w:val="left"/>
            </w:pPr>
            <w:r>
              <w:t xml:space="preserve">1</w:t>
            </w:r>
          </w:p>
        </w:tc>
        <w:tc>
          <w:p>
            <w:pPr>
              <w:pStyle w:val="Compact"/>
              <w:jc w:val="left"/>
            </w:pPr>
            <w:r>
              <w:t xml:space="preserve">2,876,323</w:t>
            </w:r>
          </w:p>
        </w:tc>
        <w:tc>
          <w:p>
            <w:pPr>
              <w:pStyle w:val="Compact"/>
              <w:jc w:val="left"/>
            </w:pPr>
            <w:r>
              <w:t xml:space="preserve">48,064,601,899</w:t>
            </w:r>
          </w:p>
        </w:tc>
        <w:tc>
          <w:p>
            <w:pPr>
              <w:pStyle w:val="Compact"/>
              <w:jc w:val="left"/>
            </w:pPr>
            <w:r>
              <w:t xml:space="preserve">16,710</w:t>
            </w:r>
          </w:p>
        </w:tc>
        <w:tc>
          <w:p>
            <w:pPr>
              <w:pStyle w:val="Compact"/>
              <w:jc w:val="left"/>
            </w:pPr>
            <w:r>
              <w:t xml:space="preserve">48.3</w:t>
            </w:r>
          </w:p>
        </w:tc>
        <w:tc>
          <w:p>
            <w:pPr>
              <w:pStyle w:val="Compact"/>
              <w:jc w:val="left"/>
            </w:pPr>
            <w:r>
              <w:t xml:space="preserve">118,540,861</w:t>
            </w:r>
          </w:p>
        </w:tc>
      </w:tr>
      <w:tr>
        <w:tc>
          <w:p>
            <w:pPr>
              <w:pStyle w:val="Compact"/>
              <w:jc w:val="left"/>
            </w:pPr>
            <w:r>
              <w:t xml:space="preserve">Tolleson</w:t>
            </w:r>
          </w:p>
        </w:tc>
        <w:tc>
          <w:p>
            <w:pPr>
              <w:pStyle w:val="Compact"/>
              <w:jc w:val="left"/>
            </w:pPr>
            <w:r>
              <w:t xml:space="preserve">1</w:t>
            </w:r>
          </w:p>
        </w:tc>
        <w:tc>
          <w:p>
            <w:pPr>
              <w:pStyle w:val="Compact"/>
              <w:jc w:val="left"/>
            </w:pPr>
            <w:r>
              <w:t xml:space="preserve">1</w:t>
            </w:r>
          </w:p>
        </w:tc>
        <w:tc>
          <w:p>
            <w:pPr>
              <w:pStyle w:val="Compact"/>
              <w:jc w:val="left"/>
            </w:pPr>
            <w:r>
              <w:t xml:space="preserve">4,884,472</w:t>
            </w:r>
          </w:p>
        </w:tc>
        <w:tc>
          <w:p>
            <w:pPr>
              <w:pStyle w:val="Compact"/>
              <w:jc w:val="left"/>
            </w:pPr>
            <w:r>
              <w:t xml:space="preserve">42,756,104,849</w:t>
            </w:r>
          </w:p>
        </w:tc>
        <w:tc>
          <w:p>
            <w:pPr>
              <w:pStyle w:val="Compact"/>
              <w:jc w:val="left"/>
            </w:pPr>
            <w:r>
              <w:t xml:space="preserve">8,753</w:t>
            </w:r>
          </w:p>
        </w:tc>
        <w:tc>
          <w:p>
            <w:pPr>
              <w:pStyle w:val="Compact"/>
              <w:jc w:val="left"/>
            </w:pPr>
            <w:r>
              <w:t xml:space="preserve">72.9</w:t>
            </w:r>
          </w:p>
        </w:tc>
        <w:tc>
          <w:p>
            <w:pPr>
              <w:pStyle w:val="Compact"/>
              <w:jc w:val="left"/>
            </w:pPr>
            <w:r>
              <w:t xml:space="preserve">242,119,420</w:t>
            </w:r>
          </w:p>
        </w:tc>
      </w:tr>
      <w:tr>
        <w:tc>
          <w:p>
            <w:pPr>
              <w:pStyle w:val="Compact"/>
              <w:jc w:val="left"/>
            </w:pPr>
            <w:r>
              <w:t xml:space="preserve">Mansfield</w:t>
            </w:r>
          </w:p>
        </w:tc>
        <w:tc>
          <w:p>
            <w:pPr>
              <w:pStyle w:val="Compact"/>
              <w:jc w:val="left"/>
            </w:pPr>
            <w:r>
              <w:t xml:space="preserve">1</w:t>
            </w:r>
          </w:p>
        </w:tc>
        <w:tc>
          <w:p>
            <w:pPr>
              <w:pStyle w:val="Compact"/>
              <w:jc w:val="left"/>
            </w:pPr>
            <w:r>
              <w:t xml:space="preserve">1</w:t>
            </w:r>
          </w:p>
        </w:tc>
        <w:tc>
          <w:p>
            <w:pPr>
              <w:pStyle w:val="Compact"/>
              <w:jc w:val="left"/>
            </w:pPr>
            <w:r>
              <w:t xml:space="preserve">2,664,455</w:t>
            </w:r>
          </w:p>
        </w:tc>
        <w:tc>
          <w:p>
            <w:pPr>
              <w:pStyle w:val="Compact"/>
              <w:jc w:val="left"/>
            </w:pPr>
            <w:r>
              <w:t xml:space="preserve">37,045,935,384</w:t>
            </w:r>
          </w:p>
        </w:tc>
        <w:tc>
          <w:p>
            <w:pPr>
              <w:pStyle w:val="Compact"/>
              <w:jc w:val="left"/>
            </w:pPr>
            <w:r>
              <w:t xml:space="preserve">13,903</w:t>
            </w:r>
          </w:p>
        </w:tc>
        <w:tc>
          <w:p>
            <w:pPr>
              <w:pStyle w:val="Compact"/>
              <w:jc w:val="left"/>
            </w:pPr>
            <w:r>
              <w:t xml:space="preserve">77.4</w:t>
            </w:r>
          </w:p>
        </w:tc>
        <w:tc>
          <w:p>
            <w:pPr>
              <w:pStyle w:val="Compact"/>
              <w:jc w:val="left"/>
            </w:pPr>
            <w:r>
              <w:t xml:space="preserve">139,616,882</w:t>
            </w:r>
          </w:p>
        </w:tc>
      </w:tr>
      <w:tr>
        <w:tc>
          <w:p>
            <w:pPr>
              <w:pStyle w:val="Compact"/>
              <w:jc w:val="left"/>
            </w:pPr>
            <w:r>
              <w:t xml:space="preserve">Canal</w:t>
            </w:r>
          </w:p>
        </w:tc>
        <w:tc>
          <w:p>
            <w:pPr>
              <w:pStyle w:val="Compact"/>
              <w:jc w:val="left"/>
            </w:pPr>
            <w:r>
              <w:t xml:space="preserve">1</w:t>
            </w:r>
          </w:p>
        </w:tc>
        <w:tc>
          <w:p>
            <w:pPr>
              <w:pStyle w:val="Compact"/>
              <w:jc w:val="left"/>
            </w:pPr>
            <w:r>
              <w:t xml:space="preserve">1</w:t>
            </w:r>
          </w:p>
        </w:tc>
        <w:tc>
          <w:p>
            <w:pPr>
              <w:pStyle w:val="Compact"/>
              <w:jc w:val="left"/>
            </w:pPr>
            <w:r>
              <w:t xml:space="preserve">3,353,835</w:t>
            </w:r>
          </w:p>
        </w:tc>
        <w:tc>
          <w:p>
            <w:pPr>
              <w:pStyle w:val="Compact"/>
              <w:jc w:val="left"/>
            </w:pPr>
            <w:r>
              <w:t xml:space="preserve">33,778,649,226</w:t>
            </w:r>
          </w:p>
        </w:tc>
        <w:tc>
          <w:p>
            <w:pPr>
              <w:pStyle w:val="Compact"/>
              <w:jc w:val="left"/>
            </w:pPr>
            <w:r>
              <w:t xml:space="preserve">10,071</w:t>
            </w:r>
          </w:p>
        </w:tc>
        <w:tc>
          <w:p>
            <w:pPr>
              <w:pStyle w:val="Compact"/>
              <w:jc w:val="left"/>
            </w:pPr>
            <w:r>
              <w:t xml:space="preserve">37.1</w:t>
            </w:r>
          </w:p>
        </w:tc>
        <w:tc>
          <w:p>
            <w:pPr>
              <w:pStyle w:val="Compact"/>
              <w:jc w:val="left"/>
            </w:pPr>
            <w:r>
              <w:t xml:space="preserve">110,384,744</w:t>
            </w:r>
          </w:p>
        </w:tc>
      </w:tr>
      <w:tr>
        <w:tc>
          <w:p>
            <w:pPr>
              <w:pStyle w:val="Compact"/>
              <w:jc w:val="left"/>
            </w:pPr>
            <w:r>
              <w:t xml:space="preserve">Liberty</w:t>
            </w:r>
          </w:p>
        </w:tc>
        <w:tc>
          <w:p>
            <w:pPr>
              <w:pStyle w:val="Compact"/>
              <w:jc w:val="left"/>
            </w:pPr>
            <w:r>
              <w:t xml:space="preserve">1</w:t>
            </w:r>
          </w:p>
        </w:tc>
        <w:tc>
          <w:p>
            <w:pPr>
              <w:pStyle w:val="Compact"/>
              <w:jc w:val="left"/>
            </w:pPr>
            <w:r>
              <w:t xml:space="preserve">1</w:t>
            </w:r>
          </w:p>
        </w:tc>
        <w:tc>
          <w:p>
            <w:pPr>
              <w:pStyle w:val="Compact"/>
              <w:jc w:val="left"/>
            </w:pPr>
            <w:r>
              <w:t xml:space="preserve">1,750,198</w:t>
            </w:r>
          </w:p>
        </w:tc>
        <w:tc>
          <w:p>
            <w:pPr>
              <w:pStyle w:val="Compact"/>
              <w:jc w:val="left"/>
            </w:pPr>
            <w:r>
              <w:t xml:space="preserve">32,826,277,507</w:t>
            </w:r>
          </w:p>
        </w:tc>
        <w:tc>
          <w:p>
            <w:pPr>
              <w:pStyle w:val="Compact"/>
              <w:jc w:val="left"/>
            </w:pPr>
            <w:r>
              <w:t xml:space="preserve">18,755</w:t>
            </w:r>
          </w:p>
        </w:tc>
        <w:tc>
          <w:p>
            <w:pPr>
              <w:pStyle w:val="Compact"/>
              <w:jc w:val="left"/>
            </w:pPr>
            <w:r>
              <w:t xml:space="preserve">54.7</w:t>
            </w:r>
          </w:p>
        </w:tc>
        <w:tc>
          <w:p>
            <w:pPr>
              <w:pStyle w:val="Compact"/>
              <w:jc w:val="left"/>
            </w:pPr>
            <w:r>
              <w:t xml:space="preserve">75,544,885</w:t>
            </w:r>
          </w:p>
        </w:tc>
      </w:tr>
      <w:tr>
        <w:tc>
          <w:p>
            <w:pPr>
              <w:pStyle w:val="Compact"/>
              <w:jc w:val="left"/>
            </w:pPr>
            <w:r>
              <w:t xml:space="preserve">BrooklynPark</w:t>
            </w:r>
          </w:p>
        </w:tc>
        <w:tc>
          <w:p>
            <w:pPr>
              <w:pStyle w:val="Compact"/>
              <w:jc w:val="left"/>
            </w:pPr>
            <w:r>
              <w:t xml:space="preserve">1</w:t>
            </w:r>
          </w:p>
        </w:tc>
        <w:tc>
          <w:p>
            <w:pPr>
              <w:pStyle w:val="Compact"/>
              <w:jc w:val="left"/>
            </w:pPr>
            <w:r>
              <w:t xml:space="preserve">1</w:t>
            </w:r>
          </w:p>
        </w:tc>
        <w:tc>
          <w:p>
            <w:pPr>
              <w:pStyle w:val="Compact"/>
              <w:jc w:val="left"/>
            </w:pPr>
            <w:r>
              <w:t xml:space="preserve">1,060,271</w:t>
            </w:r>
          </w:p>
        </w:tc>
        <w:tc>
          <w:p>
            <w:pPr>
              <w:pStyle w:val="Compact"/>
              <w:jc w:val="left"/>
            </w:pPr>
            <w:r>
              <w:t xml:space="preserve">15,839,871,357</w:t>
            </w:r>
          </w:p>
        </w:tc>
        <w:tc>
          <w:p>
            <w:pPr>
              <w:pStyle w:val="Compact"/>
              <w:jc w:val="left"/>
            </w:pPr>
            <w:r>
              <w:t xml:space="preserve">14,939</w:t>
            </w:r>
          </w:p>
        </w:tc>
        <w:tc>
          <w:p>
            <w:pPr>
              <w:pStyle w:val="Compact"/>
              <w:jc w:val="left"/>
            </w:pPr>
            <w:r>
              <w:t xml:space="preserve">58.5</w:t>
            </w:r>
          </w:p>
        </w:tc>
        <w:tc>
          <w:p>
            <w:pPr>
              <w:pStyle w:val="Compact"/>
              <w:jc w:val="left"/>
            </w:pPr>
            <w:r>
              <w:t xml:space="preserve">56,745,430</w:t>
            </w:r>
          </w:p>
        </w:tc>
      </w:tr>
      <w:tr>
        <w:tc>
          <w:p>
            <w:pPr>
              <w:pStyle w:val="Compact"/>
              <w:jc w:val="left"/>
            </w:pPr>
            <w:r>
              <w:t xml:space="preserve">Denver</w:t>
            </w:r>
          </w:p>
        </w:tc>
        <w:tc>
          <w:p>
            <w:pPr>
              <w:pStyle w:val="Compact"/>
              <w:jc w:val="left"/>
            </w:pPr>
            <w:r>
              <w:t xml:space="preserve">1</w:t>
            </w:r>
          </w:p>
        </w:tc>
        <w:tc>
          <w:p>
            <w:pPr>
              <w:pStyle w:val="Compact"/>
              <w:jc w:val="left"/>
            </w:pPr>
            <w:r>
              <w:t xml:space="preserve">1</w:t>
            </w:r>
          </w:p>
        </w:tc>
        <w:tc>
          <w:p>
            <w:pPr>
              <w:pStyle w:val="Compact"/>
              <w:jc w:val="left"/>
            </w:pPr>
            <w:r>
              <w:t xml:space="preserve">1,701,783</w:t>
            </w:r>
          </w:p>
        </w:tc>
        <w:tc>
          <w:p>
            <w:pPr>
              <w:pStyle w:val="Compact"/>
              <w:jc w:val="left"/>
            </w:pPr>
            <w:r>
              <w:t xml:space="preserve">11,054,245,653</w:t>
            </w:r>
          </w:p>
        </w:tc>
        <w:tc>
          <w:p>
            <w:pPr>
              <w:pStyle w:val="Compact"/>
              <w:jc w:val="left"/>
            </w:pPr>
            <w:r>
              <w:t xml:space="preserve">6,495</w:t>
            </w:r>
          </w:p>
        </w:tc>
        <w:tc>
          <w:p>
            <w:pPr>
              <w:pStyle w:val="Compact"/>
              <w:jc w:val="left"/>
            </w:pPr>
            <w:r>
              <w:t xml:space="preserve">22.1</w:t>
            </w:r>
          </w:p>
        </w:tc>
        <w:tc>
          <w:p>
            <w:pPr>
              <w:pStyle w:val="Compact"/>
              <w:jc w:val="left"/>
            </w:pPr>
            <w:r>
              <w:t xml:space="preserve">32,860,162</w:t>
            </w:r>
          </w:p>
        </w:tc>
      </w:tr>
      <w:tr>
        <w:tc>
          <w:p>
            <w:pPr>
              <w:pStyle w:val="Compact"/>
              <w:jc w:val="left"/>
            </w:pPr>
            <w:r>
              <w:t xml:space="preserve">Kent</w:t>
            </w:r>
          </w:p>
        </w:tc>
        <w:tc>
          <w:p>
            <w:pPr>
              <w:pStyle w:val="Compact"/>
              <w:jc w:val="left"/>
            </w:pPr>
            <w:r>
              <w:t xml:space="preserve">1</w:t>
            </w:r>
          </w:p>
        </w:tc>
        <w:tc>
          <w:p>
            <w:pPr>
              <w:pStyle w:val="Compact"/>
              <w:jc w:val="left"/>
            </w:pPr>
            <w:r>
              <w:t xml:space="preserve">1</w:t>
            </w:r>
          </w:p>
        </w:tc>
        <w:tc>
          <w:p>
            <w:pPr>
              <w:pStyle w:val="Compact"/>
              <w:jc w:val="left"/>
            </w:pPr>
            <w:r>
              <w:t xml:space="preserve">1,405,482</w:t>
            </w:r>
          </w:p>
        </w:tc>
        <w:tc>
          <w:p>
            <w:pPr>
              <w:pStyle w:val="Compact"/>
              <w:jc w:val="left"/>
            </w:pPr>
            <w:r>
              <w:t xml:space="preserve">10,276,448,870</w:t>
            </w:r>
          </w:p>
        </w:tc>
        <w:tc>
          <w:p>
            <w:pPr>
              <w:pStyle w:val="Compact"/>
              <w:jc w:val="left"/>
            </w:pPr>
            <w:r>
              <w:t xml:space="preserve">7,311</w:t>
            </w:r>
          </w:p>
        </w:tc>
        <w:tc>
          <w:p>
            <w:pPr>
              <w:pStyle w:val="Compact"/>
              <w:jc w:val="left"/>
            </w:pPr>
            <w:r>
              <w:t xml:space="preserve">25.2</w:t>
            </w:r>
          </w:p>
        </w:tc>
        <w:tc>
          <w:p>
            <w:pPr>
              <w:pStyle w:val="Compact"/>
              <w:jc w:val="left"/>
            </w:pPr>
            <w:r>
              <w:t xml:space="preserve">33,438,569</w:t>
            </w:r>
          </w:p>
        </w:tc>
      </w:tr>
      <w:tr>
        <w:tc>
          <w:p>
            <w:pPr>
              <w:pStyle w:val="Compact"/>
              <w:jc w:val="left"/>
            </w:pPr>
            <w:r>
              <w:t xml:space="preserve">West Jordan</w:t>
            </w:r>
          </w:p>
        </w:tc>
        <w:tc>
          <w:p>
            <w:pPr>
              <w:pStyle w:val="Compact"/>
              <w:jc w:val="left"/>
            </w:pPr>
            <w:r>
              <w:t xml:space="preserve">1</w:t>
            </w:r>
          </w:p>
        </w:tc>
        <w:tc>
          <w:p>
            <w:pPr>
              <w:pStyle w:val="Compact"/>
              <w:jc w:val="left"/>
            </w:pPr>
            <w:r>
              <w:t xml:space="preserve">1</w:t>
            </w:r>
          </w:p>
        </w:tc>
        <w:tc>
          <w:p>
            <w:pPr>
              <w:pStyle w:val="Compact"/>
              <w:jc w:val="left"/>
            </w:pPr>
            <w:r>
              <w:t xml:space="preserve">428,605</w:t>
            </w:r>
          </w:p>
        </w:tc>
        <w:tc>
          <w:p>
            <w:pPr>
              <w:pStyle w:val="Compact"/>
              <w:jc w:val="left"/>
            </w:pPr>
            <w:r>
              <w:t xml:space="preserve">2,784,952,982</w:t>
            </w:r>
          </w:p>
        </w:tc>
        <w:tc>
          <w:p>
            <w:pPr>
              <w:pStyle w:val="Compact"/>
              <w:jc w:val="left"/>
            </w:pPr>
            <w:r>
              <w:t xml:space="preserve">6,497</w:t>
            </w:r>
          </w:p>
        </w:tc>
        <w:tc>
          <w:p>
            <w:pPr>
              <w:pStyle w:val="Compact"/>
              <w:jc w:val="left"/>
            </w:pPr>
            <w:r>
              <w:t xml:space="preserve">22.0</w:t>
            </w:r>
          </w:p>
        </w:tc>
        <w:tc>
          <w:p>
            <w:pPr>
              <w:pStyle w:val="Compact"/>
              <w:jc w:val="left"/>
            </w:pPr>
            <w:r>
              <w:t xml:space="preserve">8,889,680</w:t>
            </w:r>
          </w:p>
        </w:tc>
      </w:tr>
    </w:tbl>
    <w:p>
      <w:pPr>
        <w:pStyle w:val="BodyText"/>
      </w:pPr>
      <w:r>
        <w:rPr>
          <w:b/>
        </w:rPr>
        <w:t xml:space="preserve">Roll-up across all 14 reporting sites:</w:t>
      </w:r>
      <w:r>
        <w:t xml:space="preserve"> </w:t>
      </w:r>
      <w:r>
        <w:t xml:space="preserve">43,374,735 executions,</w:t>
      </w:r>
      <w:r>
        <w:t xml:space="preserve"> </w:t>
      </w:r>
      <w:r>
        <w:rPr>
          <w:b/>
        </w:rPr>
        <w:t xml:space="preserve">704,946,039,024 total logical reads</w:t>
      </w:r>
      <w:r>
        <w:t xml:space="preserve"> </w:t>
      </w:r>
      <w:r>
        <w:t xml:space="preserve">(16,252 avg reads/exec), 2,460,089,204 ms total CPU. Every site reports.</w:t>
      </w:r>
    </w:p>
    <w:p>
      <w:pPr>
        <w:pStyle w:val="BodyText"/>
      </w:pPr>
      <w:r>
        <w:rPr>
          <w:b/>
        </w:rPr>
        <w:t xml:space="preserve">Observations:</w:t>
      </w:r>
    </w:p>
    <w:p>
      <w:pPr>
        <w:numPr>
          <w:ilvl w:val="0"/>
          <w:numId w:val="1002"/>
        </w:numPr>
        <w:pStyle w:val="Compact"/>
      </w:pPr>
      <w:r>
        <w:rPr>
          <w:b/>
        </w:rPr>
        <w:t xml:space="preserve">No plan instability.</w:t>
      </w:r>
      <w:r>
        <w:t xml:space="preserve"> </w:t>
      </w:r>
      <w:r>
        <w:t xml:space="preserve">Every site shows one plan variant for one query_id. No forced plans, no plan failures. This is unusual for a proc this hot; it suggests that the parameter shape (</w:t>
      </w:r>
      <w:r>
        <w:rPr>
          <w:rStyle w:val="VerbatimChar"/>
        </w:rPr>
        <w:t xml:space="preserve">@AddrBank</w:t>
      </w:r>
      <w:r>
        <w:t xml:space="preserve"> </w:t>
      </w:r>
      <w:r>
        <w:t xml:space="preserve">plus three small integer/tinyint controls) does not vary widely enough to trigger plan-choice volatility, and the called proc’s plan is stable across the parameter space it actually sees in production.</w:t>
      </w:r>
    </w:p>
    <w:p>
      <w:pPr>
        <w:numPr>
          <w:ilvl w:val="0"/>
          <w:numId w:val="1002"/>
        </w:numPr>
        <w:pStyle w:val="Compact"/>
      </w:pPr>
      <w:r>
        <w:rPr>
          <w:b/>
        </w:rPr>
        <w:t xml:space="preserve">Only one statement is visible at the top-50 level.</w:t>
      </w:r>
      <w:r>
        <w:t xml:space="preserve"> </w:t>
      </w:r>
      <w:r>
        <w:t xml:space="preserve">The</w:t>
      </w:r>
      <w:r>
        <w:t xml:space="preserve"> </w:t>
      </w:r>
      <w:r>
        <w:rPr>
          <w:rStyle w:val="VerbatimChar"/>
        </w:rPr>
        <w:t xml:space="preserve">INSERT ... EXEC lsp_OrdGetReadyForDispenseRxsInBank</w:t>
      </w:r>
      <w:r>
        <w:t xml:space="preserve"> </w:t>
      </w:r>
      <w:r>
        <w:t xml:space="preserve">line is the only thing that surfaces. The four</w:t>
      </w:r>
      <w:r>
        <w:t xml:space="preserve"> </w:t>
      </w:r>
      <w:r>
        <w:rPr>
          <w:rStyle w:val="VerbatimChar"/>
        </w:rPr>
        <w:t xml:space="preserve">Count(*)</w:t>
      </w:r>
      <w:r>
        <w:t xml:space="preserve"> </w:t>
      </w:r>
      <w:r>
        <w:t xml:space="preserve">queries that the tracking sheet flagged are below the top-50 threshold at every site. They are real cost contributors when summed across 43M executions, but each individual statement is cheap. The takeaway is that the proc-body wins from the v11 refactor are real but small per-call, while the actual dominant cost driver is one level deeper, inside the called sub-proc.</w:t>
      </w:r>
    </w:p>
    <w:p>
      <w:pPr>
        <w:numPr>
          <w:ilvl w:val="0"/>
          <w:numId w:val="1002"/>
        </w:numPr>
        <w:pStyle w:val="Compact"/>
      </w:pPr>
      <w:r>
        <w:rPr>
          <w:b/>
        </w:rPr>
        <w:t xml:space="preserve">Per-site avg reads scales with call volume more than with data shape.</w:t>
      </w:r>
      <w:r>
        <w:t xml:space="preserve"> </w:t>
      </w:r>
      <w:r>
        <w:t xml:space="preserve">Bolingbrook at 5.1M execs averages 28K reads, while Denver at 1.7M execs averages 6.5K. The 4.3x avg-reads spread is narrower than the spreads observed on Row 15 (37x) and Row 16 (14x). This is consistent with one stable plan returning a stable amount of work per call.</w:t>
      </w:r>
    </w:p>
    <w:p>
      <w:pPr>
        <w:numPr>
          <w:ilvl w:val="0"/>
          <w:numId w:val="1002"/>
        </w:numPr>
        <w:pStyle w:val="Compact"/>
      </w:pPr>
      <w:r>
        <w:rPr>
          <w:b/>
        </w:rPr>
        <w:t xml:space="preserve">The CPU bill is large in absolute terms.</w:t>
      </w:r>
      <w:r>
        <w:t xml:space="preserve"> </w:t>
      </w:r>
      <w:r>
        <w:t xml:space="preserve">2.46 billion CPU ms per month across the fleet, roughly 28.5 days of CPU. Bolingbrook alone burns 526M CPU ms (146 hours) per month on this single proc.</w:t>
      </w:r>
    </w:p>
    <w:p>
      <w:pPr>
        <w:numPr>
          <w:ilvl w:val="0"/>
          <w:numId w:val="1002"/>
        </w:numPr>
        <w:pStyle w:val="Compact"/>
      </w:pPr>
      <w:r>
        <w:rPr>
          <w:b/>
        </w:rPr>
        <w:t xml:space="preserve">Top 5 sites by total reads contribute 67% of the load.</w:t>
      </w:r>
      <w:r>
        <w:t xml:space="preserve"> </w:t>
      </w:r>
      <w:r>
        <w:t xml:space="preserve">Bolingbrook, Orlando, NorthLake, Mechanicsville, and Indy together account for 470B of the 705B reads. v11 will deliver its impact at every site, but the absolute savings concentrate at the top 5.</w:t>
      </w:r>
    </w:p>
    <w:p>
      <w:pPr>
        <w:pStyle w:val="Heading3"/>
      </w:pPr>
      <w:bookmarkStart w:id="25" w:name="X0fda3df5b60646232a36091b9acc0378040a8d6"/>
      <w:r>
        <w:t xml:space="preserve">3.2 SET STATISTICS IO, TIME on a representative MFC</w:t>
      </w:r>
      <w:bookmarkEnd w:id="25"/>
    </w:p>
    <w:p>
      <w:pPr>
        <w:pStyle w:val="FirstParagraph"/>
      </w:pPr>
      <w:r>
        <w:t xml:space="preserve">I capture STATS IO/TIME from Tolleson (or another representative MFC) running both v10 and v11 against the same data state. Recommended parameter combinations (one of each for breadth of priority-path coverage):</w:t>
      </w:r>
    </w:p>
    <w:p>
      <w:pPr>
        <w:numPr>
          <w:ilvl w:val="0"/>
          <w:numId w:val="1003"/>
        </w:numPr>
        <w:pStyle w:val="Compact"/>
      </w:pPr>
      <w:r>
        <w:rPr>
          <w:rStyle w:val="VerbatimChar"/>
        </w:rPr>
        <w:t xml:space="preserve">Exec lsp_RbtDetermineNextVialToProcess @AddrBank = 'B', @InProcessTcdResets = 0, @InProcessCountDryRxsBeingFilled = 0</w:t>
      </w:r>
      <w:r>
        <w:t xml:space="preserve"> </w:t>
      </w:r>
      <w:r>
        <w:t xml:space="preserve">(typical priority-3 path: counted Rxs to process, drives the</w:t>
      </w:r>
      <w:r>
        <w:t xml:space="preserve"> </w:t>
      </w:r>
      <w:r>
        <w:rPr>
          <w:rStyle w:val="VerbatimChar"/>
        </w:rPr>
        <w:t xml:space="preserve">INSERT ... EXEC</w:t>
      </w:r>
      <w:r>
        <w:t xml:space="preserve"> </w:t>
      </w:r>
      <w:r>
        <w:t xml:space="preserve">cost)</w:t>
      </w:r>
    </w:p>
    <w:p>
      <w:pPr>
        <w:numPr>
          <w:ilvl w:val="0"/>
          <w:numId w:val="1003"/>
        </w:numPr>
        <w:pStyle w:val="Compact"/>
      </w:pPr>
      <w:r>
        <w:t xml:space="preserve">Same parameters during a window when</w:t>
      </w:r>
      <w:r>
        <w:t xml:space="preserve"> </w:t>
      </w:r>
      <w:r>
        <w:rPr>
          <w:rStyle w:val="VerbatimChar"/>
        </w:rPr>
        <w:t xml:space="preserve">RbtQueuedForResetTcds</w:t>
      </w:r>
      <w:r>
        <w:t xml:space="preserve"> </w:t>
      </w:r>
      <w:r>
        <w:t xml:space="preserve">has rows (priority-1 path)</w:t>
      </w:r>
    </w:p>
    <w:p>
      <w:pPr>
        <w:numPr>
          <w:ilvl w:val="0"/>
          <w:numId w:val="1003"/>
        </w:numPr>
        <w:pStyle w:val="Compact"/>
      </w:pPr>
      <w:r>
        <w:t xml:space="preserve">Same parameters during a window when count-dry non-Rx vials are queued (priority-2 path)</w:t>
      </w:r>
    </w:p>
    <w:p>
      <w:pPr>
        <w:pStyle w:val="SourceCode"/>
      </w:pPr>
      <w:r>
        <w:rPr>
          <w:rStyle w:val="VerbatimChar"/>
        </w:rPr>
        <w:t xml:space="preserve">(STATS IO + STATS TIME output for v10 goes here, paired with .sqlplan)</w:t>
      </w:r>
    </w:p>
    <w:p>
      <w:pPr>
        <w:pStyle w:val="FirstParagraph"/>
      </w:pPr>
      <w:r>
        <w:t xml:space="preserve">Per-table aggregated logical reads, scan counts, and per-statement timing should be captured in a single text block paired with the</w:t>
      </w:r>
      <w:r>
        <w:t xml:space="preserve"> </w:t>
      </w:r>
      <w:r>
        <w:rPr>
          <w:rStyle w:val="VerbatimChar"/>
        </w:rPr>
        <w:t xml:space="preserve">.sqlplan</w:t>
      </w:r>
      <w:r>
        <w:t xml:space="preserve"> </w:t>
      </w:r>
      <w:r>
        <w:t xml:space="preserve">for both versions.</w:t>
      </w:r>
    </w:p>
    <w:p>
      <w:r>
        <w:pict>
          <v:rect style="width:0;height:1.5pt" o:hralign="center" o:hrstd="t" o:hr="t"/>
        </w:pict>
      </w:r>
    </w:p>
    <w:p>
      <w:pPr>
        <w:pStyle w:val="Heading2"/>
      </w:pPr>
      <w:bookmarkStart w:id="26" w:name="issue-identification-v10"/>
      <w:r>
        <w:t xml:space="preserve">4. Issue Identification (v10)</w:t>
      </w:r>
      <w:bookmarkEnd w:id="26"/>
    </w:p>
    <w:p>
      <w:pPr>
        <w:pStyle w:val="FirstParagraph"/>
      </w:pPr>
      <w:r>
        <w:t xml:space="preserve">The line numbers below reference</w:t>
      </w:r>
      <w:r>
        <w:t xml:space="preserve"> </w:t>
      </w:r>
      <w:r>
        <w:rPr>
          <w:rStyle w:val="VerbatimChar"/>
        </w:rPr>
        <w:t xml:space="preserve">Original.sql</w:t>
      </w:r>
      <w:r>
        <w:t xml:space="preserve"> </w:t>
      </w:r>
      <w:r>
        <w:t xml:space="preserve">(v10).</w:t>
      </w:r>
    </w:p>
    <w:p>
      <w:pPr>
        <w:pStyle w:val="Heading3"/>
      </w:pPr>
      <w:bookmarkStart w:id="27" w:name="X6c0ce19575b7bebcbaaefab3eb7889642dfc37a"/>
      <w:r>
        <w:t xml:space="preserve">4.1 Three separate</w:t>
      </w:r>
      <w:r>
        <w:t xml:space="preserve"> </w:t>
      </w:r>
      <w:r>
        <w:rPr>
          <w:rStyle w:val="VerbatimChar"/>
        </w:rPr>
        <w:t xml:space="preserve">Count(*)</w:t>
      </w:r>
      <w:r>
        <w:t xml:space="preserve"> </w:t>
      </w:r>
      <w:r>
        <w:t xml:space="preserve">variable-assignment statements (lines 57 to 103)</w:t>
      </w:r>
      <w:bookmarkEnd w:id="27"/>
    </w:p>
    <w:p>
      <w:pPr>
        <w:pStyle w:val="SourceCode"/>
      </w:pPr>
      <w:r>
        <w:rPr>
          <w:rStyle w:val="KeywordTok"/>
        </w:rPr>
        <w:t xml:space="preserve">Select</w:t>
      </w:r>
      <w:r>
        <w:rPr>
          <w:rStyle w:val="NormalTok"/>
        </w:rPr>
        <w:t xml:space="preserve"> @TotalCountedRxs </w:t>
      </w:r>
      <w:r>
        <w:rPr>
          <w:rStyle w:val="OperatorTok"/>
        </w:rPr>
        <w:t xml:space="preserve">=</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OeOrder </w:t>
      </w:r>
      <w:r>
        <w:rPr>
          <w:rStyle w:val="OperatorTok"/>
        </w:rPr>
        <w:t xml:space="preserve">..</w:t>
      </w:r>
      <w:r>
        <w:rPr>
          <w:rStyle w:val="NormalTok"/>
        </w:rPr>
        <w:t xml:space="preserve">. </w:t>
      </w:r>
      <w:r>
        <w:rPr>
          <w:rStyle w:val="KeywordTok"/>
        </w:rPr>
        <w:t xml:space="preserve">Where</w:t>
      </w:r>
      <w:r>
        <w:rPr>
          <w:rStyle w:val="NormalTok"/>
        </w:rPr>
        <w:t xml:space="preserve"> AddrBank </w:t>
      </w:r>
      <w:r>
        <w:rPr>
          <w:rStyle w:val="OperatorTok"/>
        </w:rPr>
        <w:t xml:space="preserve">=</w:t>
      </w:r>
      <w:r>
        <w:rPr>
          <w:rStyle w:val="NormalTok"/>
        </w:rPr>
        <w:t xml:space="preserve"> @AddrBank </w:t>
      </w:r>
      <w:r>
        <w:rPr>
          <w:rStyle w:val="OperatorTok"/>
        </w:rPr>
        <w:t xml:space="preserve">..</w:t>
      </w:r>
      <w:r>
        <w:rPr>
          <w:rStyle w:val="NormalTok"/>
        </w:rPr>
        <w:t xml:space="preserve">.</w:t>
      </w:r>
      <w:r>
        <w:br/>
      </w:r>
      <w:r>
        <w:rPr>
          <w:rStyle w:val="KeywordTok"/>
        </w:rPr>
        <w:t xml:space="preserve">Select</w:t>
      </w:r>
      <w:r>
        <w:rPr>
          <w:rStyle w:val="NormalTok"/>
        </w:rPr>
        <w:t xml:space="preserve"> @TotalCountedNONRxs </w:t>
      </w:r>
      <w:r>
        <w:rPr>
          <w:rStyle w:val="OperatorTok"/>
        </w:rPr>
        <w:t xml:space="preserve">=</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TcdStatus T </w:t>
      </w:r>
      <w:r>
        <w:rPr>
          <w:rStyle w:val="KeywordTok"/>
        </w:rPr>
        <w:t xml:space="preserve">Inner</w:t>
      </w:r>
      <w:r>
        <w:rPr>
          <w:rStyle w:val="NormalTok"/>
        </w:rPr>
        <w:t xml:space="preserve"> </w:t>
      </w:r>
      <w:r>
        <w:rPr>
          <w:rStyle w:val="KeywordTok"/>
        </w:rPr>
        <w:t xml:space="preserve">Join</w:t>
      </w:r>
      <w:r>
        <w:rPr>
          <w:rStyle w:val="NormalTok"/>
        </w:rPr>
        <w:t xml:space="preserve"> RvoNonRxProductVial RNPV </w:t>
      </w:r>
      <w:r>
        <w:rPr>
          <w:rStyle w:val="OperatorTok"/>
        </w:rPr>
        <w:t xml:space="preserve">..</w:t>
      </w:r>
      <w:r>
        <w:rPr>
          <w:rStyle w:val="NormalTok"/>
        </w:rPr>
        <w:t xml:space="preserve">. </w:t>
      </w:r>
      <w:r>
        <w:rPr>
          <w:rStyle w:val="KeywordTok"/>
        </w:rPr>
        <w:t xml:space="preserve">Where</w:t>
      </w:r>
      <w:r>
        <w:rPr>
          <w:rStyle w:val="NormalTok"/>
        </w:rPr>
        <w:t xml:space="preserve"> AddrBank </w:t>
      </w:r>
      <w:r>
        <w:rPr>
          <w:rStyle w:val="OperatorTok"/>
        </w:rPr>
        <w:t xml:space="preserve">=</w:t>
      </w:r>
      <w:r>
        <w:rPr>
          <w:rStyle w:val="NormalTok"/>
        </w:rPr>
        <w:t xml:space="preserve"> @AddrBank </w:t>
      </w:r>
      <w:r>
        <w:rPr>
          <w:rStyle w:val="OperatorTok"/>
        </w:rPr>
        <w:t xml:space="preserve">..</w:t>
      </w:r>
      <w:r>
        <w:rPr>
          <w:rStyle w:val="NormalTok"/>
        </w:rPr>
        <w:t xml:space="preserve">.</w:t>
      </w:r>
      <w:r>
        <w:br/>
      </w:r>
      <w:r>
        <w:rPr>
          <w:rStyle w:val="KeywordTok"/>
        </w:rPr>
        <w:t xml:space="preserve">Select</w:t>
      </w:r>
      <w:r>
        <w:rPr>
          <w:rStyle w:val="NormalTok"/>
        </w:rPr>
        <w:t xml:space="preserve"> @TotalDispenserResetsRequired </w:t>
      </w:r>
      <w:r>
        <w:rPr>
          <w:rStyle w:val="OperatorTok"/>
        </w:rPr>
        <w:t xml:space="preserve">=</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RbtQueuedForResetTcds RT </w:t>
      </w:r>
      <w:r>
        <w:rPr>
          <w:rStyle w:val="KeywordTok"/>
        </w:rPr>
        <w:t xml:space="preserve">Inner</w:t>
      </w:r>
      <w:r>
        <w:rPr>
          <w:rStyle w:val="NormalTok"/>
        </w:rPr>
        <w:t xml:space="preserve"> </w:t>
      </w:r>
      <w:r>
        <w:rPr>
          <w:rStyle w:val="KeywordTok"/>
        </w:rPr>
        <w:t xml:space="preserve">Join</w:t>
      </w:r>
      <w:r>
        <w:rPr>
          <w:rStyle w:val="NormalTok"/>
        </w:rPr>
        <w:t xml:space="preserve"> TcdStatus T </w:t>
      </w:r>
      <w:r>
        <w:rPr>
          <w:rStyle w:val="OperatorTok"/>
        </w:rPr>
        <w:t xml:space="preserve">..</w:t>
      </w:r>
      <w:r>
        <w:rPr>
          <w:rStyle w:val="NormalTok"/>
        </w:rPr>
        <w:t xml:space="preserve">. </w:t>
      </w:r>
      <w:r>
        <w:rPr>
          <w:rStyle w:val="KeywordTok"/>
        </w:rPr>
        <w:t xml:space="preserve">Where</w:t>
      </w:r>
      <w:r>
        <w:rPr>
          <w:rStyle w:val="NormalTok"/>
        </w:rPr>
        <w:t xml:space="preserve"> RT.AddrBank </w:t>
      </w:r>
      <w:r>
        <w:rPr>
          <w:rStyle w:val="OperatorTok"/>
        </w:rPr>
        <w:t xml:space="preserve">=</w:t>
      </w:r>
      <w:r>
        <w:rPr>
          <w:rStyle w:val="NormalTok"/>
        </w:rPr>
        <w:t xml:space="preserve"> @AddrBank </w:t>
      </w:r>
      <w:r>
        <w:rPr>
          <w:rStyle w:val="OperatorTok"/>
        </w:rPr>
        <w:t xml:space="preserve">..</w:t>
      </w:r>
      <w:r>
        <w:rPr>
          <w:rStyle w:val="NormalTok"/>
        </w:rPr>
        <w:t xml:space="preserve">.</w:t>
      </w:r>
    </w:p>
    <w:p>
      <w:pPr>
        <w:pStyle w:val="FirstParagraph"/>
      </w:pPr>
      <w:r>
        <w:t xml:space="preserve">The three counts run back to back at the top of the proc. Each is a standalone statement that compiles, executes, and returns a scalar. Because the three sources are different tables (</w:t>
      </w:r>
      <w:r>
        <w:rPr>
          <w:rStyle w:val="VerbatimChar"/>
        </w:rPr>
        <w:t xml:space="preserve">OeOrder</w:t>
      </w:r>
      <w:r>
        <w:t xml:space="preserve">,</w:t>
      </w:r>
      <w:r>
        <w:t xml:space="preserve"> </w:t>
      </w:r>
      <w:r>
        <w:rPr>
          <w:rStyle w:val="VerbatimChar"/>
        </w:rPr>
        <w:t xml:space="preserve">TcdStatus + RvoNonRxProductVial</w:t>
      </w:r>
      <w:r>
        <w:t xml:space="preserve">,</w:t>
      </w:r>
      <w:r>
        <w:t xml:space="preserve"> </w:t>
      </w:r>
      <w:r>
        <w:rPr>
          <w:rStyle w:val="VerbatimChar"/>
        </w:rPr>
        <w:t xml:space="preserve">RbtQueuedForResetTcds + TcdStatus</w:t>
      </w:r>
      <w:r>
        <w:t xml:space="preserve">), the leaf-level reads cannot be reduced by consolidation alone. What can be reduced is the per-statement overhead: three compiles, three plan-cache slots, three round trips become one of each. See Section 5.1 for the principle.</w:t>
      </w:r>
    </w:p>
    <w:p>
      <w:pPr>
        <w:pStyle w:val="Heading3"/>
      </w:pPr>
      <w:bookmarkStart w:id="28" w:name="X804e99ab8d672f684a7723e49e576dd6311d68d"/>
      <w:r>
        <w:t xml:space="preserve">4.2 Two-pass</w:t>
      </w:r>
      <w:r>
        <w:t xml:space="preserve"> </w:t>
      </w:r>
      <w:r>
        <w:rPr>
          <w:rStyle w:val="VerbatimChar"/>
        </w:rPr>
        <w:t xml:space="preserve">If Exists</w:t>
      </w:r>
      <w:r>
        <w:t xml:space="preserve"> </w:t>
      </w:r>
      <w:r>
        <w:t xml:space="preserve">check with correlated</w:t>
      </w:r>
      <w:r>
        <w:t xml:space="preserve"> </w:t>
      </w:r>
      <w:r>
        <w:rPr>
          <w:rStyle w:val="VerbatimChar"/>
        </w:rPr>
        <w:t xml:space="preserve">Top 1 / Order By</w:t>
      </w:r>
      <w:r>
        <w:t xml:space="preserve"> </w:t>
      </w:r>
      <w:r>
        <w:t xml:space="preserve">subquery (line 115)</w:t>
      </w:r>
      <w:bookmarkEnd w:id="28"/>
    </w:p>
    <w:p>
      <w:pPr>
        <w:pStyle w:val="SourceCode"/>
      </w:pPr>
      <w:r>
        <w:rPr>
          <w:rStyle w:val="ControlFlowTok"/>
        </w:rPr>
        <w:t xml:space="preserve">If</w:t>
      </w:r>
      <w:r>
        <w:rPr>
          <w:rStyle w:val="NormalTok"/>
        </w:rPr>
        <w:t xml:space="preserve"> </w:t>
      </w:r>
      <w:r>
        <w:rPr>
          <w:rStyle w:val="KeywordTok"/>
        </w:rPr>
        <w:t xml:space="preserve">Exists</w:t>
      </w:r>
      <w:r>
        <w:rPr>
          <w:rStyle w:val="NormalTok"/>
        </w:rPr>
        <w:t xml:space="preserve"> (</w:t>
      </w:r>
      <w:r>
        <w:br/>
      </w:r>
      <w:r>
        <w:rPr>
          <w:rStyle w:val="NormalTok"/>
        </w:rPr>
        <w:t xml:space="preserve">    </w:t>
      </w:r>
      <w:r>
        <w:rPr>
          <w:rStyle w:val="KeywordTok"/>
        </w:rPr>
        <w:t xml:space="preserve">Select</w:t>
      </w:r>
      <w:r>
        <w:rPr>
          <w:rStyle w:val="NormalTok"/>
        </w:rPr>
        <w:t xml:space="preserve"> SupplyNum </w:t>
      </w:r>
      <w:r>
        <w:rPr>
          <w:rStyle w:val="KeywordTok"/>
        </w:rPr>
        <w:t xml:space="preserve">From</w:t>
      </w:r>
      <w:r>
        <w:rPr>
          <w:rStyle w:val="NormalTok"/>
        </w:rPr>
        <w:t xml:space="preserve"> RbtVialSupply </w:t>
      </w:r>
      <w:r>
        <w:rPr>
          <w:rStyle w:val="KeywordTok"/>
        </w:rPr>
        <w:t xml:space="preserve">With</w:t>
      </w:r>
      <w:r>
        <w:rPr>
          <w:rStyle w:val="NormalTok"/>
        </w:rPr>
        <w:t xml:space="preserve"> (NOLOCK)</w:t>
      </w:r>
      <w:r>
        <w:br/>
      </w:r>
      <w:r>
        <w:rPr>
          <w:rStyle w:val="NormalTok"/>
        </w:rPr>
        <w:t xml:space="preserve">    </w:t>
      </w:r>
      <w:r>
        <w:rPr>
          <w:rStyle w:val="KeywordTok"/>
        </w:rPr>
        <w:t xml:space="preserve">Where</w:t>
      </w:r>
      <w:r>
        <w:rPr>
          <w:rStyle w:val="NormalTok"/>
        </w:rPr>
        <w:t xml:space="preserve"> StatusId </w:t>
      </w:r>
      <w:r>
        <w:rPr>
          <w:rStyle w:val="KeywordTok"/>
        </w:rPr>
        <w:t xml:space="preserve">In</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AddrBank </w:t>
      </w:r>
      <w:r>
        <w:rPr>
          <w:rStyle w:val="OperatorTok"/>
        </w:rPr>
        <w:t xml:space="preserve">=</w:t>
      </w:r>
      <w:r>
        <w:rPr>
          <w:rStyle w:val="NormalTok"/>
        </w:rPr>
        <w:t xml:space="preserve"> @AddrBank</w:t>
      </w:r>
      <w:r>
        <w:br/>
      </w:r>
      <w:r>
        <w:rPr>
          <w:rStyle w:val="NormalTok"/>
        </w:rPr>
        <w:t xml:space="preserve">      </w:t>
      </w:r>
      <w:r>
        <w:rPr>
          <w:rStyle w:val="KeywordTok"/>
        </w:rPr>
        <w:t xml:space="preserve">And</w:t>
      </w:r>
      <w:r>
        <w:rPr>
          <w:rStyle w:val="NormalTok"/>
        </w:rPr>
        <w:t xml:space="preserve"> SupplyNum </w:t>
      </w:r>
      <w:r>
        <w:rPr>
          <w:rStyle w:val="OperatorTok"/>
        </w:rPr>
        <w:t xml:space="preserve">=</w:t>
      </w:r>
      <w:r>
        <w:rPr>
          <w:rStyle w:val="NormalTok"/>
        </w:rPr>
        <w:t xml:space="preserve"> (</w:t>
      </w:r>
      <w:r>
        <w:br/>
      </w:r>
      <w:r>
        <w:rPr>
          <w:rStyle w:val="NormalTok"/>
        </w:rPr>
        <w:t xml:space="preserve">            </w:t>
      </w:r>
      <w:r>
        <w:rPr>
          <w:rStyle w:val="KeywordTok"/>
        </w:rPr>
        <w:t xml:space="preserve">Select</w:t>
      </w:r>
      <w:r>
        <w:rPr>
          <w:rStyle w:val="NormalTok"/>
        </w:rPr>
        <w:t xml:space="preserve"> Top </w:t>
      </w:r>
      <w:r>
        <w:rPr>
          <w:rStyle w:val="DecValTok"/>
        </w:rPr>
        <w:t xml:space="preserve">1</w:t>
      </w:r>
      <w:r>
        <w:rPr>
          <w:rStyle w:val="NormalTok"/>
        </w:rPr>
        <w:t xml:space="preserve"> SupplyNum </w:t>
      </w:r>
      <w:r>
        <w:rPr>
          <w:rStyle w:val="KeywordTok"/>
        </w:rPr>
        <w:t xml:space="preserve">From</w:t>
      </w:r>
      <w:r>
        <w:rPr>
          <w:rStyle w:val="NormalTok"/>
        </w:rPr>
        <w:t xml:space="preserve"> RbtVialSupply </w:t>
      </w:r>
      <w:r>
        <w:rPr>
          <w:rStyle w:val="KeywordTok"/>
        </w:rPr>
        <w:t xml:space="preserve">With</w:t>
      </w:r>
      <w:r>
        <w:rPr>
          <w:rStyle w:val="NormalTok"/>
        </w:rPr>
        <w:t xml:space="preserve"> (NOLOCK)</w:t>
      </w:r>
      <w:r>
        <w:br/>
      </w:r>
      <w:r>
        <w:rPr>
          <w:rStyle w:val="NormalTok"/>
        </w:rPr>
        <w:t xml:space="preserve">            </w:t>
      </w:r>
      <w:r>
        <w:rPr>
          <w:rStyle w:val="KeywordTok"/>
        </w:rPr>
        <w:t xml:space="preserve">Where</w:t>
      </w:r>
      <w:r>
        <w:rPr>
          <w:rStyle w:val="NormalTok"/>
        </w:rPr>
        <w:t xml:space="preserve"> AddrBank </w:t>
      </w:r>
      <w:r>
        <w:rPr>
          <w:rStyle w:val="OperatorTok"/>
        </w:rPr>
        <w:t xml:space="preserve">=</w:t>
      </w:r>
      <w:r>
        <w:rPr>
          <w:rStyle w:val="NormalTok"/>
        </w:rPr>
        <w:t xml:space="preserve"> @AddrBank</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StoredVialSizeDrams </w:t>
      </w:r>
      <w:r>
        <w:rPr>
          <w:rStyle w:val="KeywordTok"/>
        </w:rPr>
        <w:t xml:space="preserve">Desc</w:t>
      </w:r>
      <w:r>
        <w:rPr>
          <w:rStyle w:val="NormalTok"/>
        </w:rPr>
        <w:t xml:space="preserve">))</w:t>
      </w:r>
    </w:p>
    <w:p>
      <w:pPr>
        <w:pStyle w:val="FirstParagraph"/>
      </w:pPr>
      <w:r>
        <w:t xml:space="preserve">The intent is</w:t>
      </w:r>
      <w:r>
        <w:t xml:space="preserve"> </w:t>
      </w:r>
      <w:r>
        <w:t xml:space="preserve">“</w:t>
      </w:r>
      <w:r>
        <w:t xml:space="preserve">is the largest-size vial currently available in this bank?</w:t>
      </w:r>
      <w:r>
        <w:t xml:space="preserve">”</w:t>
      </w:r>
      <w:r>
        <w:t xml:space="preserve"> </w:t>
      </w:r>
      <w:r>
        <w:t xml:space="preserve">The implementation makes two passes against</w:t>
      </w:r>
      <w:r>
        <w:t xml:space="preserve"> </w:t>
      </w:r>
      <w:r>
        <w:rPr>
          <w:rStyle w:val="VerbatimChar"/>
        </w:rPr>
        <w:t xml:space="preserve">RbtVialSupply</w:t>
      </w:r>
      <w:r>
        <w:t xml:space="preserve">:</w:t>
      </w:r>
    </w:p>
    <w:p>
      <w:pPr>
        <w:numPr>
          <w:ilvl w:val="0"/>
          <w:numId w:val="1004"/>
        </w:numPr>
        <w:pStyle w:val="Compact"/>
      </w:pPr>
      <w:r>
        <w:t xml:space="preserve">The inner</w:t>
      </w:r>
      <w:r>
        <w:t xml:space="preserve"> </w:t>
      </w:r>
      <w:r>
        <w:rPr>
          <w:rStyle w:val="VerbatimChar"/>
        </w:rPr>
        <w:t xml:space="preserve">Top 1 ... Order By StoredVialSizeDrams Desc</w:t>
      </w:r>
      <w:r>
        <w:t xml:space="preserve"> </w:t>
      </w:r>
      <w:r>
        <w:t xml:space="preserve">pulls the</w:t>
      </w:r>
      <w:r>
        <w:t xml:space="preserve"> </w:t>
      </w:r>
      <w:r>
        <w:rPr>
          <w:rStyle w:val="VerbatimChar"/>
        </w:rPr>
        <w:t xml:space="preserve">SupplyNum</w:t>
      </w:r>
      <w:r>
        <w:t xml:space="preserve"> </w:t>
      </w:r>
      <w:r>
        <w:t xml:space="preserve">of the largest vial in the bank (one pass, with a sort if no covering index exists on</w:t>
      </w:r>
      <w:r>
        <w:t xml:space="preserve"> </w:t>
      </w:r>
      <w:r>
        <w:rPr>
          <w:rStyle w:val="VerbatimChar"/>
        </w:rPr>
        <w:t xml:space="preserve">StoredVialSizeDrams</w:t>
      </w:r>
      <w:r>
        <w:t xml:space="preserve">).</w:t>
      </w:r>
    </w:p>
    <w:p>
      <w:pPr>
        <w:numPr>
          <w:ilvl w:val="0"/>
          <w:numId w:val="1004"/>
        </w:numPr>
        <w:pStyle w:val="Compact"/>
      </w:pPr>
      <w:r>
        <w:t xml:space="preserve">The outer</w:t>
      </w:r>
      <w:r>
        <w:t xml:space="preserve"> </w:t>
      </w:r>
      <w:r>
        <w:rPr>
          <w:rStyle w:val="VerbatimChar"/>
        </w:rPr>
        <w:t xml:space="preserve">If Exists</w:t>
      </w:r>
      <w:r>
        <w:t xml:space="preserve"> </w:t>
      </w:r>
      <w:r>
        <w:t xml:space="preserve">then checks whether that</w:t>
      </w:r>
      <w:r>
        <w:t xml:space="preserve"> </w:t>
      </w:r>
      <w:r>
        <w:rPr>
          <w:rStyle w:val="VerbatimChar"/>
        </w:rPr>
        <w:t xml:space="preserve">SupplyNum</w:t>
      </w:r>
      <w:r>
        <w:t xml:space="preserve"> </w:t>
      </w:r>
      <w:r>
        <w:t xml:space="preserve">is in available status</w:t>
      </w:r>
      <w:r>
        <w:t xml:space="preserve"> </w:t>
      </w:r>
      <w:r>
        <w:rPr>
          <w:rStyle w:val="VerbatimChar"/>
        </w:rPr>
        <w:t xml:space="preserve">(0, 1)</w:t>
      </w:r>
      <w:r>
        <w:t xml:space="preserve"> </w:t>
      </w:r>
      <w:r>
        <w:t xml:space="preserve">(a second pass).</w:t>
      </w:r>
    </w:p>
    <w:p>
      <w:pPr>
        <w:pStyle w:val="FirstParagraph"/>
      </w:pPr>
      <w:r>
        <w:t xml:space="preserve">The redundancy is the pattern the tracking sheet calls out as</w:t>
      </w:r>
      <w:r>
        <w:t xml:space="preserve"> </w:t>
      </w:r>
      <w:r>
        <w:t xml:space="preserve">“</w:t>
      </w:r>
      <w:r>
        <w:t xml:space="preserve">redundant subquery in EXISTS check.</w:t>
      </w:r>
      <w:r>
        <w:t xml:space="preserve">”</w:t>
      </w:r>
      <w:r>
        <w:t xml:space="preserve"> </w:t>
      </w:r>
      <w:r>
        <w:t xml:space="preserve">The same answer is computable in one pass via conditional aggregation: compare</w:t>
      </w:r>
      <w:r>
        <w:t xml:space="preserve"> </w:t>
      </w:r>
      <w:r>
        <w:rPr>
          <w:rStyle w:val="VerbatimChar"/>
        </w:rPr>
        <w:t xml:space="preserve">Max(StoredVialSizeDrams)</w:t>
      </w:r>
      <w:r>
        <w:t xml:space="preserve"> </w:t>
      </w:r>
      <w:r>
        <w:t xml:space="preserve">against</w:t>
      </w:r>
      <w:r>
        <w:t xml:space="preserve"> </w:t>
      </w:r>
      <w:r>
        <w:rPr>
          <w:rStyle w:val="VerbatimChar"/>
        </w:rPr>
        <w:t xml:space="preserve">Max(StoredVialSizeDrams)</w:t>
      </w:r>
      <w:r>
        <w:t xml:space="preserve"> </w:t>
      </w:r>
      <w:r>
        <w:t xml:space="preserve">filtered to available status, and check whether the two are equal.</w:t>
      </w:r>
    </w:p>
    <w:p>
      <w:pPr>
        <w:pStyle w:val="Heading3"/>
      </w:pPr>
      <w:bookmarkStart w:id="29" w:name="Xab22a33e86c729a0ba77189425d64f59a37f822"/>
      <w:r>
        <w:t xml:space="preserve">4.3 Heap temp table with</w:t>
      </w:r>
      <w:r>
        <w:t xml:space="preserve"> </w:t>
      </w:r>
      <w:r>
        <w:rPr>
          <w:rStyle w:val="VerbatimChar"/>
        </w:rPr>
        <w:t xml:space="preserve">Order By</w:t>
      </w:r>
      <w:r>
        <w:t xml:space="preserve"> </w:t>
      </w:r>
      <w:r>
        <w:t xml:space="preserve">on uncovered columns (lines 187 to 206)</w:t>
      </w:r>
      <w:bookmarkEnd w:id="29"/>
    </w:p>
    <w:p>
      <w:pPr>
        <w:pStyle w:val="SourceCode"/>
      </w:pPr>
      <w:r>
        <w:rPr>
          <w:rStyle w:val="KeywordTok"/>
        </w:rPr>
        <w:t xml:space="preserve">Drop</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Exists</w:t>
      </w:r>
      <w:r>
        <w:rPr>
          <w:rStyle w:val="NormalTok"/>
        </w:rPr>
        <w:t xml:space="preserve"> #temp_table2</w:t>
      </w:r>
      <w:r>
        <w:br/>
      </w:r>
      <w:r>
        <w:rPr>
          <w:rStyle w:val="KeywordTok"/>
        </w:rPr>
        <w:t xml:space="preserve">Create</w:t>
      </w:r>
      <w:r>
        <w:rPr>
          <w:rStyle w:val="NormalTok"/>
        </w:rPr>
        <w:t xml:space="preserve"> </w:t>
      </w:r>
      <w:r>
        <w:rPr>
          <w:rStyle w:val="KeywordTok"/>
        </w:rPr>
        <w:t xml:space="preserve">Table</w:t>
      </w:r>
      <w:r>
        <w:rPr>
          <w:rStyle w:val="NormalTok"/>
        </w:rPr>
        <w:t xml:space="preserve"> #temp_table2 (</w:t>
      </w:r>
      <w:r>
        <w:br/>
      </w:r>
      <w:r>
        <w:rPr>
          <w:rStyle w:val="NormalTok"/>
        </w:rPr>
        <w:t xml:space="preserve">   OrderId </w:t>
      </w:r>
      <w:r>
        <w:rPr>
          <w:rStyle w:val="DataTypeTok"/>
        </w:rPr>
        <w:t xml:space="preserve">VarChar</w:t>
      </w:r>
      <w:r>
        <w:rPr>
          <w:rStyle w:val="NormalTok"/>
        </w:rPr>
        <w:t xml:space="preserve">(</w:t>
      </w:r>
      <w:r>
        <w:rPr>
          <w:rStyle w:val="DecValTok"/>
        </w:rPr>
        <w:t xml:space="preserve">30</w:t>
      </w:r>
      <w:r>
        <w:rPr>
          <w:rStyle w:val="NormalTok"/>
        </w:rPr>
        <w:t xml:space="preserve">), ProductId </w:t>
      </w:r>
      <w:r>
        <w:rPr>
          <w:rStyle w:val="DataTypeTok"/>
        </w:rPr>
        <w:t xml:space="preserve">VarChar</w:t>
      </w:r>
      <w:r>
        <w:rPr>
          <w:rStyle w:val="NormalTok"/>
        </w:rPr>
        <w:t xml:space="preserve">(</w:t>
      </w:r>
      <w:r>
        <w:rPr>
          <w:rStyle w:val="DecValTok"/>
        </w:rPr>
        <w:t xml:space="preserve">20</w:t>
      </w:r>
      <w:r>
        <w:rPr>
          <w:rStyle w:val="NormalTok"/>
        </w:rPr>
        <w:t xml:space="preserve">), </w:t>
      </w:r>
      <w:r>
        <w:rPr>
          <w:rStyle w:val="OperatorTok"/>
        </w:rPr>
        <w:t xml:space="preserve">..</w:t>
      </w:r>
      <w:r>
        <w:rPr>
          <w:rStyle w:val="NormalTok"/>
        </w:rPr>
        <w:t xml:space="preserve">.</w:t>
      </w:r>
      <w:r>
        <w:br/>
      </w:r>
      <w:r>
        <w:rPr>
          <w:rStyle w:val="NormalTok"/>
        </w:rPr>
        <w:t xml:space="preserve">   ActOnAsPriInternal </w:t>
      </w:r>
      <w:r>
        <w:rPr>
          <w:rStyle w:val="DataTypeTok"/>
        </w:rPr>
        <w:t xml:space="preserve">VarChar</w:t>
      </w:r>
      <w:r>
        <w:rPr>
          <w:rStyle w:val="NormalTok"/>
        </w:rPr>
        <w:t xml:space="preserve">(</w:t>
      </w:r>
      <w:r>
        <w:rPr>
          <w:rStyle w:val="DecValTok"/>
        </w:rPr>
        <w:t xml:space="preserve">40</w:t>
      </w:r>
      <w:r>
        <w:rPr>
          <w:rStyle w:val="NormalTok"/>
        </w:rPr>
        <w:t xml:space="preserve">), PriInternal </w:t>
      </w:r>
      <w:r>
        <w:rPr>
          <w:rStyle w:val="DataTypeTok"/>
        </w:rPr>
        <w:t xml:space="preserve">VarChar</w:t>
      </w:r>
      <w:r>
        <w:rPr>
          <w:rStyle w:val="NormalTok"/>
        </w:rPr>
        <w:t xml:space="preserve">(</w:t>
      </w:r>
      <w:r>
        <w:rPr>
          <w:rStyle w:val="DecValTok"/>
        </w:rPr>
        <w:t xml:space="preserve">40</w:t>
      </w:r>
      <w:r>
        <w:rPr>
          <w:rStyle w:val="NormalTok"/>
        </w:rPr>
        <w:t xml:space="preserve">)</w:t>
      </w:r>
      <w:r>
        <w:br/>
      </w:r>
      <w:r>
        <w:rPr>
          <w:rStyle w:val="NormalTok"/>
        </w:rPr>
        <w:t xml:space="preserve">)</w:t>
      </w:r>
      <w:r>
        <w:br/>
      </w:r>
      <w:r>
        <w:rPr>
          <w:rStyle w:val="KeywordTok"/>
        </w:rPr>
        <w:t xml:space="preserve">Insert</w:t>
      </w:r>
      <w:r>
        <w:rPr>
          <w:rStyle w:val="NormalTok"/>
        </w:rPr>
        <w:t xml:space="preserve"> </w:t>
      </w:r>
      <w:r>
        <w:rPr>
          <w:rStyle w:val="KeywordTok"/>
        </w:rPr>
        <w:t xml:space="preserve">Into</w:t>
      </w:r>
      <w:r>
        <w:rPr>
          <w:rStyle w:val="NormalTok"/>
        </w:rPr>
        <w:t xml:space="preserve"> #temp_table2 </w:t>
      </w:r>
      <w:r>
        <w:rPr>
          <w:rStyle w:val="KeywordTok"/>
        </w:rPr>
        <w:t xml:space="preserve">Exec</w:t>
      </w:r>
      <w:r>
        <w:rPr>
          <w:rStyle w:val="NormalTok"/>
        </w:rPr>
        <w:t xml:space="preserve"> lsp_OrdGetReadyForDispenseRxsInBank @AddrBank, </w:t>
      </w:r>
      <w:r>
        <w:rPr>
          <w:rStyle w:val="DecValTok"/>
        </w:rPr>
        <w:t xml:space="preserve">0</w:t>
      </w:r>
      <w:r>
        <w:br/>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#temp_table2 </w:t>
      </w:r>
      <w:r>
        <w:rPr>
          <w:rStyle w:val="KeywordTok"/>
        </w:rPr>
        <w:t xml:space="preserve">With</w:t>
      </w:r>
      <w:r>
        <w:rPr>
          <w:rStyle w:val="NormalTok"/>
        </w:rPr>
        <w:t xml:space="preserve"> (NOLOCK) </w:t>
      </w:r>
      <w:r>
        <w:rPr>
          <w:rStyle w:val="KeywordTok"/>
        </w:rPr>
        <w:t xml:space="preserve">Order</w:t>
      </w:r>
      <w:r>
        <w:rPr>
          <w:rStyle w:val="NormalTok"/>
        </w:rPr>
        <w:t xml:space="preserve"> </w:t>
      </w:r>
      <w:r>
        <w:rPr>
          <w:rStyle w:val="KeywordTok"/>
        </w:rPr>
        <w:t xml:space="preserve">By</w:t>
      </w:r>
      <w:r>
        <w:rPr>
          <w:rStyle w:val="NormalTok"/>
        </w:rPr>
        <w:t xml:space="preserve"> ActOnAsPriInternal, PriInternal</w:t>
      </w:r>
    </w:p>
    <w:p>
      <w:pPr>
        <w:pStyle w:val="FirstParagraph"/>
      </w:pPr>
      <w:r>
        <w:t xml:space="preserve">Two issues compound here:</w:t>
      </w:r>
    </w:p>
    <w:p>
      <w:pPr>
        <w:numPr>
          <w:ilvl w:val="0"/>
          <w:numId w:val="1005"/>
        </w:numPr>
        <w:pStyle w:val="Compact"/>
      </w:pPr>
      <w:r>
        <w:t xml:space="preserve">The temp table is a heap. Reading it with</w:t>
      </w:r>
      <w:r>
        <w:t xml:space="preserve"> </w:t>
      </w:r>
      <w:r>
        <w:rPr>
          <w:rStyle w:val="VerbatimChar"/>
        </w:rPr>
        <w:t xml:space="preserve">Order By ActOnAsPriInternal, PriInternal</w:t>
      </w:r>
      <w:r>
        <w:t xml:space="preserve"> </w:t>
      </w:r>
      <w:r>
        <w:t xml:space="preserve">requires a Sort operator at read time. For small inputs the sort is cheap; for inputs in the hundreds or low thousands the sort starts to register in CPU and tempdb memory grant.</w:t>
      </w:r>
    </w:p>
    <w:p>
      <w:pPr>
        <w:numPr>
          <w:ilvl w:val="0"/>
          <w:numId w:val="1005"/>
        </w:numPr>
        <w:pStyle w:val="Compact"/>
      </w:pPr>
      <w:r>
        <w:t xml:space="preserve">Without a clustered index, the optimizer has only a single auto-stat per queried column at most, and the Sort spills risk grows with input size. There is no cardinality leverage available from a clustered key.</w:t>
      </w:r>
    </w:p>
    <w:p>
      <w:pPr>
        <w:pStyle w:val="FirstParagraph"/>
      </w:pPr>
      <w:r>
        <w:t xml:space="preserve">The fix is to declare the temp table with a clustered primary key on</w:t>
      </w:r>
      <w:r>
        <w:t xml:space="preserve"> </w:t>
      </w:r>
      <w:r>
        <w:rPr>
          <w:rStyle w:val="VerbatimChar"/>
        </w:rPr>
        <w:t xml:space="preserve">(ActOnAsPriInternal, PriInternal)</w:t>
      </w:r>
      <w:r>
        <w:t xml:space="preserve">. That maintains insertion order to match the read-time</w:t>
      </w:r>
      <w:r>
        <w:t xml:space="preserve"> </w:t>
      </w:r>
      <w:r>
        <w:rPr>
          <w:rStyle w:val="VerbatimChar"/>
        </w:rPr>
        <w:t xml:space="preserve">Order By</w:t>
      </w:r>
      <w:r>
        <w:t xml:space="preserve"> </w:t>
      </w:r>
      <w:r>
        <w:t xml:space="preserve">(eliminating the sort), gives the optimizer auto-statistics on the keyed columns, and makes the read a no-cost ordered scan of the clustered structure. See [[Table Variables vs Temp Tables]] for the underlying principle.</w:t>
      </w:r>
    </w:p>
    <w:p>
      <w:pPr>
        <w:pStyle w:val="Heading3"/>
      </w:pPr>
      <w:bookmarkStart w:id="30" w:name="select-from-temp_table2-line-206"/>
      <w:r>
        <w:t xml:space="preserve">4.4</w:t>
      </w:r>
      <w:r>
        <w:t xml:space="preserve"> </w:t>
      </w:r>
      <w:r>
        <w:rPr>
          <w:rStyle w:val="VerbatimChar"/>
        </w:rPr>
        <w:t xml:space="preserve">Select * From #temp_table2</w:t>
      </w:r>
      <w:r>
        <w:t xml:space="preserve"> </w:t>
      </w:r>
      <w:r>
        <w:t xml:space="preserve">(line 206)</w:t>
      </w:r>
      <w:bookmarkEnd w:id="30"/>
    </w:p>
    <w:p>
      <w:pPr>
        <w:pStyle w:val="SourceCode"/>
      </w:pP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#temp_table2 </w:t>
      </w:r>
      <w:r>
        <w:rPr>
          <w:rStyle w:val="KeywordTok"/>
        </w:rPr>
        <w:t xml:space="preserve">With</w:t>
      </w:r>
      <w:r>
        <w:rPr>
          <w:rStyle w:val="NormalTok"/>
        </w:rPr>
        <w:t xml:space="preserve"> (NOLOCK) </w:t>
      </w:r>
      <w:r>
        <w:rPr>
          <w:rStyle w:val="KeywordTok"/>
        </w:rPr>
        <w:t xml:space="preserve">Order</w:t>
      </w:r>
      <w:r>
        <w:rPr>
          <w:rStyle w:val="NormalTok"/>
        </w:rPr>
        <w:t xml:space="preserve"> </w:t>
      </w:r>
      <w:r>
        <w:rPr>
          <w:rStyle w:val="KeywordTok"/>
        </w:rPr>
        <w:t xml:space="preserve">By</w:t>
      </w:r>
      <w:r>
        <w:rPr>
          <w:rStyle w:val="NormalTok"/>
        </w:rPr>
        <w:t xml:space="preserve"> ActOnAsPriInternal, PriInternal</w:t>
      </w:r>
    </w:p>
    <w:p>
      <w:pPr>
        <w:pStyle w:val="FirstParagraph"/>
      </w:pPr>
      <w:r>
        <w:t xml:space="preserve">The</w:t>
      </w:r>
      <w:r>
        <w:t xml:space="preserve"> </w:t>
      </w:r>
      <w:r>
        <w:rPr>
          <w:rStyle w:val="VerbatimChar"/>
        </w:rPr>
        <w:t xml:space="preserve">Select *</w:t>
      </w:r>
      <w:r>
        <w:t xml:space="preserve"> </w:t>
      </w:r>
      <w:r>
        <w:t xml:space="preserve">expands at bind time to the column list of</w:t>
      </w:r>
      <w:r>
        <w:t xml:space="preserve"> </w:t>
      </w:r>
      <w:r>
        <w:rPr>
          <w:rStyle w:val="VerbatimChar"/>
        </w:rPr>
        <w:t xml:space="preserve">#temp_table2</w:t>
      </w:r>
      <w:r>
        <w:t xml:space="preserve">. Because</w:t>
      </w:r>
      <w:r>
        <w:t xml:space="preserve"> </w:t>
      </w:r>
      <w:r>
        <w:rPr>
          <w:rStyle w:val="VerbatimChar"/>
        </w:rPr>
        <w:t xml:space="preserve">#temp_table2</w:t>
      </w:r>
      <w:r>
        <w:t xml:space="preserve"> </w:t>
      </w:r>
      <w:r>
        <w:t xml:space="preserve">is declared inside the proc, the binding is stable across executions, so the runtime cost is unchanged. The issues are upstream of runtime:</w:t>
      </w:r>
    </w:p>
    <w:p>
      <w:pPr>
        <w:numPr>
          <w:ilvl w:val="0"/>
          <w:numId w:val="1006"/>
        </w:numPr>
        <w:pStyle w:val="Compact"/>
      </w:pPr>
      <w:r>
        <w:t xml:space="preserve">If</w:t>
      </w:r>
      <w:r>
        <w:t xml:space="preserve"> </w:t>
      </w:r>
      <w:r>
        <w:rPr>
          <w:rStyle w:val="VerbatimChar"/>
        </w:rPr>
        <w:t xml:space="preserve">lsp_OrdGetReadyForDispenseRxsInBank</w:t>
      </w:r>
      <w:r>
        <w:t xml:space="preserve"> </w:t>
      </w:r>
      <w:r>
        <w:t xml:space="preserve">ever returns a different column set, this proc’s caller contract drifts silently. The explicit column list in v11 documents and pins the contract.</w:t>
      </w:r>
    </w:p>
    <w:p>
      <w:pPr>
        <w:numPr>
          <w:ilvl w:val="0"/>
          <w:numId w:val="1006"/>
        </w:numPr>
        <w:pStyle w:val="Compact"/>
      </w:pPr>
      <w:r>
        <w:rPr>
          <w:rStyle w:val="VerbatimChar"/>
        </w:rPr>
        <w:t xml:space="preserve">Select *</w:t>
      </w:r>
      <w:r>
        <w:t xml:space="preserve"> </w:t>
      </w:r>
      <w:r>
        <w:t xml:space="preserve">against a temp table populated by</w:t>
      </w:r>
      <w:r>
        <w:t xml:space="preserve"> </w:t>
      </w:r>
      <w:r>
        <w:rPr>
          <w:rStyle w:val="VerbatimChar"/>
        </w:rPr>
        <w:t xml:space="preserve">Insert ... Exec</w:t>
      </w:r>
      <w:r>
        <w:t xml:space="preserve"> </w:t>
      </w:r>
      <w:r>
        <w:t xml:space="preserve">is only safe when the temp-table column shape matches the called proc’s</w:t>
      </w:r>
      <w:r>
        <w:t xml:space="preserve"> </w:t>
      </w:r>
      <w:r>
        <w:rPr>
          <w:rStyle w:val="VerbatimChar"/>
        </w:rPr>
        <w:t xml:space="preserve">Select</w:t>
      </w:r>
      <w:r>
        <w:t xml:space="preserve"> </w:t>
      </w:r>
      <w:r>
        <w:t xml:space="preserve">column shape exactly. Today it does. Pinning the column list in both the</w:t>
      </w:r>
      <w:r>
        <w:t xml:space="preserve"> </w:t>
      </w:r>
      <w:r>
        <w:rPr>
          <w:rStyle w:val="VerbatimChar"/>
        </w:rPr>
        <w:t xml:space="preserve">Insert</w:t>
      </w:r>
      <w:r>
        <w:t xml:space="preserve"> </w:t>
      </w:r>
      <w:r>
        <w:t xml:space="preserve">and the</w:t>
      </w:r>
      <w:r>
        <w:t xml:space="preserve"> </w:t>
      </w:r>
      <w:r>
        <w:rPr>
          <w:rStyle w:val="VerbatimChar"/>
        </w:rPr>
        <w:t xml:space="preserve">Select</w:t>
      </w:r>
      <w:r>
        <w:t xml:space="preserve"> </w:t>
      </w:r>
      <w:r>
        <w:t xml:space="preserve">makes the binding explicit on both ends.</w:t>
      </w:r>
    </w:p>
    <w:p>
      <w:pPr>
        <w:pStyle w:val="Heading3"/>
      </w:pPr>
      <w:bookmarkStart w:id="31" w:name="X225df48287f1ed4f644a84eed87fc327f672c98"/>
      <w:r>
        <w:t xml:space="preserve">4.5 Inconsistent capitalization on</w:t>
      </w:r>
      <w:r>
        <w:t xml:space="preserve"> </w:t>
      </w:r>
      <w:r>
        <w:rPr>
          <w:rStyle w:val="VerbatimChar"/>
        </w:rPr>
        <w:t xml:space="preserve">WITH (NOLOCK)</w:t>
      </w:r>
      <w:r>
        <w:t xml:space="preserve"> </w:t>
      </w:r>
      <w:r>
        <w:t xml:space="preserve">and inline whitespace (multiple lines)</w:t>
      </w:r>
      <w:bookmarkEnd w:id="31"/>
    </w:p>
    <w:p>
      <w:pPr>
        <w:pStyle w:val="FirstParagraph"/>
      </w:pPr>
      <w:r>
        <w:t xml:space="preserve">A purely cosmetic issue. The proc mixes</w:t>
      </w:r>
      <w:r>
        <w:t xml:space="preserve"> </w:t>
      </w:r>
      <w:r>
        <w:rPr>
          <w:rStyle w:val="VerbatimChar"/>
        </w:rPr>
        <w:t xml:space="preserve">With (NOLOCK)</w:t>
      </w:r>
      <w:r>
        <w:t xml:space="preserve">,</w:t>
      </w:r>
      <w:r>
        <w:t xml:space="preserve"> </w:t>
      </w:r>
      <w:r>
        <w:rPr>
          <w:rStyle w:val="VerbatimChar"/>
        </w:rPr>
        <w:t xml:space="preserve">WITH (NOLOCK)</w:t>
      </w:r>
      <w:r>
        <w:t xml:space="preserve">, and</w:t>
      </w:r>
      <w:r>
        <w:t xml:space="preserve"> </w:t>
      </w:r>
      <w:r>
        <w:rPr>
          <w:rStyle w:val="VerbatimChar"/>
        </w:rPr>
        <w:t xml:space="preserve">With (NoLock)</w:t>
      </w:r>
      <w:r>
        <w:t xml:space="preserve">. Fixing this is below-the-fold cleanup; v11 standardizes on</w:t>
      </w:r>
      <w:r>
        <w:t xml:space="preserve"> </w:t>
      </w:r>
      <w:r>
        <w:rPr>
          <w:rStyle w:val="VerbatimChar"/>
        </w:rPr>
        <w:t xml:space="preserve">With (NOLOCK)</w:t>
      </w:r>
      <w:r>
        <w:t xml:space="preserve"> </w:t>
      </w:r>
      <w:r>
        <w:t xml:space="preserve">to match the dominant style in the file.</w:t>
      </w:r>
    </w:p>
    <w:p>
      <w:r>
        <w:pict>
          <v:rect style="width:0;height:1.5pt" o:hralign="center" o:hrstd="t" o:hr="t"/>
        </w:pict>
      </w:r>
    </w:p>
    <w:p>
      <w:pPr>
        <w:pStyle w:val="Heading2"/>
      </w:pPr>
      <w:bookmarkStart w:id="32" w:name="first-principles"/>
      <w:r>
        <w:t xml:space="preserve">5. First Principles</w:t>
      </w:r>
      <w:bookmarkEnd w:id="32"/>
    </w:p>
    <w:p>
      <w:pPr>
        <w:pStyle w:val="Heading3"/>
      </w:pPr>
      <w:bookmarkStart w:id="33" w:name="Xb28b949498819485dfe4b91f6e4341c3e48747e"/>
      <w:r>
        <w:t xml:space="preserve">5.1 Conditional Aggregation Consolidation (Flavor B)</w:t>
      </w:r>
      <w:bookmarkEnd w:id="33"/>
    </w:p>
    <w:p>
      <w:pPr>
        <w:pStyle w:val="FirstParagraph"/>
      </w:pPr>
      <w:r>
        <w:t xml:space="preserve">When a proc runs several</w:t>
      </w:r>
      <w:r>
        <w:t xml:space="preserve"> </w:t>
      </w:r>
      <w:r>
        <w:rPr>
          <w:rStyle w:val="VerbatimChar"/>
        </w:rPr>
        <w:t xml:space="preserve">Count(*)</w:t>
      </w:r>
      <w:r>
        <w:t xml:space="preserve"> </w:t>
      </w:r>
      <w:r>
        <w:t xml:space="preserve">(or similar) statements back to back and each lands in its own scalar variable, the per-statement overhead (compile, plan-cache slot, dispatch, result return) is paid N times even when the underlying work is logically one composite question. The fix is a single statement with a</w:t>
      </w:r>
      <w:r>
        <w:t xml:space="preserve"> </w:t>
      </w:r>
      <w:r>
        <w:rPr>
          <w:rStyle w:val="VerbatimChar"/>
        </w:rPr>
        <w:t xml:space="preserve">Sum(Case When ...)</w:t>
      </w:r>
      <w:r>
        <w:t xml:space="preserve"> </w:t>
      </w:r>
      <w:r>
        <w:t xml:space="preserve">per output bucket. When all the counts hit the same table, this is also a leaf-I/O win because the table is read once instead of N times (Flavor A). When the counts hit different tables that share a parameter, the leaf-I/O is unchanged but the per-statement overhead and plan-cache pressure drop (Flavor B).</w:t>
      </w:r>
    </w:p>
    <w:p>
      <w:pPr>
        <w:pStyle w:val="BodyText"/>
      </w:pPr>
      <w:r>
        <w:t xml:space="preserve">This proc’s three counts hit three different table sources, so v11’s consolidation is Flavor B. The honest framing: the savings are in dispatch, compile, and plan-cache slots, not in scan counts. See [[Conditional Aggregation Consolidation]] for the full pattern, the criteria for choosing between Flavor A and Flavor B, and the cases where consolidation is not appropriate.</w:t>
      </w:r>
    </w:p>
    <w:p>
      <w:pPr>
        <w:pStyle w:val="Heading3"/>
      </w:pPr>
      <w:bookmarkStart w:id="34" w:name="X28740274cefd8a53afd654a7531e2a09a9667b8"/>
      <w:r>
        <w:t xml:space="preserve">5.2 Single-Pass Existence-Plus-Filter (eliminating the redundant inner subquery)</w:t>
      </w:r>
      <w:bookmarkEnd w:id="34"/>
    </w:p>
    <w:p>
      <w:pPr>
        <w:pStyle w:val="FirstParagraph"/>
      </w:pPr>
      <w:r>
        <w:t xml:space="preserve">When an</w:t>
      </w:r>
      <w:r>
        <w:t xml:space="preserve"> </w:t>
      </w:r>
      <w:r>
        <w:rPr>
          <w:rStyle w:val="VerbatimChar"/>
        </w:rPr>
        <w:t xml:space="preserve">If Exists</w:t>
      </w:r>
      <w:r>
        <w:t xml:space="preserve"> </w:t>
      </w:r>
      <w:r>
        <w:t xml:space="preserve">predicate carries a correlated</w:t>
      </w:r>
      <w:r>
        <w:t xml:space="preserve"> </w:t>
      </w:r>
      <w:r>
        <w:rPr>
          <w:rStyle w:val="VerbatimChar"/>
        </w:rPr>
        <w:t xml:space="preserve">Top 1 / Order By</w:t>
      </w:r>
      <w:r>
        <w:t xml:space="preserve"> </w:t>
      </w:r>
      <w:r>
        <w:t xml:space="preserve">subquery against the same table, the engine reads the table twice: once to compute the inner ordering, once to evaluate the outer existence check. Most of these patterns can be rewritten as a single-pass aggregation that answers both questions at once.</w:t>
      </w:r>
    </w:p>
    <w:p>
      <w:pPr>
        <w:pStyle w:val="BodyText"/>
      </w:pPr>
      <w:r>
        <w:t xml:space="preserve">For</w:t>
      </w:r>
      <w:r>
        <w:t xml:space="preserve"> </w:t>
      </w:r>
      <w:r>
        <w:t xml:space="preserve">“</w:t>
      </w:r>
      <w:r>
        <w:t xml:space="preserve">is the largest-X record in available status?</w:t>
      </w:r>
      <w:r>
        <w:t xml:space="preserve">”</w:t>
      </w:r>
      <w:r>
        <w:t xml:space="preserve">, the pattern is:</w:t>
      </w:r>
    </w:p>
    <w:p>
      <w:pPr>
        <w:pStyle w:val="SourceCode"/>
      </w:pPr>
      <w:r>
        <w:rPr>
          <w:rStyle w:val="KeywordTok"/>
        </w:rPr>
        <w:t xml:space="preserve">Select</w:t>
      </w:r>
      <w:r>
        <w:rPr>
          <w:rStyle w:val="NormalTok"/>
        </w:rPr>
        <w:t xml:space="preserve"> @Available </w:t>
      </w:r>
      <w:r>
        <w:rPr>
          <w:rStyle w:val="OperatorTok"/>
        </w:rPr>
        <w:t xml:space="preserve">=</w:t>
      </w:r>
      <w:r>
        <w:br/>
      </w:r>
      <w:r>
        <w:rPr>
          <w:rStyle w:val="NormalTok"/>
        </w:rPr>
        <w:t xml:space="preserve">    </w:t>
      </w:r>
      <w:r>
        <w:rPr>
          <w:rStyle w:val="ControlFlowTok"/>
        </w:rPr>
        <w:t xml:space="preserve">Case</w:t>
      </w:r>
      <w:r>
        <w:br/>
      </w:r>
      <w:r>
        <w:rPr>
          <w:rStyle w:val="NormalTok"/>
        </w:rPr>
        <w:t xml:space="preserve">        </w:t>
      </w:r>
      <w:r>
        <w:rPr>
          <w:rStyle w:val="ControlFlowTok"/>
        </w:rPr>
        <w:t xml:space="preserve">When</w:t>
      </w:r>
      <w:r>
        <w:rPr>
          <w:rStyle w:val="NormalTok"/>
        </w:rPr>
        <w:t xml:space="preserve"> </w:t>
      </w:r>
      <w:r>
        <w:rPr>
          <w:rStyle w:val="FunctionTok"/>
        </w:rPr>
        <w:t xml:space="preserve">Max</w:t>
      </w:r>
      <w:r>
        <w:rPr>
          <w:rStyle w:val="NormalTok"/>
        </w:rPr>
        <w:t xml:space="preserve">(X) </w:t>
      </w:r>
      <w:r>
        <w:rPr>
          <w:rStyle w:val="KeywordTok"/>
        </w:rPr>
        <w:t xml:space="preserve">Is</w:t>
      </w:r>
      <w:r>
        <w:rPr>
          <w:rStyle w:val="NormalTok"/>
        </w:rPr>
        <w:t xml:space="preserve"> </w:t>
      </w:r>
      <w:r>
        <w:rPr>
          <w:rStyle w:val="KeywordTok"/>
        </w:rPr>
        <w:t xml:space="preserve">Null</w:t>
      </w:r>
      <w:r>
        <w:rPr>
          <w:rStyle w:val="NormalTok"/>
        </w:rPr>
        <w:t xml:space="preserve"> </w:t>
      </w:r>
      <w:r>
        <w:rPr>
          <w:rStyle w:val="ControlFlowTok"/>
        </w:rPr>
        <w:t xml:space="preserve">Then</w:t>
      </w:r>
      <w:r>
        <w:rPr>
          <w:rStyle w:val="NormalTok"/>
        </w:rPr>
        <w:t xml:space="preserve"> </w:t>
      </w:r>
      <w:r>
        <w:rPr>
          <w:rStyle w:val="DecValTok"/>
        </w:rPr>
        <w:t xml:space="preserve">0</w:t>
      </w:r>
      <w:r>
        <w:br/>
      </w:r>
      <w:r>
        <w:rPr>
          <w:rStyle w:val="NormalTok"/>
        </w:rPr>
        <w:t xml:space="preserve">        </w:t>
      </w:r>
      <w:r>
        <w:rPr>
          <w:rStyle w:val="ControlFlowTok"/>
        </w:rPr>
        <w:t xml:space="preserve">When</w:t>
      </w:r>
      <w:r>
        <w:rPr>
          <w:rStyle w:val="NormalTok"/>
        </w:rPr>
        <w:t xml:space="preserve"> </w:t>
      </w:r>
      <w:r>
        <w:rPr>
          <w:rStyle w:val="FunctionTok"/>
        </w:rPr>
        <w:t xml:space="preserve">Max</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Status </w:t>
      </w:r>
      <w:r>
        <w:rPr>
          <w:rStyle w:val="KeywordTok"/>
        </w:rPr>
        <w:t xml:space="preserve">In</w:t>
      </w:r>
      <w:r>
        <w:rPr>
          <w:rStyle w:val="NormalTok"/>
        </w:rPr>
        <w:t xml:space="preserve"> (Available) </w:t>
      </w:r>
      <w:r>
        <w:rPr>
          <w:rStyle w:val="ControlFlowTok"/>
        </w:rPr>
        <w:t xml:space="preserve">Then</w:t>
      </w:r>
      <w:r>
        <w:rPr>
          <w:rStyle w:val="NormalTok"/>
        </w:rPr>
        <w:t xml:space="preserve"> X </w:t>
      </w:r>
      <w:r>
        <w:rPr>
          <w:rStyle w:val="ControlFlowTok"/>
        </w:rPr>
        <w:t xml:space="preserve">End</w:t>
      </w:r>
      <w:r>
        <w:rPr>
          <w:rStyle w:val="NormalTok"/>
        </w:rPr>
        <w:t xml:space="preserve">) </w:t>
      </w:r>
      <w:r>
        <w:rPr>
          <w:rStyle w:val="OperatorTok"/>
        </w:rPr>
        <w:t xml:space="preserve">=</w:t>
      </w:r>
      <w:r>
        <w:rPr>
          <w:rStyle w:val="NormalTok"/>
        </w:rPr>
        <w:t xml:space="preserve"> </w:t>
      </w:r>
      <w:r>
        <w:rPr>
          <w:rStyle w:val="FunctionTok"/>
        </w:rPr>
        <w:t xml:space="preserve">Max</w:t>
      </w:r>
      <w:r>
        <w:rPr>
          <w:rStyle w:val="NormalTok"/>
        </w:rPr>
        <w:t xml:space="preserve">(X) </w:t>
      </w:r>
      <w:r>
        <w:rPr>
          <w:rStyle w:val="ControlFlowTok"/>
        </w:rPr>
        <w:t xml:space="preserve">Then</w:t>
      </w:r>
      <w:r>
        <w:rPr>
          <w:rStyle w:val="NormalTok"/>
        </w:rPr>
        <w:t xml:space="preserve"> </w:t>
      </w:r>
      <w:r>
        <w:rPr>
          <w:rStyle w:val="DecValTok"/>
        </w:rPr>
        <w:t xml:space="preserve">1</w:t>
      </w:r>
      <w:r>
        <w:br/>
      </w:r>
      <w:r>
        <w:rPr>
          <w:rStyle w:val="NormalTok"/>
        </w:rPr>
        <w:t xml:space="preserve">        </w:t>
      </w:r>
      <w:r>
        <w:rPr>
          <w:rStyle w:val="ControlFlowTok"/>
        </w:rPr>
        <w:t xml:space="preserve">Else</w:t>
      </w:r>
      <w:r>
        <w:rPr>
          <w:rStyle w:val="NormalTok"/>
        </w:rPr>
        <w:t xml:space="preserve"> </w:t>
      </w:r>
      <w:r>
        <w:rPr>
          <w:rStyle w:val="DecValTok"/>
        </w:rPr>
        <w:t xml:space="preserve">0</w:t>
      </w:r>
      <w:r>
        <w:br/>
      </w:r>
      <w:r>
        <w:rPr>
          <w:rStyle w:val="NormalTok"/>
        </w:rPr>
        <w:t xml:space="preserve">    </w:t>
      </w:r>
      <w:r>
        <w:rPr>
          <w:rStyle w:val="ControlFlowTok"/>
        </w:rPr>
        <w:t xml:space="preserve">End</w:t>
      </w:r>
      <w:r>
        <w:br/>
      </w:r>
      <w:r>
        <w:rPr>
          <w:rStyle w:val="KeywordTok"/>
        </w:rPr>
        <w:t xml:space="preserve">From</w:t>
      </w:r>
      <w:r>
        <w:rPr>
          <w:rStyle w:val="NormalTok"/>
        </w:rPr>
        <w:t xml:space="preserve"> </w:t>
      </w:r>
      <w:r>
        <w:rPr>
          <w:rStyle w:val="KeywordTok"/>
        </w:rPr>
        <w:t xml:space="preserve">Table</w:t>
      </w:r>
      <w:r>
        <w:rPr>
          <w:rStyle w:val="NormalTok"/>
        </w:rPr>
        <w:t xml:space="preserve"> </w:t>
      </w:r>
      <w:r>
        <w:rPr>
          <w:rStyle w:val="KeywordTok"/>
        </w:rPr>
        <w:t xml:space="preserve">Where</w:t>
      </w:r>
      <w:r>
        <w:rPr>
          <w:rStyle w:val="NormalTok"/>
        </w:rPr>
        <w:t xml:space="preserve"> (</w:t>
      </w:r>
      <w:r>
        <w:rPr>
          <w:rStyle w:val="KeywordTok"/>
        </w:rPr>
        <w:t xml:space="preserve">filter</w:t>
      </w:r>
      <w:r>
        <w:rPr>
          <w:rStyle w:val="NormalTok"/>
        </w:rPr>
        <w:t xml:space="preserve">)</w:t>
      </w:r>
    </w:p>
    <w:p>
      <w:pPr>
        <w:pStyle w:val="FirstParagraph"/>
      </w:pPr>
      <w:r>
        <w:t xml:space="preserve">The largest available value matches the global maximum if and only if at least one available row holds the global maximum. One scan, two</w:t>
      </w:r>
      <w:r>
        <w:t xml:space="preserve"> </w:t>
      </w:r>
      <w:r>
        <w:rPr>
          <w:rStyle w:val="VerbatimChar"/>
        </w:rPr>
        <w:t xml:space="preserve">Max</w:t>
      </w:r>
      <w:r>
        <w:t xml:space="preserve">es, one comparison. This is the same idea as Flavor A above, applied to a boolean output instead of a count output. It is the pattern that turns the v10 two-pass</w:t>
      </w:r>
      <w:r>
        <w:t xml:space="preserve"> </w:t>
      </w:r>
      <w:r>
        <w:rPr>
          <w:rStyle w:val="VerbatimChar"/>
        </w:rPr>
        <w:t xml:space="preserve">If Exists</w:t>
      </w:r>
      <w:r>
        <w:t xml:space="preserve"> </w:t>
      </w:r>
      <w:r>
        <w:t xml:space="preserve">into a one-pass</w:t>
      </w:r>
      <w:r>
        <w:t xml:space="preserve"> </w:t>
      </w:r>
      <w:r>
        <w:rPr>
          <w:rStyle w:val="VerbatimChar"/>
        </w:rPr>
        <w:t xml:space="preserve">Select</w:t>
      </w:r>
      <w:r>
        <w:t xml:space="preserve">.</w:t>
      </w:r>
    </w:p>
    <w:p>
      <w:pPr>
        <w:pStyle w:val="Heading3"/>
      </w:pPr>
      <w:bookmarkStart w:id="35" w:name="indexed-temp-tables-eliminate-heap-sorts"/>
      <w:r>
        <w:t xml:space="preserve">5.3 Indexed Temp Tables Eliminate Heap Sorts</w:t>
      </w:r>
      <w:bookmarkEnd w:id="35"/>
    </w:p>
    <w:p>
      <w:pPr>
        <w:pStyle w:val="FirstParagraph"/>
      </w:pPr>
      <w:r>
        <w:t xml:space="preserve">A</w:t>
      </w:r>
      <w:r>
        <w:t xml:space="preserve"> </w:t>
      </w:r>
      <w:r>
        <w:rPr>
          <w:rStyle w:val="VerbatimChar"/>
        </w:rPr>
        <w:t xml:space="preserve">#temp</w:t>
      </w:r>
      <w:r>
        <w:t xml:space="preserve"> </w:t>
      </w:r>
      <w:r>
        <w:t xml:space="preserve">table declared without an index is a heap. Reading it with</w:t>
      </w:r>
      <w:r>
        <w:t xml:space="preserve"> </w:t>
      </w:r>
      <w:r>
        <w:rPr>
          <w:rStyle w:val="VerbatimChar"/>
        </w:rPr>
        <w:t xml:space="preserve">Order By</w:t>
      </w:r>
      <w:r>
        <w:t xml:space="preserve"> </w:t>
      </w:r>
      <w:r>
        <w:t xml:space="preserve">requires the engine to sort at read time. Declaring the temp table with a clustered key on the</w:t>
      </w:r>
      <w:r>
        <w:t xml:space="preserve"> </w:t>
      </w:r>
      <w:r>
        <w:rPr>
          <w:rStyle w:val="VerbatimChar"/>
        </w:rPr>
        <w:t xml:space="preserve">Order By</w:t>
      </w:r>
      <w:r>
        <w:t xml:space="preserve"> </w:t>
      </w:r>
      <w:r>
        <w:t xml:space="preserve">columns moves the sort to insertion time (where it is cheaper because the engine sorts as it inserts) and turns the read-time</w:t>
      </w:r>
      <w:r>
        <w:t xml:space="preserve"> </w:t>
      </w:r>
      <w:r>
        <w:rPr>
          <w:rStyle w:val="VerbatimChar"/>
        </w:rPr>
        <w:t xml:space="preserve">Order By</w:t>
      </w:r>
      <w:r>
        <w:t xml:space="preserve"> </w:t>
      </w:r>
      <w:r>
        <w:t xml:space="preserve">into a no-cost ordered scan of the clustered structure.</w:t>
      </w:r>
    </w:p>
    <w:p>
      <w:pPr>
        <w:pStyle w:val="BodyText"/>
      </w:pPr>
      <w:r>
        <w:t xml:space="preserve">The clustered-key choice for v11 is</w:t>
      </w:r>
      <w:r>
        <w:t xml:space="preserve"> </w:t>
      </w:r>
      <w:r>
        <w:rPr>
          <w:rStyle w:val="VerbatimChar"/>
        </w:rPr>
        <w:t xml:space="preserve">(ActOnAsPriInternal, PriInternal)</w:t>
      </w:r>
      <w:r>
        <w:t xml:space="preserve">, which exactly matches the final</w:t>
      </w:r>
      <w:r>
        <w:t xml:space="preserve"> </w:t>
      </w:r>
      <w:r>
        <w:rPr>
          <w:rStyle w:val="VerbatimChar"/>
        </w:rPr>
        <w:t xml:space="preserve">Order By</w:t>
      </w:r>
      <w:r>
        <w:t xml:space="preserve">. The table has no other consumer in this proc, so there is no competing key to consider. A</w:t>
      </w:r>
      <w:r>
        <w:t xml:space="preserve"> </w:t>
      </w:r>
      <w:r>
        <w:rPr>
          <w:rStyle w:val="VerbatimChar"/>
        </w:rPr>
        <w:t xml:space="preserve">Primary Key Clustered</w:t>
      </w:r>
      <w:r>
        <w:t xml:space="preserve"> </w:t>
      </w:r>
      <w:r>
        <w:t xml:space="preserve">constraint is used rather than a plain</w:t>
      </w:r>
      <w:r>
        <w:t xml:space="preserve"> </w:t>
      </w:r>
      <w:r>
        <w:rPr>
          <w:rStyle w:val="VerbatimChar"/>
        </w:rPr>
        <w:t xml:space="preserve">Create Clustered Index</w:t>
      </w:r>
      <w:r>
        <w:t xml:space="preserve"> </w:t>
      </w:r>
      <w:r>
        <w:t xml:space="preserve">so that uniqueness is enforced; if</w:t>
      </w:r>
      <w:r>
        <w:t xml:space="preserve"> </w:t>
      </w:r>
      <w:r>
        <w:rPr>
          <w:rStyle w:val="VerbatimChar"/>
        </w:rPr>
        <w:t xml:space="preserve">lsp_OrdGetReadyForDispenseRxsInBank</w:t>
      </w:r>
      <w:r>
        <w:t xml:space="preserve"> </w:t>
      </w:r>
      <w:r>
        <w:t xml:space="preserve">ever returns duplicates on that composite, the constraint will fail at insert and surface the duplicate immediately. This is a deliberate fail-closed choice. If validation surfaces duplicates as a legitimate output, downgrade to a non-unique clustered index. See [[Table Variables vs Temp Tables]] for the broader temp-table-vs-heap discussion.</w:t>
      </w:r>
    </w:p>
    <w:p>
      <w:pPr>
        <w:pStyle w:val="Heading3"/>
      </w:pPr>
      <w:bookmarkStart w:id="36" w:name="Xb6baaa9c3e1719bedf61999da4c6634e2383360"/>
      <w:r>
        <w:t xml:space="preserve">5.4 Explicit Column Lists at Procedure Boundaries</w:t>
      </w:r>
      <w:bookmarkEnd w:id="36"/>
    </w:p>
    <w:p>
      <w:pPr>
        <w:pStyle w:val="FirstParagraph"/>
      </w:pPr>
      <w:r>
        <w:rPr>
          <w:rStyle w:val="VerbatimChar"/>
        </w:rPr>
        <w:t xml:space="preserve">Select *</w:t>
      </w:r>
      <w:r>
        <w:t xml:space="preserve"> </w:t>
      </w:r>
      <w:r>
        <w:t xml:space="preserve">against a temp table populated by</w:t>
      </w:r>
      <w:r>
        <w:t xml:space="preserve"> </w:t>
      </w:r>
      <w:r>
        <w:rPr>
          <w:rStyle w:val="VerbatimChar"/>
        </w:rPr>
        <w:t xml:space="preserve">Insert ... Exec</w:t>
      </w:r>
      <w:r>
        <w:t xml:space="preserve"> </w:t>
      </w:r>
      <w:r>
        <w:t xml:space="preserve">is brittle in a way that is easy to miss. The contract between the called proc and the temp-table declaration is implicit: the columns returned by</w:t>
      </w:r>
      <w:r>
        <w:t xml:space="preserve"> </w:t>
      </w:r>
      <w:r>
        <w:rPr>
          <w:rStyle w:val="VerbatimChar"/>
        </w:rPr>
        <w:t xml:space="preserve">lsp_OrdGetReadyForDispenseRxsInBank</w:t>
      </w:r>
      <w:r>
        <w:t xml:space="preserve"> </w:t>
      </w:r>
      <w:r>
        <w:t xml:space="preserve">must match the temp-table column shape exactly, in the same order, every time. The</w:t>
      </w:r>
      <w:r>
        <w:t xml:space="preserve"> </w:t>
      </w:r>
      <w:r>
        <w:rPr>
          <w:rStyle w:val="VerbatimChar"/>
        </w:rPr>
        <w:t xml:space="preserve">Insert ... Exec</w:t>
      </w:r>
      <w:r>
        <w:t xml:space="preserve"> </w:t>
      </w:r>
      <w:r>
        <w:t xml:space="preserve">enforces the order at insert time, but a future change to the called proc’s</w:t>
      </w:r>
      <w:r>
        <w:t xml:space="preserve"> </w:t>
      </w:r>
      <w:r>
        <w:rPr>
          <w:rStyle w:val="VerbatimChar"/>
        </w:rPr>
        <w:t xml:space="preserve">Select</w:t>
      </w:r>
      <w:r>
        <w:t xml:space="preserve"> </w:t>
      </w:r>
      <w:r>
        <w:t xml:space="preserve">list will silently propagate to every caller that uses</w:t>
      </w:r>
      <w:r>
        <w:t xml:space="preserve"> </w:t>
      </w:r>
      <w:r>
        <w:rPr>
          <w:rStyle w:val="VerbatimChar"/>
        </w:rPr>
        <w:t xml:space="preserve">Select *</w:t>
      </w:r>
      <w:r>
        <w:t xml:space="preserve">. The explicit column list in v11 makes the contract visible at both ends (the</w:t>
      </w:r>
      <w:r>
        <w:t xml:space="preserve"> </w:t>
      </w:r>
      <w:r>
        <w:rPr>
          <w:rStyle w:val="VerbatimChar"/>
        </w:rPr>
        <w:t xml:space="preserve">Insert ... (col, col, col) Exec ...</w:t>
      </w:r>
      <w:r>
        <w:t xml:space="preserve"> </w:t>
      </w:r>
      <w:r>
        <w:t xml:space="preserve">and the</w:t>
      </w:r>
      <w:r>
        <w:t xml:space="preserve"> </w:t>
      </w:r>
      <w:r>
        <w:rPr>
          <w:rStyle w:val="VerbatimChar"/>
        </w:rPr>
        <w:t xml:space="preserve">Select col, col, col From #temp_table2</w:t>
      </w:r>
      <w:r>
        <w:t xml:space="preserve">), which is the canonical way to pin a contract that crosses procedure boundaries.</w:t>
      </w:r>
    </w:p>
    <w:p>
      <w:pPr>
        <w:pStyle w:val="Heading3"/>
      </w:pPr>
      <w:bookmarkStart w:id="37" w:name="drop-table-if-exists-modern-form"/>
      <w:r>
        <w:t xml:space="preserve">5.5</w:t>
      </w:r>
      <w:r>
        <w:t xml:space="preserve"> </w:t>
      </w:r>
      <w:r>
        <w:rPr>
          <w:rStyle w:val="VerbatimChar"/>
        </w:rPr>
        <w:t xml:space="preserve">Drop Table If Exists</w:t>
      </w:r>
      <w:r>
        <w:t xml:space="preserve"> </w:t>
      </w:r>
      <w:r>
        <w:t xml:space="preserve">(Modern Form)</w:t>
      </w:r>
      <w:bookmarkEnd w:id="37"/>
    </w:p>
    <w:p>
      <w:pPr>
        <w:pStyle w:val="FirstParagraph"/>
      </w:pPr>
      <w:r>
        <w:t xml:space="preserve">The proc already uses</w:t>
      </w:r>
      <w:r>
        <w:t xml:space="preserve"> </w:t>
      </w:r>
      <w:r>
        <w:rPr>
          <w:rStyle w:val="VerbatimChar"/>
        </w:rPr>
        <w:t xml:space="preserve">Drop Table If Exists</w:t>
      </w:r>
      <w:r>
        <w:t xml:space="preserve"> </w:t>
      </w:r>
      <w:r>
        <w:t xml:space="preserve">(line 187 in v10), so this is not a new pattern. It is mentioned here only to confirm that v11 does not regress to the legacy</w:t>
      </w:r>
      <w:r>
        <w:t xml:space="preserve"> </w:t>
      </w:r>
      <w:r>
        <w:rPr>
          <w:rStyle w:val="VerbatimChar"/>
        </w:rPr>
        <w:t xml:space="preserve">If Object_Id('TempDb..#X') Is Not Null Drop Table #X</w:t>
      </w:r>
      <w:r>
        <w:t xml:space="preserve"> </w:t>
      </w:r>
      <w:r>
        <w:t xml:space="preserve">form.</w:t>
      </w:r>
    </w:p>
    <w:p>
      <w:r>
        <w:pict>
          <v:rect style="width:0;height:1.5pt" o:hralign="center" o:hrstd="t" o:hr="t"/>
        </w:pict>
      </w:r>
    </w:p>
    <w:p>
      <w:pPr>
        <w:pStyle w:val="Heading2"/>
      </w:pPr>
      <w:bookmarkStart w:id="38" w:name="refactor-commented"/>
      <w:r>
        <w:t xml:space="preserve">6. Refactor (commented)</w:t>
      </w:r>
      <w:bookmarkEnd w:id="38"/>
    </w:p>
    <w:p>
      <w:pPr>
        <w:pStyle w:val="FirstParagraph"/>
      </w:pPr>
      <w:r>
        <w:t xml:space="preserve">The full refactored procedure lives in</w:t>
      </w:r>
      <w:r>
        <w:t xml:space="preserve"> </w:t>
      </w:r>
      <w:r>
        <w:rPr>
          <w:rStyle w:val="VerbatimChar"/>
        </w:rPr>
        <w:t xml:space="preserve">Refactored.sql</w:t>
      </w:r>
      <w:r>
        <w:t xml:space="preserve"> </w:t>
      </w:r>
      <w:r>
        <w:t xml:space="preserve">as v11. The narrative below walks the changes block by block. Line references are to</w:t>
      </w:r>
      <w:r>
        <w:t xml:space="preserve"> </w:t>
      </w:r>
      <w:r>
        <w:rPr>
          <w:rStyle w:val="VerbatimChar"/>
        </w:rPr>
        <w:t xml:space="preserve">Refactored.sql</w:t>
      </w:r>
      <w:r>
        <w:t xml:space="preserve">.</w:t>
      </w:r>
    </w:p>
    <w:p>
      <w:pPr>
        <w:pStyle w:val="Heading3"/>
      </w:pPr>
      <w:bookmarkStart w:id="39" w:name="consolidated-counts-lines-88-to-134"/>
      <w:r>
        <w:t xml:space="preserve">6.1 Consolidated counts (lines 88 to 134)</w:t>
      </w:r>
      <w:bookmarkEnd w:id="39"/>
    </w:p>
    <w:p>
      <w:pPr>
        <w:pStyle w:val="FirstParagraph"/>
      </w:pPr>
      <w:r>
        <w:t xml:space="preserve">The three</w:t>
      </w:r>
      <w:r>
        <w:t xml:space="preserve"> </w:t>
      </w:r>
      <w:r>
        <w:rPr>
          <w:rStyle w:val="VerbatimChar"/>
        </w:rPr>
        <w:t xml:space="preserve">Select @Var = Count(*)</w:t>
      </w:r>
      <w:r>
        <w:t xml:space="preserve"> </w:t>
      </w:r>
      <w:r>
        <w:t xml:space="preserve">statements collapse into one statement. Each branch of the</w:t>
      </w:r>
      <w:r>
        <w:t xml:space="preserve"> </w:t>
      </w:r>
      <w:r>
        <w:rPr>
          <w:rStyle w:val="VerbatimChar"/>
        </w:rPr>
        <w:t xml:space="preserve">Union All</w:t>
      </w:r>
      <w:r>
        <w:t xml:space="preserve"> </w:t>
      </w:r>
      <w:r>
        <w:t xml:space="preserve">is a projection query that emits one row per qualifying record, tagged with a</w:t>
      </w:r>
      <w:r>
        <w:t xml:space="preserve"> </w:t>
      </w:r>
      <w:r>
        <w:rPr>
          <w:rStyle w:val="VerbatimChar"/>
        </w:rPr>
        <w:t xml:space="preserve">Bucket</w:t>
      </w:r>
      <w:r>
        <w:t xml:space="preserve"> </w:t>
      </w:r>
      <w:r>
        <w:t xml:space="preserve">literal identifying which counter the row contributes to. The outer</w:t>
      </w:r>
      <w:r>
        <w:t xml:space="preserve"> </w:t>
      </w:r>
      <w:r>
        <w:rPr>
          <w:rStyle w:val="VerbatimChar"/>
        </w:rPr>
        <w:t xml:space="preserve">Select</w:t>
      </w:r>
      <w:r>
        <w:t xml:space="preserve"> </w:t>
      </w:r>
      <w:r>
        <w:t xml:space="preserve">aggregates the buckets via</w:t>
      </w:r>
      <w:r>
        <w:t xml:space="preserve"> </w:t>
      </w:r>
      <w:r>
        <w:rPr>
          <w:rStyle w:val="VerbatimChar"/>
        </w:rPr>
        <w:t xml:space="preserve">Sum(Case When Bucket = ... Then 1 Else 0 End)</w:t>
      </w:r>
      <w:r>
        <w:t xml:space="preserve"> </w:t>
      </w:r>
      <w:r>
        <w:t xml:space="preserve">into the three local variables.</w:t>
      </w:r>
    </w:p>
    <w:p>
      <w:pPr>
        <w:pStyle w:val="SourceCode"/>
      </w:pPr>
      <w:r>
        <w:rPr>
          <w:rStyle w:val="KeywordTok"/>
        </w:rPr>
        <w:t xml:space="preserve">Select</w:t>
      </w:r>
      <w:r>
        <w:br/>
      </w:r>
      <w:r>
        <w:rPr>
          <w:rStyle w:val="NormalTok"/>
        </w:rPr>
        <w:t xml:space="preserve">    @TotalCountedRxs              </w:t>
      </w:r>
      <w:r>
        <w:rPr>
          <w:rStyle w:val="OperatorTok"/>
        </w:rPr>
        <w:t xml:space="preserve">=</w:t>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Bucket </w:t>
      </w:r>
      <w:r>
        <w:rPr>
          <w:rStyle w:val="OperatorTok"/>
        </w:rPr>
        <w:t xml:space="preserve">=</w:t>
      </w:r>
      <w:r>
        <w:rPr>
          <w:rStyle w:val="NormalTok"/>
        </w:rPr>
        <w:t xml:space="preserve"> </w:t>
      </w:r>
      <w:r>
        <w:rPr>
          <w:rStyle w:val="StringTok"/>
        </w:rPr>
        <w:t xml:space="preserve">'CountedRxs'</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w:t>
      </w:r>
      <w:r>
        <w:br/>
      </w:r>
      <w:r>
        <w:rPr>
          <w:rStyle w:val="NormalTok"/>
        </w:rPr>
        <w:t xml:space="preserve">    @TotalCountedNONRxs           </w:t>
      </w:r>
      <w:r>
        <w:rPr>
          <w:rStyle w:val="OperatorTok"/>
        </w:rPr>
        <w:t xml:space="preserve">=</w:t>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Bucket </w:t>
      </w:r>
      <w:r>
        <w:rPr>
          <w:rStyle w:val="OperatorTok"/>
        </w:rPr>
        <w:t xml:space="preserve">=</w:t>
      </w:r>
      <w:r>
        <w:rPr>
          <w:rStyle w:val="NormalTok"/>
        </w:rPr>
        <w:t xml:space="preserve"> </w:t>
      </w:r>
      <w:r>
        <w:rPr>
          <w:rStyle w:val="StringTok"/>
        </w:rPr>
        <w:t xml:space="preserve">'CountedNONRxs'</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w:t>
      </w:r>
      <w:r>
        <w:br/>
      </w:r>
      <w:r>
        <w:rPr>
          <w:rStyle w:val="NormalTok"/>
        </w:rPr>
        <w:t xml:space="preserve">    @TotalDispenserResetsRequired </w:t>
      </w:r>
      <w:r>
        <w:rPr>
          <w:rStyle w:val="OperatorTok"/>
        </w:rPr>
        <w:t xml:space="preserve">=</w:t>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Bucket </w:t>
      </w:r>
      <w:r>
        <w:rPr>
          <w:rStyle w:val="OperatorTok"/>
        </w:rPr>
        <w:t xml:space="preserve">=</w:t>
      </w:r>
      <w:r>
        <w:rPr>
          <w:rStyle w:val="NormalTok"/>
        </w:rPr>
        <w:t xml:space="preserve"> </w:t>
      </w:r>
      <w:r>
        <w:rPr>
          <w:rStyle w:val="StringTok"/>
        </w:rPr>
        <w:t xml:space="preserve">'DispenserResets'</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w:t>
      </w:r>
      <w:r>
        <w:br/>
      </w:r>
      <w:r>
        <w:rPr>
          <w:rStyle w:val="KeywordTok"/>
        </w:rPr>
        <w:t xml:space="preserve">From</w:t>
      </w:r>
      <w:r>
        <w:br/>
      </w:r>
      <w:r>
        <w:rPr>
          <w:rStyle w:val="NormalTok"/>
        </w:rPr>
        <w:t xml:space="preserve">(</w:t>
      </w:r>
      <w:r>
        <w:br/>
      </w:r>
      <w:r>
        <w:rPr>
          <w:rStyle w:val="NormalTok"/>
        </w:rPr>
        <w:t xml:space="preserve">    </w:t>
      </w:r>
      <w:r>
        <w:rPr>
          <w:rStyle w:val="KeywordTok"/>
        </w:rPr>
        <w:t xml:space="preserve">Select</w:t>
      </w:r>
      <w:r>
        <w:rPr>
          <w:rStyle w:val="NormalTok"/>
        </w:rPr>
        <w:t xml:space="preserve"> </w:t>
      </w:r>
      <w:r>
        <w:rPr>
          <w:rStyle w:val="StringTok"/>
        </w:rPr>
        <w:t xml:space="preserve">'CountedRxs'</w:t>
      </w:r>
      <w:r>
        <w:rPr>
          <w:rStyle w:val="NormalTok"/>
        </w:rPr>
        <w:t xml:space="preserve"> </w:t>
      </w:r>
      <w:r>
        <w:rPr>
          <w:rStyle w:val="KeywordTok"/>
        </w:rPr>
        <w:t xml:space="preserve">As</w:t>
      </w:r>
      <w:r>
        <w:rPr>
          <w:rStyle w:val="NormalTok"/>
        </w:rPr>
        <w:t xml:space="preserve"> Bucket </w:t>
      </w:r>
      <w:r>
        <w:rPr>
          <w:rStyle w:val="KeywordTok"/>
        </w:rPr>
        <w:t xml:space="preserve">From</w:t>
      </w:r>
      <w:r>
        <w:rPr>
          <w:rStyle w:val="NormalTok"/>
        </w:rPr>
        <w:t xml:space="preserve"> OeOrder </w:t>
      </w:r>
      <w:r>
        <w:rPr>
          <w:rStyle w:val="KeywordTok"/>
        </w:rPr>
        <w:t xml:space="preserve">With</w:t>
      </w:r>
      <w:r>
        <w:rPr>
          <w:rStyle w:val="NormalTok"/>
        </w:rPr>
        <w:t xml:space="preserve"> (NOLOCK) </w:t>
      </w:r>
      <w:r>
        <w:rPr>
          <w:rStyle w:val="KeywordTok"/>
        </w:rPr>
        <w:t xml:space="preserve">Where</w:t>
      </w:r>
      <w:r>
        <w:rPr>
          <w:rStyle w:val="NormalTok"/>
        </w:rPr>
        <w:t xml:space="preserve"> </w:t>
      </w:r>
      <w:r>
        <w:rPr>
          <w:rStyle w:val="OperatorTok"/>
        </w:rPr>
        <w:t xml:space="preserve">..</w:t>
      </w:r>
      <w:r>
        <w:rPr>
          <w:rStyle w:val="NormalTok"/>
        </w:rPr>
        <w:t xml:space="preserve">.</w:t>
      </w:r>
      <w:r>
        <w:br/>
      </w:r>
      <w:r>
        <w:rPr>
          <w:rStyle w:val="NormalTok"/>
        </w:rPr>
        <w:t xml:space="preserve">    </w:t>
      </w:r>
      <w:r>
        <w:rPr>
          <w:rStyle w:val="KeywordTok"/>
        </w:rPr>
        <w:t xml:space="preserve">Union</w:t>
      </w:r>
      <w:r>
        <w:rPr>
          <w:rStyle w:val="NormalTok"/>
        </w:rPr>
        <w:t xml:space="preserve"> </w:t>
      </w:r>
      <w:r>
        <w:rPr>
          <w:rStyle w:val="KeywordTok"/>
        </w:rPr>
        <w:t xml:space="preserve">All</w:t>
      </w:r>
      <w:r>
        <w:br/>
      </w:r>
      <w:r>
        <w:rPr>
          <w:rStyle w:val="NormalTok"/>
        </w:rPr>
        <w:t xml:space="preserve">    </w:t>
      </w:r>
      <w:r>
        <w:rPr>
          <w:rStyle w:val="KeywordTok"/>
        </w:rPr>
        <w:t xml:space="preserve">Select</w:t>
      </w:r>
      <w:r>
        <w:rPr>
          <w:rStyle w:val="NormalTok"/>
        </w:rPr>
        <w:t xml:space="preserve"> </w:t>
      </w:r>
      <w:r>
        <w:rPr>
          <w:rStyle w:val="StringTok"/>
        </w:rPr>
        <w:t xml:space="preserve">'CountedNONRxs'</w:t>
      </w:r>
      <w:r>
        <w:rPr>
          <w:rStyle w:val="NormalTok"/>
        </w:rPr>
        <w:t xml:space="preserve"> </w:t>
      </w:r>
      <w:r>
        <w:rPr>
          <w:rStyle w:val="KeywordTok"/>
        </w:rPr>
        <w:t xml:space="preserve">As</w:t>
      </w:r>
      <w:r>
        <w:rPr>
          <w:rStyle w:val="NormalTok"/>
        </w:rPr>
        <w:t xml:space="preserve"> Bucket </w:t>
      </w:r>
      <w:r>
        <w:rPr>
          <w:rStyle w:val="KeywordTok"/>
        </w:rPr>
        <w:t xml:space="preserve">From</w:t>
      </w:r>
      <w:r>
        <w:rPr>
          <w:rStyle w:val="NormalTok"/>
        </w:rPr>
        <w:t xml:space="preserve"> TcdStatus T </w:t>
      </w:r>
      <w:r>
        <w:rPr>
          <w:rStyle w:val="KeywordTok"/>
        </w:rPr>
        <w:t xml:space="preserve">Inner</w:t>
      </w:r>
      <w:r>
        <w:rPr>
          <w:rStyle w:val="NormalTok"/>
        </w:rPr>
        <w:t xml:space="preserve"> </w:t>
      </w:r>
      <w:r>
        <w:rPr>
          <w:rStyle w:val="KeywordTok"/>
        </w:rPr>
        <w:t xml:space="preserve">Join</w:t>
      </w:r>
      <w:r>
        <w:rPr>
          <w:rStyle w:val="NormalTok"/>
        </w:rPr>
        <w:t xml:space="preserve"> RvoNonRxProductVial RNPV </w:t>
      </w:r>
      <w:r>
        <w:rPr>
          <w:rStyle w:val="OperatorTok"/>
        </w:rPr>
        <w:t xml:space="preserve">..</w:t>
      </w:r>
      <w:r>
        <w:rPr>
          <w:rStyle w:val="NormalTok"/>
        </w:rPr>
        <w:t xml:space="preserve">. </w:t>
      </w:r>
      <w:r>
        <w:rPr>
          <w:rStyle w:val="KeywordTok"/>
        </w:rPr>
        <w:t xml:space="preserve">Where</w:t>
      </w:r>
      <w:r>
        <w:rPr>
          <w:rStyle w:val="NormalTok"/>
        </w:rPr>
        <w:t xml:space="preserve"> </w:t>
      </w:r>
      <w:r>
        <w:rPr>
          <w:rStyle w:val="OperatorTok"/>
        </w:rPr>
        <w:t xml:space="preserve">..</w:t>
      </w:r>
      <w:r>
        <w:rPr>
          <w:rStyle w:val="NormalTok"/>
        </w:rPr>
        <w:t xml:space="preserve">.</w:t>
      </w:r>
      <w:r>
        <w:br/>
      </w:r>
      <w:r>
        <w:rPr>
          <w:rStyle w:val="NormalTok"/>
        </w:rPr>
        <w:t xml:space="preserve">    </w:t>
      </w:r>
      <w:r>
        <w:rPr>
          <w:rStyle w:val="KeywordTok"/>
        </w:rPr>
        <w:t xml:space="preserve">Union</w:t>
      </w:r>
      <w:r>
        <w:rPr>
          <w:rStyle w:val="NormalTok"/>
        </w:rPr>
        <w:t xml:space="preserve"> </w:t>
      </w:r>
      <w:r>
        <w:rPr>
          <w:rStyle w:val="KeywordTok"/>
        </w:rPr>
        <w:t xml:space="preserve">All</w:t>
      </w:r>
      <w:r>
        <w:br/>
      </w:r>
      <w:r>
        <w:rPr>
          <w:rStyle w:val="NormalTok"/>
        </w:rPr>
        <w:t xml:space="preserve">    </w:t>
      </w:r>
      <w:r>
        <w:rPr>
          <w:rStyle w:val="KeywordTok"/>
        </w:rPr>
        <w:t xml:space="preserve">Select</w:t>
      </w:r>
      <w:r>
        <w:rPr>
          <w:rStyle w:val="NormalTok"/>
        </w:rPr>
        <w:t xml:space="preserve"> </w:t>
      </w:r>
      <w:r>
        <w:rPr>
          <w:rStyle w:val="StringTok"/>
        </w:rPr>
        <w:t xml:space="preserve">'DispenserResets'</w:t>
      </w:r>
      <w:r>
        <w:rPr>
          <w:rStyle w:val="NormalTok"/>
        </w:rPr>
        <w:t xml:space="preserve"> </w:t>
      </w:r>
      <w:r>
        <w:rPr>
          <w:rStyle w:val="KeywordTok"/>
        </w:rPr>
        <w:t xml:space="preserve">As</w:t>
      </w:r>
      <w:r>
        <w:rPr>
          <w:rStyle w:val="NormalTok"/>
        </w:rPr>
        <w:t xml:space="preserve"> Bucket </w:t>
      </w:r>
      <w:r>
        <w:rPr>
          <w:rStyle w:val="KeywordTok"/>
        </w:rPr>
        <w:t xml:space="preserve">From</w:t>
      </w:r>
      <w:r>
        <w:rPr>
          <w:rStyle w:val="NormalTok"/>
        </w:rPr>
        <w:t xml:space="preserve"> RbtQueuedForResetTcds RT </w:t>
      </w:r>
      <w:r>
        <w:rPr>
          <w:rStyle w:val="KeywordTok"/>
        </w:rPr>
        <w:t xml:space="preserve">Inner</w:t>
      </w:r>
      <w:r>
        <w:rPr>
          <w:rStyle w:val="NormalTok"/>
        </w:rPr>
        <w:t xml:space="preserve"> </w:t>
      </w:r>
      <w:r>
        <w:rPr>
          <w:rStyle w:val="KeywordTok"/>
        </w:rPr>
        <w:t xml:space="preserve">Join</w:t>
      </w:r>
      <w:r>
        <w:rPr>
          <w:rStyle w:val="NormalTok"/>
        </w:rPr>
        <w:t xml:space="preserve"> TcdStatus T </w:t>
      </w:r>
      <w:r>
        <w:rPr>
          <w:rStyle w:val="OperatorTok"/>
        </w:rPr>
        <w:t xml:space="preserve">..</w:t>
      </w:r>
      <w:r>
        <w:rPr>
          <w:rStyle w:val="NormalTok"/>
        </w:rPr>
        <w:t xml:space="preserve">. </w:t>
      </w:r>
      <w:r>
        <w:rPr>
          <w:rStyle w:val="KeywordTok"/>
        </w:rPr>
        <w:t xml:space="preserve">Where</w:t>
      </w:r>
      <w:r>
        <w:rPr>
          <w:rStyle w:val="NormalTok"/>
        </w:rPr>
        <w:t xml:space="preserve"> </w:t>
      </w:r>
      <w:r>
        <w:rPr>
          <w:rStyle w:val="OperatorTok"/>
        </w:rPr>
        <w:t xml:space="preserve">..</w:t>
      </w:r>
      <w:r>
        <w:rPr>
          <w:rStyle w:val="NormalTok"/>
        </w:rPr>
        <w:t xml:space="preserve">.</w:t>
      </w:r>
      <w:r>
        <w:br/>
      </w:r>
      <w:r>
        <w:rPr>
          <w:rStyle w:val="NormalTok"/>
        </w:rPr>
        <w:t xml:space="preserve">) </w:t>
      </w:r>
      <w:r>
        <w:rPr>
          <w:rStyle w:val="KeywordTok"/>
        </w:rPr>
        <w:t xml:space="preserve">As</w:t>
      </w:r>
      <w:r>
        <w:rPr>
          <w:rStyle w:val="NormalTok"/>
        </w:rPr>
        <w:t xml:space="preserve"> CountSources</w:t>
      </w:r>
    </w:p>
    <w:p>
      <w:pPr>
        <w:pStyle w:val="FirstParagraph"/>
      </w:pPr>
      <w:r>
        <w:t xml:space="preserve">The per-branch</w:t>
      </w:r>
      <w:r>
        <w:t xml:space="preserve"> </w:t>
      </w:r>
      <w:r>
        <w:rPr>
          <w:rStyle w:val="VerbatimChar"/>
        </w:rPr>
        <w:t xml:space="preserve">Where</w:t>
      </w:r>
      <w:r>
        <w:t xml:space="preserve"> </w:t>
      </w:r>
      <w:r>
        <w:t xml:space="preserve">clauses are preserved verbatim from v10. The leaf-level reads on the three sources (</w:t>
      </w:r>
      <w:r>
        <w:rPr>
          <w:rStyle w:val="VerbatimChar"/>
        </w:rPr>
        <w:t xml:space="preserve">OeOrder</w:t>
      </w:r>
      <w:r>
        <w:t xml:space="preserve">,</w:t>
      </w:r>
      <w:r>
        <w:t xml:space="preserve"> </w:t>
      </w:r>
      <w:r>
        <w:rPr>
          <w:rStyle w:val="VerbatimChar"/>
        </w:rPr>
        <w:t xml:space="preserve">TcdStatus + RvoNonRxProductVial</w:t>
      </w:r>
      <w:r>
        <w:t xml:space="preserve">,</w:t>
      </w:r>
      <w:r>
        <w:t xml:space="preserve"> </w:t>
      </w:r>
      <w:r>
        <w:rPr>
          <w:rStyle w:val="VerbatimChar"/>
        </w:rPr>
        <w:t xml:space="preserve">RbtQueuedForResetTcds + TcdStatus</w:t>
      </w:r>
      <w:r>
        <w:t xml:space="preserve">) are unchanged. The savings are one statement compile instead of three, one plan-cache slot instead of three, and one dispatch round trip instead of three. See [[Conditional Aggregation Consolidation]] Flavor B.</w:t>
      </w:r>
    </w:p>
    <w:p>
      <w:pPr>
        <w:pStyle w:val="BodyText"/>
      </w:pPr>
      <w:r>
        <w:t xml:space="preserve">The three</w:t>
      </w:r>
      <w:r>
        <w:t xml:space="preserve"> </w:t>
      </w:r>
      <w:r>
        <w:rPr>
          <w:rStyle w:val="VerbatimChar"/>
        </w:rPr>
        <w:t xml:space="preserve">Set @Var = IsNull(@Var, 0)</w:t>
      </w:r>
      <w:r>
        <w:t xml:space="preserve"> </w:t>
      </w:r>
      <w:r>
        <w:t xml:space="preserve">lines that follow exist because</w:t>
      </w:r>
      <w:r>
        <w:t xml:space="preserve"> </w:t>
      </w:r>
      <w:r>
        <w:rPr>
          <w:rStyle w:val="VerbatimChar"/>
        </w:rPr>
        <w:t xml:space="preserve">Sum</w:t>
      </w:r>
      <w:r>
        <w:t xml:space="preserve"> </w:t>
      </w:r>
      <w:r>
        <w:t xml:space="preserve">returns</w:t>
      </w:r>
      <w:r>
        <w:t xml:space="preserve"> </w:t>
      </w:r>
      <w:r>
        <w:rPr>
          <w:rStyle w:val="VerbatimChar"/>
        </w:rPr>
        <w:t xml:space="preserve">Null</w:t>
      </w:r>
      <w:r>
        <w:t xml:space="preserve"> </w:t>
      </w:r>
      <w:r>
        <w:t xml:space="preserve">when the union projects zero rows. The downstream</w:t>
      </w:r>
      <w:r>
        <w:t xml:space="preserve"> </w:t>
      </w:r>
      <w:r>
        <w:rPr>
          <w:rStyle w:val="VerbatimChar"/>
        </w:rPr>
        <w:t xml:space="preserve">If</w:t>
      </w:r>
      <w:r>
        <w:t xml:space="preserve"> </w:t>
      </w:r>
      <w:r>
        <w:t xml:space="preserve">block compares the variables to zero, so coalescing protects the comparisons.</w:t>
      </w:r>
    </w:p>
    <w:p>
      <w:pPr>
        <w:pStyle w:val="Heading3"/>
      </w:pPr>
      <w:bookmarkStart w:id="40" w:name="X25ad516587e0b1a2d7d7afb3b8be0ff58137383"/>
      <w:r>
        <w:t xml:space="preserve">6.2 Single-pass large-vial-availability check (lines 144 to 152)</w:t>
      </w:r>
      <w:bookmarkEnd w:id="40"/>
    </w:p>
    <w:p>
      <w:pPr>
        <w:pStyle w:val="SourceCode"/>
      </w:pPr>
      <w:r>
        <w:rPr>
          <w:rStyle w:val="KeywordTok"/>
        </w:rPr>
        <w:t xml:space="preserve">Select</w:t>
      </w:r>
      <w:r>
        <w:rPr>
          <w:rStyle w:val="NormalTok"/>
        </w:rPr>
        <w:t xml:space="preserve"> @LargeVialSizeAvailable </w:t>
      </w:r>
      <w:r>
        <w:rPr>
          <w:rStyle w:val="OperatorTok"/>
        </w:rPr>
        <w:t xml:space="preserve">=</w:t>
      </w:r>
      <w:r>
        <w:br/>
      </w:r>
      <w:r>
        <w:rPr>
          <w:rStyle w:val="NormalTok"/>
        </w:rPr>
        <w:t xml:space="preserve">    </w:t>
      </w:r>
      <w:r>
        <w:rPr>
          <w:rStyle w:val="ControlFlowTok"/>
        </w:rPr>
        <w:t xml:space="preserve">Case</w:t>
      </w:r>
      <w:r>
        <w:br/>
      </w:r>
      <w:r>
        <w:rPr>
          <w:rStyle w:val="NormalTok"/>
        </w:rPr>
        <w:t xml:space="preserve">        </w:t>
      </w:r>
      <w:r>
        <w:rPr>
          <w:rStyle w:val="ControlFlowTok"/>
        </w:rPr>
        <w:t xml:space="preserve">When</w:t>
      </w:r>
      <w:r>
        <w:rPr>
          <w:rStyle w:val="NormalTok"/>
        </w:rPr>
        <w:t xml:space="preserve"> </w:t>
      </w:r>
      <w:r>
        <w:rPr>
          <w:rStyle w:val="FunctionTok"/>
        </w:rPr>
        <w:t xml:space="preserve">Max</w:t>
      </w:r>
      <w:r>
        <w:rPr>
          <w:rStyle w:val="NormalTok"/>
        </w:rPr>
        <w:t xml:space="preserve">(StoredVialSizeDrams) </w:t>
      </w:r>
      <w:r>
        <w:rPr>
          <w:rStyle w:val="KeywordTok"/>
        </w:rPr>
        <w:t xml:space="preserve">Is</w:t>
      </w:r>
      <w:r>
        <w:rPr>
          <w:rStyle w:val="NormalTok"/>
        </w:rPr>
        <w:t xml:space="preserve"> </w:t>
      </w:r>
      <w:r>
        <w:rPr>
          <w:rStyle w:val="KeywordTok"/>
        </w:rPr>
        <w:t xml:space="preserve">Null</w:t>
      </w:r>
      <w:r>
        <w:rPr>
          <w:rStyle w:val="NormalTok"/>
        </w:rPr>
        <w:t xml:space="preserve"> </w:t>
      </w:r>
      <w:r>
        <w:rPr>
          <w:rStyle w:val="ControlFlowTok"/>
        </w:rPr>
        <w:t xml:space="preserve">Then</w:t>
      </w:r>
      <w:r>
        <w:rPr>
          <w:rStyle w:val="NormalTok"/>
        </w:rPr>
        <w:t xml:space="preserve"> </w:t>
      </w:r>
      <w:r>
        <w:rPr>
          <w:rStyle w:val="DecValTok"/>
        </w:rPr>
        <w:t xml:space="preserve">0</w:t>
      </w:r>
      <w:r>
        <w:br/>
      </w:r>
      <w:r>
        <w:rPr>
          <w:rStyle w:val="NormalTok"/>
        </w:rPr>
        <w:t xml:space="preserve">        </w:t>
      </w:r>
      <w:r>
        <w:rPr>
          <w:rStyle w:val="ControlFlowTok"/>
        </w:rPr>
        <w:t xml:space="preserve">When</w:t>
      </w:r>
      <w:r>
        <w:rPr>
          <w:rStyle w:val="NormalTok"/>
        </w:rPr>
        <w:t xml:space="preserve"> </w:t>
      </w:r>
      <w:r>
        <w:rPr>
          <w:rStyle w:val="FunctionTok"/>
        </w:rPr>
        <w:t xml:space="preserve">Max</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StatusId </w:t>
      </w:r>
      <w:r>
        <w:rPr>
          <w:rStyle w:val="KeywordTok"/>
        </w:rPr>
        <w:t xml:space="preserve">In</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ControlFlowTok"/>
        </w:rPr>
        <w:t xml:space="preserve">Then</w:t>
      </w:r>
      <w:r>
        <w:rPr>
          <w:rStyle w:val="NormalTok"/>
        </w:rPr>
        <w:t xml:space="preserve"> StoredVialSizeDrams </w:t>
      </w:r>
      <w:r>
        <w:rPr>
          <w:rStyle w:val="ControlFlowTok"/>
        </w:rPr>
        <w:t xml:space="preserve">End</w:t>
      </w:r>
      <w:r>
        <w:rPr>
          <w:rStyle w:val="NormalTok"/>
        </w:rPr>
        <w:t xml:space="preserve">) </w:t>
      </w:r>
      <w:r>
        <w:rPr>
          <w:rStyle w:val="OperatorTok"/>
        </w:rPr>
        <w:t xml:space="preserve">=</w:t>
      </w:r>
      <w:r>
        <w:rPr>
          <w:rStyle w:val="NormalTok"/>
        </w:rPr>
        <w:t xml:space="preserve"> </w:t>
      </w:r>
      <w:r>
        <w:rPr>
          <w:rStyle w:val="FunctionTok"/>
        </w:rPr>
        <w:t xml:space="preserve">Max</w:t>
      </w:r>
      <w:r>
        <w:rPr>
          <w:rStyle w:val="NormalTok"/>
        </w:rPr>
        <w:t xml:space="preserve">(StoredVialSizeDrams) </w:t>
      </w:r>
      <w:r>
        <w:rPr>
          <w:rStyle w:val="ControlFlowTok"/>
        </w:rPr>
        <w:t xml:space="preserve">Then</w:t>
      </w:r>
      <w:r>
        <w:rPr>
          <w:rStyle w:val="NormalTok"/>
        </w:rPr>
        <w:t xml:space="preserve"> </w:t>
      </w:r>
      <w:r>
        <w:rPr>
          <w:rStyle w:val="DecValTok"/>
        </w:rPr>
        <w:t xml:space="preserve">1</w:t>
      </w:r>
      <w:r>
        <w:br/>
      </w:r>
      <w:r>
        <w:rPr>
          <w:rStyle w:val="NormalTok"/>
        </w:rPr>
        <w:t xml:space="preserve">        </w:t>
      </w:r>
      <w:r>
        <w:rPr>
          <w:rStyle w:val="ControlFlowTok"/>
        </w:rPr>
        <w:t xml:space="preserve">Else</w:t>
      </w:r>
      <w:r>
        <w:rPr>
          <w:rStyle w:val="NormalTok"/>
        </w:rPr>
        <w:t xml:space="preserve"> </w:t>
      </w:r>
      <w:r>
        <w:rPr>
          <w:rStyle w:val="DecValTok"/>
        </w:rPr>
        <w:t xml:space="preserve">0</w:t>
      </w:r>
      <w:r>
        <w:br/>
      </w:r>
      <w:r>
        <w:rPr>
          <w:rStyle w:val="NormalTok"/>
        </w:rPr>
        <w:t xml:space="preserve">    </w:t>
      </w:r>
      <w:r>
        <w:rPr>
          <w:rStyle w:val="ControlFlowTok"/>
        </w:rPr>
        <w:t xml:space="preserve">End</w:t>
      </w:r>
      <w:r>
        <w:br/>
      </w:r>
      <w:r>
        <w:rPr>
          <w:rStyle w:val="KeywordTok"/>
        </w:rPr>
        <w:t xml:space="preserve">From</w:t>
      </w:r>
      <w:r>
        <w:rPr>
          <w:rStyle w:val="NormalTok"/>
        </w:rPr>
        <w:t xml:space="preserve"> RbtVialSupply </w:t>
      </w:r>
      <w:r>
        <w:rPr>
          <w:rStyle w:val="KeywordTok"/>
        </w:rPr>
        <w:t xml:space="preserve">With</w:t>
      </w:r>
      <w:r>
        <w:rPr>
          <w:rStyle w:val="NormalTok"/>
        </w:rPr>
        <w:t xml:space="preserve"> (NOLOCK)</w:t>
      </w:r>
      <w:r>
        <w:br/>
      </w:r>
      <w:r>
        <w:rPr>
          <w:rStyle w:val="KeywordTok"/>
        </w:rPr>
        <w:t xml:space="preserve">Where</w:t>
      </w:r>
      <w:r>
        <w:rPr>
          <w:rStyle w:val="NormalTok"/>
        </w:rPr>
        <w:t xml:space="preserve"> AddrBank </w:t>
      </w:r>
      <w:r>
        <w:rPr>
          <w:rStyle w:val="OperatorTok"/>
        </w:rPr>
        <w:t xml:space="preserve">=</w:t>
      </w:r>
      <w:r>
        <w:rPr>
          <w:rStyle w:val="NormalTok"/>
        </w:rPr>
        <w:t xml:space="preserve"> @AddrBank</w:t>
      </w:r>
    </w:p>
    <w:p>
      <w:pPr>
        <w:pStyle w:val="FirstParagraph"/>
      </w:pPr>
      <w:r>
        <w:t xml:space="preserve">One scan against</w:t>
      </w:r>
      <w:r>
        <w:t xml:space="preserve"> </w:t>
      </w:r>
      <w:r>
        <w:rPr>
          <w:rStyle w:val="VerbatimChar"/>
        </w:rPr>
        <w:t xml:space="preserve">RbtVialSupply</w:t>
      </w:r>
      <w:r>
        <w:t xml:space="preserve"> </w:t>
      </w:r>
      <w:r>
        <w:t xml:space="preserve">filtered by</w:t>
      </w:r>
      <w:r>
        <w:t xml:space="preserve"> </w:t>
      </w:r>
      <w:r>
        <w:rPr>
          <w:rStyle w:val="VerbatimChar"/>
        </w:rPr>
        <w:t xml:space="preserve">AddrBank</w:t>
      </w:r>
      <w:r>
        <w:t xml:space="preserve">. The engine computes</w:t>
      </w:r>
      <w:r>
        <w:t xml:space="preserve"> </w:t>
      </w:r>
      <w:r>
        <w:rPr>
          <w:rStyle w:val="VerbatimChar"/>
        </w:rPr>
        <w:t xml:space="preserve">Max(StoredVialSizeDrams)</w:t>
      </w:r>
      <w:r>
        <w:t xml:space="preserve"> </w:t>
      </w:r>
      <w:r>
        <w:t xml:space="preserve">(the global largest size in the bank) and</w:t>
      </w:r>
      <w:r>
        <w:t xml:space="preserve"> </w:t>
      </w:r>
      <w:r>
        <w:rPr>
          <w:rStyle w:val="VerbatimChar"/>
        </w:rPr>
        <w:t xml:space="preserve">Max(Case When StatusId In (0, 1) Then StoredVialSizeDrams End)</w:t>
      </w:r>
      <w:r>
        <w:t xml:space="preserve"> </w:t>
      </w:r>
      <w:r>
        <w:t xml:space="preserve">(the largest size that is also available) in the same pass. The comparison answers</w:t>
      </w:r>
      <w:r>
        <w:t xml:space="preserve"> </w:t>
      </w:r>
      <w:r>
        <w:t xml:space="preserve">“</w:t>
      </w:r>
      <w:r>
        <w:t xml:space="preserve">is the largest size currently available?</w:t>
      </w:r>
      <w:r>
        <w:t xml:space="preserve">”</w:t>
      </w:r>
      <w:r>
        <w:t xml:space="preserve"> </w:t>
      </w:r>
      <w:r>
        <w:t xml:space="preserve">without a second read. The</w:t>
      </w:r>
      <w:r>
        <w:t xml:space="preserve"> </w:t>
      </w:r>
      <w:r>
        <w:rPr>
          <w:rStyle w:val="VerbatimChar"/>
        </w:rPr>
        <w:t xml:space="preserve">Max ... Is Null</w:t>
      </w:r>
      <w:r>
        <w:t xml:space="preserve"> </w:t>
      </w:r>
      <w:r>
        <w:t xml:space="preserve">guard handles the empty-bank case (no supply rows for this bank means no large vial is available, which is the same answer v10 produced via</w:t>
      </w:r>
      <w:r>
        <w:t xml:space="preserve"> </w:t>
      </w:r>
      <w:r>
        <w:rPr>
          <w:rStyle w:val="VerbatimChar"/>
        </w:rPr>
        <w:t xml:space="preserve">If Exists</w:t>
      </w:r>
      <w:r>
        <w:t xml:space="preserve"> </w:t>
      </w:r>
      <w:r>
        <w:t xml:space="preserve">returning false on empty input).</w:t>
      </w:r>
    </w:p>
    <w:p>
      <w:pPr>
        <w:pStyle w:val="Heading3"/>
      </w:pPr>
      <w:bookmarkStart w:id="41" w:name="X6bad4629450686b11c4a37955dab63c9811a0d3"/>
      <w:r>
        <w:t xml:space="preserve">6.3 Indexed temp table for the priority-3 path (lines 192 to 222)</w:t>
      </w:r>
      <w:bookmarkEnd w:id="41"/>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#temp_table2 (</w:t>
      </w:r>
      <w:r>
        <w:br/>
      </w:r>
      <w:r>
        <w:rPr>
          <w:rStyle w:val="NormalTok"/>
        </w:rPr>
        <w:t xml:space="preserve">    </w:t>
      </w:r>
      <w:r>
        <w:rPr>
          <w:rStyle w:val="OperatorTok"/>
        </w:rPr>
        <w:t xml:space="preserve">..</w:t>
      </w:r>
      <w:r>
        <w:rPr>
          <w:rStyle w:val="NormalTok"/>
        </w:rPr>
        <w:t xml:space="preserve">.</w:t>
      </w:r>
      <w:r>
        <w:br/>
      </w:r>
      <w:r>
        <w:rPr>
          <w:rStyle w:val="NormalTok"/>
        </w:rPr>
        <w:t xml:space="preserve">    ActOnAsPriInternal </w:t>
      </w:r>
      <w:r>
        <w:rPr>
          <w:rStyle w:val="DataTypeTok"/>
        </w:rPr>
        <w:t xml:space="preserve">VarChar</w:t>
      </w:r>
      <w:r>
        <w:rPr>
          <w:rStyle w:val="NormalTok"/>
        </w:rPr>
        <w:t xml:space="preserve">(</w:t>
      </w:r>
      <w:r>
        <w:rPr>
          <w:rStyle w:val="DecValTok"/>
        </w:rPr>
        <w:t xml:space="preserve">40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PriInternal        </w:t>
      </w:r>
      <w:r>
        <w:rPr>
          <w:rStyle w:val="DataTypeTok"/>
        </w:rPr>
        <w:t xml:space="preserve">VarChar</w:t>
      </w:r>
      <w:r>
        <w:rPr>
          <w:rStyle w:val="NormalTok"/>
        </w:rPr>
        <w:t xml:space="preserve">(</w:t>
      </w:r>
      <w:r>
        <w:rPr>
          <w:rStyle w:val="DecValTok"/>
        </w:rPr>
        <w:t xml:space="preserve">40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Constraint</w:t>
      </w:r>
      <w:r>
        <w:rPr>
          <w:rStyle w:val="NormalTok"/>
        </w:rPr>
        <w:t xml:space="preserve"> PK_TempTable2_ActOnAsPriInternal_PriInternal</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Clustered (ActOnAsPriInternal, PriInternal)</w:t>
      </w:r>
      <w:r>
        <w:br/>
      </w:r>
      <w:r>
        <w:rPr>
          <w:rStyle w:val="NormalTok"/>
        </w:rPr>
        <w:t xml:space="preserve">)</w:t>
      </w:r>
      <w:r>
        <w:br/>
      </w:r>
      <w:r>
        <w:br/>
      </w:r>
      <w:r>
        <w:rPr>
          <w:rStyle w:val="KeywordTok"/>
        </w:rPr>
        <w:t xml:space="preserve">Insert</w:t>
      </w:r>
      <w:r>
        <w:rPr>
          <w:rStyle w:val="NormalTok"/>
        </w:rPr>
        <w:t xml:space="preserve"> </w:t>
      </w:r>
      <w:r>
        <w:rPr>
          <w:rStyle w:val="KeywordTok"/>
        </w:rPr>
        <w:t xml:space="preserve">Into</w:t>
      </w:r>
      <w:r>
        <w:rPr>
          <w:rStyle w:val="NormalTok"/>
        </w:rPr>
        <w:t xml:space="preserve"> #temp_table2 (col, col, </w:t>
      </w:r>
      <w:r>
        <w:rPr>
          <w:rStyle w:val="OperatorTok"/>
        </w:rPr>
        <w:t xml:space="preserve">..</w:t>
      </w:r>
      <w:r>
        <w:rPr>
          <w:rStyle w:val="NormalTok"/>
        </w:rPr>
        <w:t xml:space="preserve">.) </w:t>
      </w:r>
      <w:r>
        <w:rPr>
          <w:rStyle w:val="KeywordTok"/>
        </w:rPr>
        <w:t xml:space="preserve">Exec</w:t>
      </w:r>
      <w:r>
        <w:rPr>
          <w:rStyle w:val="NormalTok"/>
        </w:rPr>
        <w:t xml:space="preserve"> lsp_OrdGetReadyForDispenseRxsInBank @AddrBank, </w:t>
      </w:r>
      <w:r>
        <w:rPr>
          <w:rStyle w:val="DecValTok"/>
        </w:rPr>
        <w:t xml:space="preserve">0</w:t>
      </w:r>
      <w:r>
        <w:br/>
      </w:r>
      <w:r>
        <w:br/>
      </w:r>
      <w:r>
        <w:rPr>
          <w:rStyle w:val="KeywordTok"/>
        </w:rPr>
        <w:t xml:space="preserve">Select</w:t>
      </w:r>
      <w:r>
        <w:rPr>
          <w:rStyle w:val="NormalTok"/>
        </w:rPr>
        <w:t xml:space="preserve"> col, col, </w:t>
      </w:r>
      <w:r>
        <w:rPr>
          <w:rStyle w:val="OperatorTok"/>
        </w:rPr>
        <w:t xml:space="preserve">..</w:t>
      </w:r>
      <w:r>
        <w:rPr>
          <w:rStyle w:val="NormalTok"/>
        </w:rPr>
        <w:t xml:space="preserve">. </w:t>
      </w:r>
      <w:r>
        <w:rPr>
          <w:rStyle w:val="KeywordTok"/>
        </w:rPr>
        <w:t xml:space="preserve">From</w:t>
      </w:r>
      <w:r>
        <w:rPr>
          <w:rStyle w:val="NormalTok"/>
        </w:rPr>
        <w:t xml:space="preserve"> #temp_table2 </w:t>
      </w:r>
      <w:r>
        <w:rPr>
          <w:rStyle w:val="KeywordTok"/>
        </w:rPr>
        <w:t xml:space="preserve">With</w:t>
      </w:r>
      <w:r>
        <w:rPr>
          <w:rStyle w:val="NormalTok"/>
        </w:rPr>
        <w:t xml:space="preserve"> (NOLOCK) </w:t>
      </w:r>
      <w:r>
        <w:rPr>
          <w:rStyle w:val="KeywordTok"/>
        </w:rPr>
        <w:t xml:space="preserve">Order</w:t>
      </w:r>
      <w:r>
        <w:rPr>
          <w:rStyle w:val="NormalTok"/>
        </w:rPr>
        <w:t xml:space="preserve"> </w:t>
      </w:r>
      <w:r>
        <w:rPr>
          <w:rStyle w:val="KeywordTok"/>
        </w:rPr>
        <w:t xml:space="preserve">By</w:t>
      </w:r>
      <w:r>
        <w:rPr>
          <w:rStyle w:val="NormalTok"/>
        </w:rPr>
        <w:t xml:space="preserve"> ActOnAsPriInternal, PriInternal</w:t>
      </w:r>
    </w:p>
    <w:p>
      <w:pPr>
        <w:pStyle w:val="FirstParagraph"/>
      </w:pPr>
      <w:r>
        <w:t xml:space="preserve">Three changes folded together:</w:t>
      </w:r>
    </w:p>
    <w:p>
      <w:pPr>
        <w:numPr>
          <w:ilvl w:val="0"/>
          <w:numId w:val="1007"/>
        </w:numPr>
        <w:pStyle w:val="Compact"/>
      </w:pPr>
      <w:r>
        <w:t xml:space="preserve">The temp table now has a clustered primary key on</w:t>
      </w:r>
      <w:r>
        <w:t xml:space="preserve"> </w:t>
      </w:r>
      <w:r>
        <w:rPr>
          <w:rStyle w:val="VerbatimChar"/>
        </w:rPr>
        <w:t xml:space="preserve">(ActOnAsPriInternal, PriInternal)</w:t>
      </w:r>
      <w:r>
        <w:t xml:space="preserve">, which exactly matches the final</w:t>
      </w:r>
      <w:r>
        <w:t xml:space="preserve"> </w:t>
      </w:r>
      <w:r>
        <w:rPr>
          <w:rStyle w:val="VerbatimChar"/>
        </w:rPr>
        <w:t xml:space="preserve">Order By</w:t>
      </w:r>
      <w:r>
        <w:t xml:space="preserve">. The sort moves from read time (where it was a Sort operator on a heap) to insert time (where it is part of the clustered-index maintenance). The read becomes a no-cost ordered scan.</w:t>
      </w:r>
    </w:p>
    <w:p>
      <w:pPr>
        <w:numPr>
          <w:ilvl w:val="0"/>
          <w:numId w:val="1007"/>
        </w:numPr>
        <w:pStyle w:val="Compact"/>
      </w:pPr>
      <w:r>
        <w:t xml:space="preserve">The</w:t>
      </w:r>
      <w:r>
        <w:t xml:space="preserve"> </w:t>
      </w:r>
      <w:r>
        <w:rPr>
          <w:rStyle w:val="VerbatimChar"/>
        </w:rPr>
        <w:t xml:space="preserve">Insert ... Exec</w:t>
      </w:r>
      <w:r>
        <w:t xml:space="preserve"> </w:t>
      </w:r>
      <w:r>
        <w:t xml:space="preserve">now carries an explicit column list, pinning the contract between the called proc and the temp-table shape on both sides.</w:t>
      </w:r>
    </w:p>
    <w:p>
      <w:pPr>
        <w:numPr>
          <w:ilvl w:val="0"/>
          <w:numId w:val="1007"/>
        </w:numPr>
        <w:pStyle w:val="Compact"/>
      </w:pPr>
      <w:r>
        <w:t xml:space="preserve">The final</w:t>
      </w:r>
      <w:r>
        <w:t xml:space="preserve"> </w:t>
      </w:r>
      <w:r>
        <w:rPr>
          <w:rStyle w:val="VerbatimChar"/>
        </w:rPr>
        <w:t xml:space="preserve">Select</w:t>
      </w:r>
      <w:r>
        <w:t xml:space="preserve"> </w:t>
      </w:r>
      <w:r>
        <w:t xml:space="preserve">now lists every column explicitly, replacing v10’s</w:t>
      </w:r>
      <w:r>
        <w:t xml:space="preserve"> </w:t>
      </w:r>
      <w:r>
        <w:rPr>
          <w:rStyle w:val="VerbatimChar"/>
        </w:rPr>
        <w:t xml:space="preserve">Select *</w:t>
      </w:r>
      <w:r>
        <w:t xml:space="preserve">. The column order matches the temp-table declaration.</w:t>
      </w:r>
    </w:p>
    <w:p>
      <w:pPr>
        <w:pStyle w:val="FirstParagraph"/>
      </w:pPr>
      <w:r>
        <w:t xml:space="preserve">The</w:t>
      </w:r>
      <w:r>
        <w:t xml:space="preserve"> </w:t>
      </w:r>
      <w:r>
        <w:rPr>
          <w:rStyle w:val="VerbatimChar"/>
        </w:rPr>
        <w:t xml:space="preserve">Order By ActOnAsPriInternal, PriInternal</w:t>
      </w:r>
      <w:r>
        <w:t xml:space="preserve"> </w:t>
      </w:r>
      <w:r>
        <w:t xml:space="preserve">is preserved on the final</w:t>
      </w:r>
      <w:r>
        <w:t xml:space="preserve"> </w:t>
      </w:r>
      <w:r>
        <w:rPr>
          <w:rStyle w:val="VerbatimChar"/>
        </w:rPr>
        <w:t xml:space="preserve">Select</w:t>
      </w:r>
      <w:r>
        <w:t xml:space="preserve"> </w:t>
      </w:r>
      <w:r>
        <w:t xml:space="preserve">even though the clustered key already streams the rows in that order. Keeping the</w:t>
      </w:r>
      <w:r>
        <w:t xml:space="preserve"> </w:t>
      </w:r>
      <w:r>
        <w:rPr>
          <w:rStyle w:val="VerbatimChar"/>
        </w:rPr>
        <w:t xml:space="preserve">Order By</w:t>
      </w:r>
      <w:r>
        <w:t xml:space="preserve"> </w:t>
      </w:r>
      <w:r>
        <w:t xml:space="preserve">documents the intended row order for the caller and is a no-cost belt and braces in case a future schema change disturbs the clustered-key shape.</w:t>
      </w:r>
    </w:p>
    <w:p>
      <w:pPr>
        <w:pStyle w:val="Heading3"/>
      </w:pPr>
      <w:bookmarkStart w:id="42" w:name="cosmetic-cleanup-throughout"/>
      <w:r>
        <w:t xml:space="preserve">6.4 Cosmetic cleanup throughout</w:t>
      </w:r>
      <w:bookmarkEnd w:id="42"/>
    </w:p>
    <w:p>
      <w:pPr>
        <w:numPr>
          <w:ilvl w:val="0"/>
          <w:numId w:val="1008"/>
        </w:numPr>
        <w:pStyle w:val="Compact"/>
      </w:pPr>
      <w:r>
        <w:rPr>
          <w:rStyle w:val="VerbatimChar"/>
        </w:rPr>
        <w:t xml:space="preserve">WITH (NOLOCK)</w:t>
      </w:r>
      <w:r>
        <w:t xml:space="preserve"> </w:t>
      </w:r>
      <w:r>
        <w:t xml:space="preserve">is normalized to a single style across the proc.</w:t>
      </w:r>
    </w:p>
    <w:p>
      <w:pPr>
        <w:numPr>
          <w:ilvl w:val="0"/>
          <w:numId w:val="1008"/>
        </w:numPr>
        <w:pStyle w:val="Compact"/>
      </w:pPr>
      <w:r>
        <w:t xml:space="preserve">Whitespace around</w:t>
      </w:r>
      <w:r>
        <w:t xml:space="preserve"> </w:t>
      </w:r>
      <w:r>
        <w:rPr>
          <w:rStyle w:val="VerbatimChar"/>
        </w:rPr>
        <w:t xml:space="preserve">Inner Join</w:t>
      </w:r>
      <w:r>
        <w:t xml:space="preserve">,</w:t>
      </w:r>
      <w:r>
        <w:t xml:space="preserve"> </w:t>
      </w:r>
      <w:r>
        <w:rPr>
          <w:rStyle w:val="VerbatimChar"/>
        </w:rPr>
        <w:t xml:space="preserve">Where</w:t>
      </w:r>
      <w:r>
        <w:t xml:space="preserve">, and</w:t>
      </w:r>
      <w:r>
        <w:t xml:space="preserve"> </w:t>
      </w:r>
      <w:r>
        <w:rPr>
          <w:rStyle w:val="VerbatimChar"/>
        </w:rPr>
        <w:t xml:space="preserve">On</w:t>
      </w:r>
      <w:r>
        <w:t xml:space="preserve"> </w:t>
      </w:r>
      <w:r>
        <w:t xml:space="preserve">is cleaned up to match the conventions established by the Row 15 and Row 16 refactors.</w:t>
      </w:r>
    </w:p>
    <w:p>
      <w:pPr>
        <w:numPr>
          <w:ilvl w:val="0"/>
          <w:numId w:val="1008"/>
        </w:numPr>
        <w:pStyle w:val="Compact"/>
      </w:pPr>
      <w:r>
        <w:t xml:space="preserve">The trailing safety</w:t>
      </w:r>
      <w:r>
        <w:t xml:space="preserve"> </w:t>
      </w:r>
      <w:r>
        <w:rPr>
          <w:rStyle w:val="VerbatimChar"/>
        </w:rPr>
        <w:t xml:space="preserve">Set @VialTypeToProcess = -99</w:t>
      </w:r>
      <w:r>
        <w:t xml:space="preserve"> </w:t>
      </w:r>
      <w:r>
        <w:t xml:space="preserve">block is preserved exactly.</w:t>
      </w:r>
    </w:p>
    <w:p>
      <w:r>
        <w:pict>
          <v:rect style="width:0;height:1.5pt" o:hralign="center" o:hrstd="t" o:hr="t"/>
        </w:pict>
      </w:r>
    </w:p>
    <w:p>
      <w:pPr>
        <w:pStyle w:val="Heading2"/>
      </w:pPr>
      <w:bookmarkStart w:id="43" w:name="risk-rollback"/>
      <w:r>
        <w:t xml:space="preserve">7. Risk &amp; Rollback</w:t>
      </w:r>
      <w:bookmarkEnd w:id="43"/>
    </w:p>
    <w:p>
      <w:pPr>
        <w:pStyle w:val="Heading3"/>
      </w:pPr>
      <w:bookmarkStart w:id="44" w:name="risks"/>
      <w:r>
        <w:t xml:space="preserve">Risks</w:t>
      </w:r>
      <w:bookmarkEnd w:id="44"/>
    </w:p>
    <w:p>
      <w:pPr>
        <w:numPr>
          <w:ilvl w:val="0"/>
          <w:numId w:val="1009"/>
        </w:numPr>
        <w:pStyle w:val="Compact"/>
      </w:pPr>
      <w:r>
        <w:rPr>
          <w:b/>
        </w:rPr>
        <w:t xml:space="preserve">Sum vs Count semantic preservation.</w:t>
      </w:r>
      <w:r>
        <w:t xml:space="preserve"> </w:t>
      </w:r>
      <w:r>
        <w:t xml:space="preserve">v10’s</w:t>
      </w:r>
      <w:r>
        <w:t xml:space="preserve"> </w:t>
      </w:r>
      <w:r>
        <w:rPr>
          <w:rStyle w:val="VerbatimChar"/>
        </w:rPr>
        <w:t xml:space="preserve">Count(*)</w:t>
      </w:r>
      <w:r>
        <w:t xml:space="preserve"> </w:t>
      </w:r>
      <w:r>
        <w:t xml:space="preserve">returns 0 for empty input. v11’s</w:t>
      </w:r>
      <w:r>
        <w:t xml:space="preserve"> </w:t>
      </w:r>
      <w:r>
        <w:rPr>
          <w:rStyle w:val="VerbatimChar"/>
        </w:rPr>
        <w:t xml:space="preserve">Sum(Case ...)</w:t>
      </w:r>
      <w:r>
        <w:t xml:space="preserve"> </w:t>
      </w:r>
      <w:r>
        <w:t xml:space="preserve">returns</w:t>
      </w:r>
      <w:r>
        <w:t xml:space="preserve"> </w:t>
      </w:r>
      <w:r>
        <w:rPr>
          <w:rStyle w:val="VerbatimChar"/>
        </w:rPr>
        <w:t xml:space="preserve">Null</w:t>
      </w:r>
      <w:r>
        <w:t xml:space="preserve"> </w:t>
      </w:r>
      <w:r>
        <w:t xml:space="preserve">for empty input. The three</w:t>
      </w:r>
      <w:r>
        <w:t xml:space="preserve"> </w:t>
      </w:r>
      <w:r>
        <w:rPr>
          <w:rStyle w:val="VerbatimChar"/>
        </w:rPr>
        <w:t xml:space="preserve">IsNull(@Var, 0)</w:t>
      </w:r>
      <w:r>
        <w:t xml:space="preserve"> </w:t>
      </w:r>
      <w:r>
        <w:t xml:space="preserve">lines after the consolidated</w:t>
      </w:r>
      <w:r>
        <w:t xml:space="preserve"> </w:t>
      </w:r>
      <w:r>
        <w:rPr>
          <w:rStyle w:val="VerbatimChar"/>
        </w:rPr>
        <w:t xml:space="preserve">Select</w:t>
      </w:r>
      <w:r>
        <w:t xml:space="preserve"> </w:t>
      </w:r>
      <w:r>
        <w:t xml:space="preserve">cover this. The risk is forgetting the coalesce on a future edit; mitigated by the comment block.</w:t>
      </w:r>
    </w:p>
    <w:p>
      <w:pPr>
        <w:numPr>
          <w:ilvl w:val="0"/>
          <w:numId w:val="1009"/>
        </w:numPr>
        <w:pStyle w:val="Compact"/>
      </w:pPr>
      <w:r>
        <w:rPr>
          <w:b/>
        </w:rPr>
        <w:t xml:space="preserve">Primary-key constraint on the temp table.</w:t>
      </w:r>
      <w:r>
        <w:t xml:space="preserve"> </w:t>
      </w:r>
      <w:r>
        <w:t xml:space="preserve">v11 declares</w:t>
      </w:r>
      <w:r>
        <w:t xml:space="preserve"> </w:t>
      </w:r>
      <w:r>
        <w:rPr>
          <w:rStyle w:val="VerbatimChar"/>
        </w:rPr>
        <w:t xml:space="preserve">(ActOnAsPriInternal, PriInternal)</w:t>
      </w:r>
      <w:r>
        <w:t xml:space="preserve"> </w:t>
      </w:r>
      <w:r>
        <w:t xml:space="preserve">as a primary key, which enforces uniqueness. v10 had no such constraint. If</w:t>
      </w:r>
      <w:r>
        <w:t xml:space="preserve"> </w:t>
      </w:r>
      <w:r>
        <w:rPr>
          <w:rStyle w:val="VerbatimChar"/>
        </w:rPr>
        <w:t xml:space="preserve">lsp_OrdGetReadyForDispenseRxsInBank</w:t>
      </w:r>
      <w:r>
        <w:t xml:space="preserve"> </w:t>
      </w:r>
      <w:r>
        <w:t xml:space="preserve">ever returns duplicate</w:t>
      </w:r>
      <w:r>
        <w:t xml:space="preserve"> </w:t>
      </w:r>
      <w:r>
        <w:rPr>
          <w:rStyle w:val="VerbatimChar"/>
        </w:rPr>
        <w:t xml:space="preserve">(ActOnAsPriInternal, PriInternal)</w:t>
      </w:r>
      <w:r>
        <w:t xml:space="preserve"> </w:t>
      </w:r>
      <w:r>
        <w:t xml:space="preserve">pairs, the v11</w:t>
      </w:r>
      <w:r>
        <w:t xml:space="preserve"> </w:t>
      </w:r>
      <w:r>
        <w:rPr>
          <w:rStyle w:val="VerbatimChar"/>
        </w:rPr>
        <w:t xml:space="preserve">Insert ... Exec</w:t>
      </w:r>
      <w:r>
        <w:t xml:space="preserve"> </w:t>
      </w:r>
      <w:r>
        <w:t xml:space="preserve">will fail with a primary-key violation. The validation run in Section 8 must confirm that the called proc never returns duplicates on this composite for the parameter shapes in production use. If it does, downgrade the constraint to a non-unique clustered index (</w:t>
      </w:r>
      <w:r>
        <w:rPr>
          <w:rStyle w:val="VerbatimChar"/>
        </w:rPr>
        <w:t xml:space="preserve">Create Clustered Index IX_TempTable2_ActOnAsPri On #temp_table2 (ActOnAsPriInternal, PriInternal)</w:t>
      </w:r>
      <w:r>
        <w:t xml:space="preserve">) after the table create.</w:t>
      </w:r>
    </w:p>
    <w:p>
      <w:pPr>
        <w:numPr>
          <w:ilvl w:val="0"/>
          <w:numId w:val="1009"/>
        </w:numPr>
        <w:pStyle w:val="Compact"/>
      </w:pPr>
      <w:r>
        <w:rPr>
          <w:b/>
        </w:rPr>
        <w:t xml:space="preserve">Plan-cache invalidation on first deploy.</w:t>
      </w:r>
      <w:r>
        <w:t xml:space="preserve"> </w:t>
      </w:r>
      <w:r>
        <w:t xml:space="preserve">The consolidated count statement and the single-pass vial-supply check are new query shapes. Both will compile fresh on first execution at each MFC, and the v10 plans will age out of cache. Expect a brief compile cost on the first call and steady state thereafter.</w:t>
      </w:r>
    </w:p>
    <w:p>
      <w:pPr>
        <w:numPr>
          <w:ilvl w:val="0"/>
          <w:numId w:val="1009"/>
        </w:numPr>
        <w:pStyle w:val="Compact"/>
      </w:pPr>
      <w:r>
        <w:rPr>
          <w:b/>
        </w:rPr>
        <w:t xml:space="preserve">The</w:t>
      </w:r>
      <w:r>
        <w:rPr>
          <w:b/>
        </w:rPr>
        <w:t xml:space="preserve"> </w:t>
      </w:r>
      <w:r>
        <w:rPr>
          <w:rStyle w:val="VerbatimChar"/>
          <w:b/>
        </w:rPr>
        <w:t xml:space="preserve">Union All</w:t>
      </w:r>
      <w:r>
        <w:rPr>
          <w:b/>
        </w:rPr>
        <w:t xml:space="preserve"> </w:t>
      </w:r>
      <w:r>
        <w:rPr>
          <w:b/>
        </w:rPr>
        <w:t xml:space="preserve">plan choice.</w:t>
      </w:r>
      <w:r>
        <w:t xml:space="preserve"> </w:t>
      </w:r>
      <w:r>
        <w:t xml:space="preserve">The optimizer plans the</w:t>
      </w:r>
      <w:r>
        <w:t xml:space="preserve"> </w:t>
      </w:r>
      <w:r>
        <w:rPr>
          <w:rStyle w:val="VerbatimChar"/>
        </w:rPr>
        <w:t xml:space="preserve">Union All</w:t>
      </w:r>
      <w:r>
        <w:t xml:space="preserve"> </w:t>
      </w:r>
      <w:r>
        <w:t xml:space="preserve">once with the full cardinality of the three sources in view. If the three branches have wildly different row counts (one returns 50K, another returns 10), the optimizer may choose join orders inside the branches that are tuned to the average. This is unlikely to be a regression because the original three plans were already optimizing each branch independently with no cross-branch information; the consolidated form has more information, not less. If a regression appears in a single branch, the fallback is to revert that one branch to a standalone</w:t>
      </w:r>
      <w:r>
        <w:t xml:space="preserve"> </w:t>
      </w:r>
      <w:r>
        <w:rPr>
          <w:rStyle w:val="VerbatimChar"/>
        </w:rPr>
        <w:t xml:space="preserve">Select @Var = Count(*) ...</w:t>
      </w:r>
      <w:r>
        <w:t xml:space="preserve"> </w:t>
      </w:r>
      <w:r>
        <w:t xml:space="preserve">and keep the other two consolidated.</w:t>
      </w:r>
    </w:p>
    <w:p>
      <w:pPr>
        <w:pStyle w:val="Heading3"/>
      </w:pPr>
      <w:bookmarkStart w:id="45" w:name="rollback"/>
      <w:r>
        <w:t xml:space="preserve">Rollback</w:t>
      </w:r>
      <w:bookmarkEnd w:id="45"/>
    </w:p>
    <w:p>
      <w:pPr>
        <w:pStyle w:val="FirstParagraph"/>
      </w:pPr>
      <w:r>
        <w:t xml:space="preserve">The proc is read-only with side-effect-free outputs (two recordsets returned to the robot caller). Rollback is a pure DDL revert: restore the v10 body via</w:t>
      </w:r>
      <w:r>
        <w:t xml:space="preserve"> </w:t>
      </w:r>
      <w:r>
        <w:rPr>
          <w:rStyle w:val="VerbatimChar"/>
        </w:rPr>
        <w:t xml:space="preserve">Alter Procedure</w:t>
      </w:r>
      <w:r>
        <w:t xml:space="preserve">. No data state is mutated, so there is no compensating action required.</w:t>
      </w:r>
    </w:p>
    <w:p>
      <w:pPr>
        <w:pStyle w:val="BodyText"/>
      </w:pPr>
      <w:r>
        <w:t xml:space="preserve">If a regression appears, run the v10 form against the same data state to confirm. Rollback path:</w:t>
      </w:r>
    </w:p>
    <w:p>
      <w:pPr>
        <w:pStyle w:val="SourceCode"/>
      </w:pPr>
      <w:r>
        <w:rPr>
          <w:rStyle w:val="CommentTok"/>
        </w:rPr>
        <w:t xml:space="preserve">-- pull v10 from git</w:t>
      </w:r>
      <w:r>
        <w:br/>
      </w:r>
      <w:r>
        <w:rPr>
          <w:rStyle w:val="NormalTok"/>
        </w:rPr>
        <w:t xml:space="preserve">git show a43f691</w:t>
      </w:r>
      <w:r>
        <w:rPr>
          <w:rStyle w:val="CharTok"/>
        </w:rPr>
        <w:t xml:space="preserve">:stored_procedures</w:t>
      </w:r>
      <w:r>
        <w:rPr>
          <w:rStyle w:val="OperatorTok"/>
        </w:rPr>
        <w:t xml:space="preserve">/</w:t>
      </w:r>
      <w:r>
        <w:rPr>
          <w:rStyle w:val="NormalTok"/>
        </w:rPr>
        <w:t xml:space="preserve">lsp_RbtDetermineNextVialToProcess.sql</w:t>
      </w:r>
      <w:r>
        <w:br/>
      </w:r>
      <w:r>
        <w:br/>
      </w:r>
      <w:r>
        <w:rPr>
          <w:rStyle w:val="CommentTok"/>
        </w:rPr>
        <w:t xml:space="preserve">-- adjust ALTER -&gt; CREATE if needed, deploy</w:t>
      </w:r>
    </w:p>
    <w:p>
      <w:pPr>
        <w:pStyle w:val="Heading3"/>
      </w:pPr>
      <w:bookmarkStart w:id="46" w:name="monitoring-window"/>
      <w:r>
        <w:t xml:space="preserve">Monitoring Window</w:t>
      </w:r>
      <w:bookmarkEnd w:id="46"/>
    </w:p>
    <w:p>
      <w:pPr>
        <w:pStyle w:val="FirstParagraph"/>
      </w:pPr>
      <w:r>
        <w:t xml:space="preserve">For the first 24 hours after deployment, watch:</w:t>
      </w:r>
    </w:p>
    <w:p>
      <w:pPr>
        <w:numPr>
          <w:ilvl w:val="0"/>
          <w:numId w:val="1010"/>
        </w:numPr>
        <w:pStyle w:val="Compact"/>
      </w:pPr>
      <w:r>
        <w:t xml:space="preserve">Robot dispense controller log for any errors on the</w:t>
      </w:r>
      <w:r>
        <w:t xml:space="preserve"> </w:t>
      </w:r>
      <w:r>
        <w:rPr>
          <w:rStyle w:val="VerbatimChar"/>
        </w:rPr>
        <w:t xml:space="preserve">Insert ... Exec</w:t>
      </w:r>
      <w:r>
        <w:t xml:space="preserve"> </w:t>
      </w:r>
      <w:r>
        <w:t xml:space="preserve">(specifically primary-key violations on</w:t>
      </w:r>
      <w:r>
        <w:t xml:space="preserve"> </w:t>
      </w:r>
      <w:r>
        <w:rPr>
          <w:rStyle w:val="VerbatimChar"/>
        </w:rPr>
        <w:t xml:space="preserve">#temp_table2</w:t>
      </w:r>
      <w:r>
        <w:t xml:space="preserve">, which would surface a duplicate</w:t>
      </w:r>
      <w:r>
        <w:t xml:space="preserve"> </w:t>
      </w:r>
      <w:r>
        <w:rPr>
          <w:rStyle w:val="VerbatimChar"/>
        </w:rPr>
        <w:t xml:space="preserve">(ActOnAsPriInternal, PriInternal)</w:t>
      </w:r>
      <w:r>
        <w:t xml:space="preserve"> </w:t>
      </w:r>
      <w:r>
        <w:t xml:space="preserve">pair from the called proc).</w:t>
      </w:r>
    </w:p>
    <w:p>
      <w:pPr>
        <w:numPr>
          <w:ilvl w:val="0"/>
          <w:numId w:val="1010"/>
        </w:numPr>
        <w:pStyle w:val="Compact"/>
      </w:pPr>
      <w:r>
        <w:t xml:space="preserve">Query Store for</w:t>
      </w:r>
      <w:r>
        <w:t xml:space="preserve"> </w:t>
      </w:r>
      <w:r>
        <w:rPr>
          <w:rStyle w:val="VerbatimChar"/>
        </w:rPr>
        <w:t xml:space="preserve">lsp_RbtDetermineNextVialToProcess</w:t>
      </w:r>
      <w:r>
        <w:t xml:space="preserve"> </w:t>
      </w:r>
      <w:r>
        <w:t xml:space="preserve">average reads/exec, average duration, and plan count. The headline metric is the</w:t>
      </w:r>
      <w:r>
        <w:t xml:space="preserve"> </w:t>
      </w:r>
      <w:r>
        <w:rPr>
          <w:rStyle w:val="VerbatimChar"/>
        </w:rPr>
        <w:t xml:space="preserve">INSERT INTO #temp_table2 EXEC ...</w:t>
      </w:r>
      <w:r>
        <w:t xml:space="preserve"> </w:t>
      </w:r>
      <w:r>
        <w:t xml:space="preserve">line; v11 does not change this line, so the cross-MFC reads-per-exec on that line should be flat. Any large drift from the 8K-28K range is signal that something else changed.</w:t>
      </w:r>
    </w:p>
    <w:p>
      <w:pPr>
        <w:numPr>
          <w:ilvl w:val="0"/>
          <w:numId w:val="1010"/>
        </w:numPr>
        <w:pStyle w:val="Compact"/>
      </w:pPr>
      <w:r>
        <w:t xml:space="preserve">Plan cache. Should now show one plan for the consolidated count statement, one for the single-pass vial-supply check, one for the priority-3 final</w:t>
      </w:r>
      <w:r>
        <w:t xml:space="preserve"> </w:t>
      </w:r>
      <w:r>
        <w:rPr>
          <w:rStyle w:val="VerbatimChar"/>
        </w:rPr>
        <w:t xml:space="preserve">Select</w:t>
      </w:r>
      <w:r>
        <w:t xml:space="preserve">, and the existing plans for the priority-1 and priority-2 detail returns. Total plan count for the proc should be small and stable.</w:t>
      </w:r>
    </w:p>
    <w:p>
      <w:r>
        <w:pict>
          <v:rect style="width:0;height:1.5pt" o:hralign="center" o:hrstd="t" o:hr="t"/>
        </w:pict>
      </w:r>
    </w:p>
    <w:p>
      <w:pPr>
        <w:pStyle w:val="Heading2"/>
      </w:pPr>
      <w:bookmarkStart w:id="47" w:name="evidence-of-refactor-v11"/>
      <w:r>
        <w:t xml:space="preserve">8. Evidence of Refactor (v11)</w:t>
      </w:r>
      <w:bookmarkEnd w:id="47"/>
    </w:p>
    <w:p>
      <w:pPr>
        <w:pStyle w:val="FirstParagraph"/>
      </w:pPr>
      <w:r>
        <w:t xml:space="preserve">I capture STATS IO/TIME from the same MFC and same data state used for the v10 capture, running v11 with parameters that exercise at least the priority-3 path (the highest-frequency path) and ideally one of priority-1 or priority-2 for breadth.</w:t>
      </w:r>
    </w:p>
    <w:p>
      <w:pPr>
        <w:pStyle w:val="SourceCode"/>
      </w:pPr>
      <w:r>
        <w:rPr>
          <w:rStyle w:val="VerbatimChar"/>
        </w:rPr>
        <w:t xml:space="preserve">(STATS IO + STATS TIME output for v11 goes here, paired with .sqlplan)</w:t>
      </w:r>
    </w:p>
    <w:p>
      <w:pPr>
        <w:pStyle w:val="FirstParagraph"/>
      </w:pPr>
      <w:r>
        <w:t xml:space="preserve">The post-refactor plan summary should show:</w:t>
      </w:r>
    </w:p>
    <w:p>
      <w:pPr>
        <w:numPr>
          <w:ilvl w:val="0"/>
          <w:numId w:val="1011"/>
        </w:numPr>
        <w:pStyle w:val="Compact"/>
      </w:pPr>
      <w:r>
        <w:t xml:space="preserve">One plan for the consolidated count statement, with three</w:t>
      </w:r>
      <w:r>
        <w:t xml:space="preserve"> </w:t>
      </w:r>
      <w:r>
        <w:rPr>
          <w:rStyle w:val="VerbatimChar"/>
        </w:rPr>
        <w:t xml:space="preserve">Index Seek</w:t>
      </w:r>
      <w:r>
        <w:t xml:space="preserve"> </w:t>
      </w:r>
      <w:r>
        <w:t xml:space="preserve">(or</w:t>
      </w:r>
      <w:r>
        <w:t xml:space="preserve"> </w:t>
      </w:r>
      <w:r>
        <w:rPr>
          <w:rStyle w:val="VerbatimChar"/>
        </w:rPr>
        <w:t xml:space="preserve">Index Scan</w:t>
      </w:r>
      <w:r>
        <w:t xml:space="preserve">) operators feeding a</w:t>
      </w:r>
      <w:r>
        <w:t xml:space="preserve"> </w:t>
      </w:r>
      <w:r>
        <w:rPr>
          <w:rStyle w:val="VerbatimChar"/>
        </w:rPr>
        <w:t xml:space="preserve">Concatenation</w:t>
      </w:r>
      <w:r>
        <w:t xml:space="preserve"> </w:t>
      </w:r>
      <w:r>
        <w:t xml:space="preserve">(Union All), then a</w:t>
      </w:r>
      <w:r>
        <w:t xml:space="preserve"> </w:t>
      </w:r>
      <w:r>
        <w:rPr>
          <w:rStyle w:val="VerbatimChar"/>
        </w:rPr>
        <w:t xml:space="preserve">Stream Aggregate</w:t>
      </w:r>
      <w:r>
        <w:t xml:space="preserve"> </w:t>
      </w:r>
      <w:r>
        <w:t xml:space="preserve">for the conditional sums.</w:t>
      </w:r>
    </w:p>
    <w:p>
      <w:pPr>
        <w:numPr>
          <w:ilvl w:val="0"/>
          <w:numId w:val="1011"/>
        </w:numPr>
        <w:pStyle w:val="Compact"/>
      </w:pPr>
      <w:r>
        <w:t xml:space="preserve">One plan for the single-pass</w:t>
      </w:r>
      <w:r>
        <w:t xml:space="preserve"> </w:t>
      </w:r>
      <w:r>
        <w:rPr>
          <w:rStyle w:val="VerbatimChar"/>
        </w:rPr>
        <w:t xml:space="preserve">RbtVialSupply</w:t>
      </w:r>
      <w:r>
        <w:t xml:space="preserve"> </w:t>
      </w:r>
      <w:r>
        <w:t xml:space="preserve">check, with a single</w:t>
      </w:r>
      <w:r>
        <w:t xml:space="preserve"> </w:t>
      </w:r>
      <w:r>
        <w:rPr>
          <w:rStyle w:val="VerbatimChar"/>
        </w:rPr>
        <w:t xml:space="preserve">Index Seek</w:t>
      </w:r>
      <w:r>
        <w:t xml:space="preserve"> </w:t>
      </w:r>
      <w:r>
        <w:t xml:space="preserve">or</w:t>
      </w:r>
      <w:r>
        <w:t xml:space="preserve"> </w:t>
      </w:r>
      <w:r>
        <w:rPr>
          <w:rStyle w:val="VerbatimChar"/>
        </w:rPr>
        <w:t xml:space="preserve">Clustered Index Scan</w:t>
      </w:r>
      <w:r>
        <w:t xml:space="preserve"> </w:t>
      </w:r>
      <w:r>
        <w:t xml:space="preserve">filtered to</w:t>
      </w:r>
      <w:r>
        <w:t xml:space="preserve"> </w:t>
      </w:r>
      <w:r>
        <w:rPr>
          <w:rStyle w:val="VerbatimChar"/>
        </w:rPr>
        <w:t xml:space="preserve">AddrBank = @AddrBank</w:t>
      </w:r>
      <w:r>
        <w:t xml:space="preserve">.</w:t>
      </w:r>
    </w:p>
    <w:p>
      <w:pPr>
        <w:numPr>
          <w:ilvl w:val="0"/>
          <w:numId w:val="1011"/>
        </w:numPr>
        <w:pStyle w:val="Compact"/>
      </w:pPr>
      <w:r>
        <w:t xml:space="preserve">The</w:t>
      </w:r>
      <w:r>
        <w:t xml:space="preserve"> </w:t>
      </w:r>
      <w:r>
        <w:rPr>
          <w:rStyle w:val="VerbatimChar"/>
        </w:rPr>
        <w:t xml:space="preserve">INSERT INTO #temp_table2 EXEC ...</w:t>
      </w:r>
      <w:r>
        <w:t xml:space="preserve"> </w:t>
      </w:r>
      <w:r>
        <w:t xml:space="preserve">operator unchanged from v10 (because the called proc and its plan are unchanged).</w:t>
      </w:r>
    </w:p>
    <w:p>
      <w:pPr>
        <w:numPr>
          <w:ilvl w:val="0"/>
          <w:numId w:val="1011"/>
        </w:numPr>
        <w:pStyle w:val="Compact"/>
      </w:pPr>
      <w:r>
        <w:t xml:space="preserve">The final</w:t>
      </w:r>
      <w:r>
        <w:t xml:space="preserve"> </w:t>
      </w:r>
      <w:r>
        <w:rPr>
          <w:rStyle w:val="VerbatimChar"/>
        </w:rPr>
        <w:t xml:space="preserve">Select From #temp_table2</w:t>
      </w:r>
      <w:r>
        <w:t xml:space="preserve"> </w:t>
      </w:r>
      <w:r>
        <w:t xml:space="preserve">plan should now show a</w:t>
      </w:r>
      <w:r>
        <w:t xml:space="preserve"> </w:t>
      </w:r>
      <w:r>
        <w:rPr>
          <w:rStyle w:val="VerbatimChar"/>
        </w:rPr>
        <w:t xml:space="preserve">Clustered Index Scan</w:t>
      </w:r>
      <w:r>
        <w:t xml:space="preserve"> </w:t>
      </w:r>
      <w:r>
        <w:t xml:space="preserve">of</w:t>
      </w:r>
      <w:r>
        <w:t xml:space="preserve"> </w:t>
      </w:r>
      <w:r>
        <w:rPr>
          <w:rStyle w:val="VerbatimChar"/>
        </w:rPr>
        <w:t xml:space="preserve">PK_TempTable2_ActOnAsPriInternal_PriInternal</w:t>
      </w:r>
      <w:r>
        <w:t xml:space="preserve"> </w:t>
      </w:r>
      <w:r>
        <w:t xml:space="preserve">with no</w:t>
      </w:r>
      <w:r>
        <w:t xml:space="preserve"> </w:t>
      </w:r>
      <w:r>
        <w:rPr>
          <w:rStyle w:val="VerbatimChar"/>
        </w:rPr>
        <w:t xml:space="preserve">Sort</w:t>
      </w:r>
      <w:r>
        <w:t xml:space="preserve"> </w:t>
      </w:r>
      <w:r>
        <w:t xml:space="preserve">operator. v10 showed a</w:t>
      </w:r>
      <w:r>
        <w:t xml:space="preserve"> </w:t>
      </w:r>
      <w:r>
        <w:rPr>
          <w:rStyle w:val="VerbatimChar"/>
        </w:rPr>
        <w:t xml:space="preserve">Table Scan</w:t>
      </w:r>
      <w:r>
        <w:t xml:space="preserve"> </w:t>
      </w:r>
      <w:r>
        <w:t xml:space="preserve">of the heap followed by a</w:t>
      </w:r>
      <w:r>
        <w:t xml:space="preserve"> </w:t>
      </w:r>
      <w:r>
        <w:rPr>
          <w:rStyle w:val="VerbatimChar"/>
        </w:rPr>
        <w:t xml:space="preserve">Sort</w:t>
      </w:r>
      <w:r>
        <w:t xml:space="preserve">.</w:t>
      </w:r>
    </w:p>
    <w:p>
      <w:r>
        <w:pict>
          <v:rect style="width:0;height:1.5pt" o:hralign="center" o:hrstd="t" o:hr="t"/>
        </w:pict>
      </w:r>
    </w:p>
    <w:p>
      <w:pPr>
        <w:pStyle w:val="Heading2"/>
      </w:pPr>
      <w:bookmarkStart w:id="48" w:name="comparison-improvement"/>
      <w:r>
        <w:t xml:space="preserve">9. Comparison &amp; Improvement</w:t>
      </w:r>
      <w:bookmarkEnd w:id="48"/>
    </w:p>
    <w:p>
      <w:pPr>
        <w:pStyle w:val="FirstParagraph"/>
      </w:pPr>
      <w:r>
        <w:rPr>
          <w:i/>
        </w:rPr>
        <w:t xml:space="preserve">Filled in once both v10 and v11 STATS IO/TIME outputs are pasted above.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Metric</w:t>
            </w:r>
          </w:p>
        </w:tc>
        <w:tc>
          <w:tcPr>
            <w:tcBorders>
              <w:bottom w:val="single"/>
            </w:tcBorders>
            <w:vAlign w:val="bottom"/>
          </w:tcPr>
          <w:p>
            <w:pPr>
              <w:pStyle w:val="Compact"/>
              <w:jc w:val="left"/>
            </w:pPr>
            <w:r>
              <w:t xml:space="preserve">v10 (heap, three counts)</w:t>
            </w:r>
          </w:p>
        </w:tc>
        <w:tc>
          <w:tcPr>
            <w:tcBorders>
              <w:bottom w:val="single"/>
            </w:tcBorders>
            <w:vAlign w:val="bottom"/>
          </w:tcPr>
          <w:p>
            <w:pPr>
              <w:pStyle w:val="Compact"/>
              <w:jc w:val="left"/>
            </w:pPr>
            <w:r>
              <w:t xml:space="preserve">v11 (indexed, consolidated)</w:t>
            </w:r>
          </w:p>
        </w:tc>
        <w:tc>
          <w:tcPr>
            <w:tcBorders>
              <w:bottom w:val="single"/>
            </w:tcBorders>
            <w:vAlign w:val="bottom"/>
          </w:tcPr>
          <w:p>
            <w:pPr>
              <w:pStyle w:val="Compact"/>
              <w:jc w:val="left"/>
            </w:pPr>
            <w:r>
              <w:t xml:space="preserve">Delta</w:t>
            </w:r>
          </w:p>
        </w:tc>
        <w:tc>
          <w:tcPr>
            <w:tcBorders>
              <w:bottom w:val="single"/>
            </w:tcBorders>
            <w:vAlign w:val="bottom"/>
          </w:tcPr>
          <w:p>
            <w:pPr>
              <w:pStyle w:val="Compact"/>
              <w:jc w:val="left"/>
            </w:pPr>
            <w:r>
              <w:t xml:space="preserve">% Change</w:t>
            </w:r>
          </w:p>
        </w:tc>
      </w:tr>
      <w:tr>
        <w:tc>
          <w:p>
            <w:pPr>
              <w:pStyle w:val="Compact"/>
              <w:jc w:val="left"/>
            </w:pPr>
            <w:r>
              <w:t xml:space="preserve">Logical reads, OeOrder</w:t>
            </w:r>
          </w:p>
        </w:tc>
        <w:tc>
          <w:p/>
        </w:tc>
        <w:tc>
          <w:p/>
        </w:tc>
        <w:tc>
          <w:p/>
        </w:tc>
        <w:tc>
          <w:p/>
        </w:tc>
      </w:tr>
      <w:tr>
        <w:tc>
          <w:p>
            <w:pPr>
              <w:pStyle w:val="Compact"/>
              <w:jc w:val="left"/>
            </w:pPr>
            <w:r>
              <w:t xml:space="preserve">Logical reads, TcdStatus</w:t>
            </w:r>
          </w:p>
        </w:tc>
        <w:tc>
          <w:p/>
        </w:tc>
        <w:tc>
          <w:p/>
        </w:tc>
        <w:tc>
          <w:p/>
        </w:tc>
        <w:tc>
          <w:p/>
        </w:tc>
      </w:tr>
      <w:tr>
        <w:tc>
          <w:p>
            <w:pPr>
              <w:pStyle w:val="Compact"/>
              <w:jc w:val="left"/>
            </w:pPr>
            <w:r>
              <w:t xml:space="preserve">Logical reads, RvoNonRxProductVial</w:t>
            </w:r>
          </w:p>
        </w:tc>
        <w:tc>
          <w:p/>
        </w:tc>
        <w:tc>
          <w:p/>
        </w:tc>
        <w:tc>
          <w:p/>
        </w:tc>
        <w:tc>
          <w:p/>
        </w:tc>
      </w:tr>
      <w:tr>
        <w:tc>
          <w:p>
            <w:pPr>
              <w:pStyle w:val="Compact"/>
              <w:jc w:val="left"/>
            </w:pPr>
            <w:r>
              <w:t xml:space="preserve">Logical reads, RbtQueuedForResetTcds</w:t>
            </w:r>
          </w:p>
        </w:tc>
        <w:tc>
          <w:p/>
        </w:tc>
        <w:tc>
          <w:p/>
        </w:tc>
        <w:tc>
          <w:p/>
        </w:tc>
        <w:tc>
          <w:p/>
        </w:tc>
      </w:tr>
      <w:tr>
        <w:tc>
          <w:p>
            <w:pPr>
              <w:pStyle w:val="Compact"/>
              <w:jc w:val="left"/>
            </w:pPr>
            <w:r>
              <w:t xml:space="preserve">Logical reads, RbtVialSupply</w:t>
            </w:r>
          </w:p>
        </w:tc>
        <w:tc>
          <w:p/>
        </w:tc>
        <w:tc>
          <w:p/>
        </w:tc>
        <w:tc>
          <w:p/>
        </w:tc>
        <w:tc>
          <w:p/>
        </w:tc>
      </w:tr>
      <w:tr>
        <w:tc>
          <w:p>
            <w:pPr>
              <w:pStyle w:val="Compact"/>
              <w:jc w:val="left"/>
            </w:pPr>
            <w:r>
              <w:t xml:space="preserve">Logical reads, #temp_table2</w:t>
            </w:r>
          </w:p>
        </w:tc>
        <w:tc>
          <w:p/>
        </w:tc>
        <w:tc>
          <w:p/>
        </w:tc>
        <w:tc>
          <w:p/>
        </w:tc>
        <w:tc>
          <w:p/>
        </w:tc>
      </w:tr>
      <w:tr>
        <w:tc>
          <w:p>
            <w:pPr>
              <w:pStyle w:val="Compact"/>
              <w:jc w:val="left"/>
            </w:pPr>
            <w:r>
              <w:t xml:space="preserve">Total logical reads</w:t>
            </w:r>
          </w:p>
        </w:tc>
        <w:tc>
          <w:p/>
        </w:tc>
        <w:tc>
          <w:p/>
        </w:tc>
        <w:tc>
          <w:p/>
        </w:tc>
        <w:tc>
          <w:p/>
        </w:tc>
      </w:tr>
      <w:tr>
        <w:tc>
          <w:p>
            <w:pPr>
              <w:pStyle w:val="Compact"/>
              <w:jc w:val="left"/>
            </w:pPr>
            <w:r>
              <w:t xml:space="preserve">CPU time (ms)</w:t>
            </w:r>
          </w:p>
        </w:tc>
        <w:tc>
          <w:p/>
        </w:tc>
        <w:tc>
          <w:p/>
        </w:tc>
        <w:tc>
          <w:p/>
        </w:tc>
        <w:tc>
          <w:p/>
        </w:tc>
      </w:tr>
      <w:tr>
        <w:tc>
          <w:p>
            <w:pPr>
              <w:pStyle w:val="Compact"/>
              <w:jc w:val="left"/>
            </w:pPr>
            <w:r>
              <w:t xml:space="preserve">Elapsed time (ms)</w:t>
            </w:r>
          </w:p>
        </w:tc>
        <w:tc>
          <w:p/>
        </w:tc>
        <w:tc>
          <w:p/>
        </w:tc>
        <w:tc>
          <w:p/>
        </w:tc>
        <w:tc>
          <w:p/>
        </w:tc>
      </w:tr>
      <w:tr>
        <w:tc>
          <w:p>
            <w:pPr>
              <w:pStyle w:val="Compact"/>
              <w:jc w:val="left"/>
            </w:pPr>
            <w:r>
              <w:t xml:space="preserve">Statements compiled (first call)</w:t>
            </w:r>
          </w:p>
        </w:tc>
        <w:tc>
          <w:p/>
        </w:tc>
        <w:tc>
          <w:p/>
        </w:tc>
        <w:tc>
          <w:p/>
        </w:tc>
        <w:tc>
          <w:p/>
        </w:tc>
      </w:tr>
      <w:tr>
        <w:tc>
          <w:p>
            <w:pPr>
              <w:pStyle w:val="Compact"/>
              <w:jc w:val="left"/>
            </w:pPr>
            <w:r>
              <w:t xml:space="preserve">Plans cached for this proc</w:t>
            </w:r>
          </w:p>
        </w:tc>
        <w:tc>
          <w:p/>
        </w:tc>
        <w:tc>
          <w:p/>
        </w:tc>
        <w:tc>
          <w:p/>
        </w:tc>
        <w:tc>
          <w:p/>
        </w:tc>
      </w:tr>
      <w:tr>
        <w:tc>
          <w:p>
            <w:pPr>
              <w:pStyle w:val="Compact"/>
              <w:jc w:val="left"/>
            </w:pPr>
            <w:r>
              <w:t xml:space="preserve">Result row count (must match)</w:t>
            </w:r>
          </w:p>
        </w:tc>
        <w:tc>
          <w:p/>
        </w:tc>
        <w:tc>
          <w:p/>
        </w:tc>
        <w:tc>
          <w:p/>
        </w:tc>
        <w:tc>
          <w:p/>
        </w:tc>
      </w:tr>
    </w:tbl>
    <w:p>
      <w:pPr>
        <w:pStyle w:val="BodyText"/>
      </w:pPr>
      <w:r>
        <w:rPr>
          <w:b/>
        </w:rPr>
        <w:t xml:space="preserve">Plan-shape verification:</w:t>
      </w:r>
    </w:p>
    <w:p>
      <w:pPr>
        <w:numPr>
          <w:ilvl w:val="0"/>
          <w:numId w:val="1012"/>
        </w:numPr>
        <w:pStyle w:val="Compact"/>
      </w:pPr>
      <w:r>
        <w:t xml:space="preserve">v10</w:t>
      </w:r>
      <w:r>
        <w:t xml:space="preserve"> </w:t>
      </w:r>
      <w:r>
        <w:rPr>
          <w:rStyle w:val="VerbatimChar"/>
        </w:rPr>
        <w:t xml:space="preserve">INSERT INTO #temp_table2 EXEC ...</w:t>
      </w:r>
      <w:r>
        <w:t xml:space="preserve"> </w:t>
      </w:r>
      <w:r>
        <w:t xml:space="preserve">operator should match v11 (both inherit from the unchanged called proc).</w:t>
      </w:r>
    </w:p>
    <w:p>
      <w:pPr>
        <w:numPr>
          <w:ilvl w:val="0"/>
          <w:numId w:val="1012"/>
        </w:numPr>
        <w:pStyle w:val="Compact"/>
      </w:pPr>
      <w:r>
        <w:t xml:space="preserve">v10 final</w:t>
      </w:r>
      <w:r>
        <w:t xml:space="preserve"> </w:t>
      </w:r>
      <w:r>
        <w:rPr>
          <w:rStyle w:val="VerbatimChar"/>
        </w:rPr>
        <w:t xml:space="preserve">Select From #temp_table2</w:t>
      </w:r>
      <w:r>
        <w:t xml:space="preserve"> </w:t>
      </w:r>
      <w:r>
        <w:t xml:space="preserve">should show a heap</w:t>
      </w:r>
      <w:r>
        <w:t xml:space="preserve"> </w:t>
      </w:r>
      <w:r>
        <w:rPr>
          <w:rStyle w:val="VerbatimChar"/>
        </w:rPr>
        <w:t xml:space="preserve">Table Scan</w:t>
      </w:r>
      <w:r>
        <w:t xml:space="preserve"> </w:t>
      </w:r>
      <w:r>
        <w:t xml:space="preserve">followed by a</w:t>
      </w:r>
      <w:r>
        <w:t xml:space="preserve"> </w:t>
      </w:r>
      <w:r>
        <w:rPr>
          <w:rStyle w:val="VerbatimChar"/>
        </w:rPr>
        <w:t xml:space="preserve">Sort</w:t>
      </w:r>
      <w:r>
        <w:t xml:space="preserve"> </w:t>
      </w:r>
      <w:r>
        <w:t xml:space="preserve">operator. v11 should show a clustered index scan of</w:t>
      </w:r>
      <w:r>
        <w:t xml:space="preserve"> </w:t>
      </w:r>
      <w:r>
        <w:rPr>
          <w:rStyle w:val="VerbatimChar"/>
        </w:rPr>
        <w:t xml:space="preserve">PK_TempTable2_ActOnAsPriInternal_PriInternal</w:t>
      </w:r>
      <w:r>
        <w:t xml:space="preserve"> </w:t>
      </w:r>
      <w:r>
        <w:t xml:space="preserve">with no</w:t>
      </w:r>
      <w:r>
        <w:t xml:space="preserve"> </w:t>
      </w:r>
      <w:r>
        <w:rPr>
          <w:rStyle w:val="VerbatimChar"/>
        </w:rPr>
        <w:t xml:space="preserve">Sort</w:t>
      </w:r>
      <w:r>
        <w:t xml:space="preserve">.</w:t>
      </w:r>
    </w:p>
    <w:p>
      <w:pPr>
        <w:numPr>
          <w:ilvl w:val="0"/>
          <w:numId w:val="1012"/>
        </w:numPr>
        <w:pStyle w:val="Compact"/>
      </w:pPr>
      <w:r>
        <w:t xml:space="preserve">v10 large-vial-availability check should show two seeks against</w:t>
      </w:r>
      <w:r>
        <w:t xml:space="preserve"> </w:t>
      </w:r>
      <w:r>
        <w:rPr>
          <w:rStyle w:val="VerbatimChar"/>
        </w:rPr>
        <w:t xml:space="preserve">RbtVialSupply</w:t>
      </w:r>
      <w:r>
        <w:t xml:space="preserve">. v11 should show one.</w:t>
      </w:r>
    </w:p>
    <w:p>
      <w:pPr>
        <w:numPr>
          <w:ilvl w:val="0"/>
          <w:numId w:val="1012"/>
        </w:numPr>
        <w:pStyle w:val="Compact"/>
      </w:pPr>
      <w:r>
        <w:t xml:space="preserve">v10 should show three independent count plans. v11 should show one consolidated count plan with a</w:t>
      </w:r>
      <w:r>
        <w:t xml:space="preserve"> </w:t>
      </w:r>
      <w:r>
        <w:rPr>
          <w:rStyle w:val="VerbatimChar"/>
        </w:rPr>
        <w:t xml:space="preserve">Concatenation</w:t>
      </w:r>
      <w:r>
        <w:t xml:space="preserve"> </w:t>
      </w:r>
      <w:r>
        <w:t xml:space="preserve">operator at the top.</w:t>
      </w:r>
    </w:p>
    <w:p>
      <w:r>
        <w:pict>
          <v:rect style="width:0;height:1.5pt" o:hralign="center" o:hrstd="t" o:hr="t"/>
        </w:pict>
      </w:r>
    </w:p>
    <w:p>
      <w:pPr>
        <w:pStyle w:val="Heading2"/>
      </w:pPr>
      <w:bookmarkStart w:id="49" w:name="validation-checklist"/>
      <w:r>
        <w:t xml:space="preserve">10. Validation Checklist</w:t>
      </w:r>
      <w:bookmarkEnd w:id="49"/>
    </w:p>
    <w:p>
      <w:pPr>
        <w:pStyle w:val="FirstParagraph"/>
      </w:pPr>
      <w:r>
        <w:t xml:space="preserve">Per</w:t>
      </w:r>
      <w:r>
        <w:t xml:space="preserve"> </w:t>
      </w:r>
      <w:r>
        <w:rPr>
          <w:rStyle w:val="VerbatimChar"/>
        </w:rPr>
        <w:t xml:space="preserve">tasks/lessons.md</w:t>
      </w:r>
      <w:r>
        <w:t xml:space="preserve">. Mark each pass or fail before declaring the refactor done.</w:t>
      </w:r>
    </w:p>
    <w:p>
      <w:pPr>
        <w:numPr>
          <w:ilvl w:val="0"/>
          <w:numId w:val="1013"/>
        </w:numPr>
        <w:pStyle w:val="Compact"/>
      </w:pPr>
      <w:r>
        <w:t xml:space="preserve">☐</w:t>
      </w:r>
      <w:r>
        <w:t xml:space="preserve"> </w:t>
      </w:r>
      <w:r>
        <w:rPr>
          <w:b/>
        </w:rPr>
        <w:t xml:space="preserve">Same data state.</w:t>
      </w:r>
      <w:r>
        <w:t xml:space="preserve"> </w:t>
      </w:r>
      <w:r>
        <w:t xml:space="preserve">Both v10 and v11 captures taken against the same data, ideally back to back without intervening writes to</w:t>
      </w:r>
      <w:r>
        <w:t xml:space="preserve"> </w:t>
      </w:r>
      <w:r>
        <w:rPr>
          <w:rStyle w:val="VerbatimChar"/>
        </w:rPr>
        <w:t xml:space="preserve">OeOrder</w:t>
      </w:r>
      <w:r>
        <w:t xml:space="preserve">,</w:t>
      </w:r>
      <w:r>
        <w:t xml:space="preserve"> </w:t>
      </w:r>
      <w:r>
        <w:rPr>
          <w:rStyle w:val="VerbatimChar"/>
        </w:rPr>
        <w:t xml:space="preserve">TcdStatus</w:t>
      </w:r>
      <w:r>
        <w:t xml:space="preserve">,</w:t>
      </w:r>
      <w:r>
        <w:t xml:space="preserve"> </w:t>
      </w:r>
      <w:r>
        <w:rPr>
          <w:rStyle w:val="VerbatimChar"/>
        </w:rPr>
        <w:t xml:space="preserve">RvoNonRxProductVial</w:t>
      </w:r>
      <w:r>
        <w:t xml:space="preserve">,</w:t>
      </w:r>
      <w:r>
        <w:t xml:space="preserve"> </w:t>
      </w:r>
      <w:r>
        <w:rPr>
          <w:rStyle w:val="VerbatimChar"/>
        </w:rPr>
        <w:t xml:space="preserve">RbtQueuedForResetTcds</w:t>
      </w:r>
      <w:r>
        <w:t xml:space="preserve">, or</w:t>
      </w:r>
      <w:r>
        <w:t xml:space="preserve"> </w:t>
      </w:r>
      <w:r>
        <w:rPr>
          <w:rStyle w:val="VerbatimChar"/>
        </w:rPr>
        <w:t xml:space="preserve">RbtVialSupply</w:t>
      </w:r>
      <w:r>
        <w:t xml:space="preserve">.</w:t>
      </w:r>
    </w:p>
    <w:p>
      <w:pPr>
        <w:numPr>
          <w:ilvl w:val="0"/>
          <w:numId w:val="1013"/>
        </w:numPr>
        <w:pStyle w:val="Compact"/>
      </w:pPr>
      <w:r>
        <w:t xml:space="preserve">☐</w:t>
      </w:r>
      <w:r>
        <w:t xml:space="preserve"> </w:t>
      </w:r>
      <w:r>
        <w:rPr>
          <w:b/>
        </w:rPr>
        <w:t xml:space="preserve">Warm cache only.</w:t>
      </w:r>
      <w:r>
        <w:t xml:space="preserve"> </w:t>
      </w:r>
      <w:r>
        <w:t xml:space="preserve">Both captures are the second of two consecutive runs.</w:t>
      </w:r>
    </w:p>
    <w:p>
      <w:pPr>
        <w:numPr>
          <w:ilvl w:val="0"/>
          <w:numId w:val="1013"/>
        </w:numPr>
        <w:pStyle w:val="Compact"/>
      </w:pPr>
      <w:r>
        <w:t xml:space="preserve">☐</w:t>
      </w:r>
      <w:r>
        <w:t xml:space="preserve"> </w:t>
      </w:r>
      <w:r>
        <w:rPr>
          <w:b/>
        </w:rPr>
        <w:t xml:space="preserve">Non-zero result set.</w:t>
      </w:r>
      <w:r>
        <w:t xml:space="preserve"> </w:t>
      </w:r>
      <w:r>
        <w:t xml:space="preserve">The priority-3 path should be the test target.</w:t>
      </w:r>
      <w:r>
        <w:t xml:space="preserve"> </w:t>
      </w:r>
      <w:r>
        <w:rPr>
          <w:rStyle w:val="VerbatimChar"/>
        </w:rPr>
        <w:t xml:space="preserve">#temp_table2</w:t>
      </w:r>
      <w:r>
        <w:t xml:space="preserve"> </w:t>
      </w:r>
      <w:r>
        <w:t xml:space="preserve">should hold at least one row from</w:t>
      </w:r>
      <w:r>
        <w:t xml:space="preserve"> </w:t>
      </w:r>
      <w:r>
        <w:rPr>
          <w:rStyle w:val="VerbatimChar"/>
        </w:rPr>
        <w:t xml:space="preserve">lsp_OrdGetReadyForDispenseRxsInBank</w:t>
      </w:r>
      <w:r>
        <w:t xml:space="preserve"> </w:t>
      </w:r>
      <w:r>
        <w:t xml:space="preserve">so the final</w:t>
      </w:r>
      <w:r>
        <w:t xml:space="preserve"> </w:t>
      </w:r>
      <w:r>
        <w:rPr>
          <w:rStyle w:val="VerbatimChar"/>
        </w:rPr>
        <w:t xml:space="preserve">Select</w:t>
      </w:r>
      <w:r>
        <w:t xml:space="preserve"> </w:t>
      </w:r>
      <w:r>
        <w:t xml:space="preserve">exercises the indexed-vs-heap difference. If the test data state has zero counted Rxs, the comparison cannot speak to the temp-table indexing change.</w:t>
      </w:r>
    </w:p>
    <w:p>
      <w:pPr>
        <w:numPr>
          <w:ilvl w:val="0"/>
          <w:numId w:val="1013"/>
        </w:numPr>
        <w:pStyle w:val="Compact"/>
      </w:pPr>
      <w:r>
        <w:t xml:space="preserve">☐</w:t>
      </w:r>
      <w:r>
        <w:t xml:space="preserve"> </w:t>
      </w:r>
      <w:r>
        <w:rPr>
          <w:b/>
        </w:rPr>
        <w:t xml:space="preserve">Identical result set.</w:t>
      </w:r>
      <w:r>
        <w:t xml:space="preserve"> </w:t>
      </w:r>
      <w:r>
        <w:t xml:space="preserve">v10 and v11 returned the same rows in the same order from the priority-3 final</w:t>
      </w:r>
      <w:r>
        <w:t xml:space="preserve"> </w:t>
      </w:r>
      <w:r>
        <w:rPr>
          <w:rStyle w:val="VerbatimChar"/>
        </w:rPr>
        <w:t xml:space="preserve">Select</w:t>
      </w:r>
      <w:r>
        <w:t xml:space="preserve">. Same row count, same row identities. The</w:t>
      </w:r>
      <w:r>
        <w:t xml:space="preserve"> </w:t>
      </w:r>
      <w:r>
        <w:rPr>
          <w:rStyle w:val="VerbatimChar"/>
        </w:rPr>
        <w:t xml:space="preserve">Order By</w:t>
      </w:r>
      <w:r>
        <w:t xml:space="preserve"> </w:t>
      </w:r>
      <w:r>
        <w:t xml:space="preserve">is preserved on both, so the order is deterministic.</w:t>
      </w:r>
    </w:p>
    <w:p>
      <w:pPr>
        <w:numPr>
          <w:ilvl w:val="0"/>
          <w:numId w:val="1013"/>
        </w:numPr>
        <w:pStyle w:val="Compact"/>
      </w:pPr>
      <w:r>
        <w:t xml:space="preserve">☐</w:t>
      </w:r>
      <w:r>
        <w:t xml:space="preserve"> </w:t>
      </w:r>
      <w:r>
        <w:rPr>
          <w:b/>
        </w:rPr>
        <w:t xml:space="preserve">Plan shape matches prediction.</w:t>
      </w:r>
      <w:r>
        <w:t xml:space="preserve"> </w:t>
      </w:r>
      <w:r>
        <w:t xml:space="preserve">v11’s consolidated count plan, single-pass vial-supply check, and clustered-index scan of</w:t>
      </w:r>
      <w:r>
        <w:t xml:space="preserve"> </w:t>
      </w:r>
      <w:r>
        <w:rPr>
          <w:rStyle w:val="VerbatimChar"/>
        </w:rPr>
        <w:t xml:space="preserve">#temp_table2</w:t>
      </w:r>
      <w:r>
        <w:t xml:space="preserve"> </w:t>
      </w:r>
      <w:r>
        <w:t xml:space="preserve">are visible in the</w:t>
      </w:r>
      <w:r>
        <w:t xml:space="preserve"> </w:t>
      </w:r>
      <w:r>
        <w:rPr>
          <w:rStyle w:val="VerbatimChar"/>
        </w:rPr>
        <w:t xml:space="preserve">.sqlplan</w:t>
      </w:r>
      <w:r>
        <w:t xml:space="preserve">. No</w:t>
      </w:r>
      <w:r>
        <w:t xml:space="preserve"> </w:t>
      </w:r>
      <w:r>
        <w:rPr>
          <w:rStyle w:val="VerbatimChar"/>
        </w:rPr>
        <w:t xml:space="preserve">Sort</w:t>
      </w:r>
      <w:r>
        <w:t xml:space="preserve"> </w:t>
      </w:r>
      <w:r>
        <w:t xml:space="preserve">operator on the final</w:t>
      </w:r>
      <w:r>
        <w:t xml:space="preserve"> </w:t>
      </w:r>
      <w:r>
        <w:rPr>
          <w:rStyle w:val="VerbatimChar"/>
        </w:rPr>
        <w:t xml:space="preserve">Select</w:t>
      </w:r>
      <w:r>
        <w:t xml:space="preserve">.</w:t>
      </w:r>
    </w:p>
    <w:p>
      <w:pPr>
        <w:numPr>
          <w:ilvl w:val="0"/>
          <w:numId w:val="1013"/>
        </w:numPr>
        <w:pStyle w:val="Compact"/>
      </w:pPr>
      <w:r>
        <w:t xml:space="preserve">☐</w:t>
      </w:r>
      <w:r>
        <w:t xml:space="preserve"> </w:t>
      </w:r>
      <w:r>
        <w:rPr>
          <w:b/>
        </w:rPr>
        <w:t xml:space="preserve">No new error or warning messages.</w:t>
      </w:r>
      <w:r>
        <w:t xml:space="preserve"> </w:t>
      </w:r>
      <w:r>
        <w:t xml:space="preserve">No primary-key violations on the</w:t>
      </w:r>
      <w:r>
        <w:t xml:space="preserve"> </w:t>
      </w:r>
      <w:r>
        <w:rPr>
          <w:rStyle w:val="VerbatimChar"/>
        </w:rPr>
        <w:t xml:space="preserve">Insert ... Exec</w:t>
      </w:r>
      <w:r>
        <w:t xml:space="preserve">, no cardinality errors, no conversion warnings, no excessive memory grant warnings.</w:t>
      </w:r>
    </w:p>
    <w:p>
      <w:pPr>
        <w:numPr>
          <w:ilvl w:val="0"/>
          <w:numId w:val="1013"/>
        </w:numPr>
        <w:pStyle w:val="Compact"/>
      </w:pPr>
      <w:r>
        <w:t xml:space="preserve">☐</w:t>
      </w:r>
      <w:r>
        <w:t xml:space="preserve"> </w:t>
      </w:r>
      <w:r>
        <w:rPr>
          <w:b/>
        </w:rPr>
        <w:t xml:space="preserve">Warm-cache elapsed time at or below v10.</w:t>
      </w:r>
      <w:r>
        <w:t xml:space="preserve"> </w:t>
      </w:r>
      <w:r>
        <w:t xml:space="preserve">v11 is at least as fast as v10. The expected delta is small in absolute terms because the dominant cost (the</w:t>
      </w:r>
      <w:r>
        <w:t xml:space="preserve"> </w:t>
      </w:r>
      <w:r>
        <w:rPr>
          <w:rStyle w:val="VerbatimChar"/>
        </w:rPr>
        <w:t xml:space="preserve">Insert ... Exec</w:t>
      </w:r>
      <w:r>
        <w:t xml:space="preserve">) is unchanged.</w:t>
      </w:r>
    </w:p>
    <w:p>
      <w:r>
        <w:pict>
          <v:rect style="width:0;height:1.5pt" o:hralign="center" o:hrstd="t" o:hr="t"/>
        </w:pict>
      </w:r>
    </w:p>
    <w:p>
      <w:pPr>
        <w:pStyle w:val="Heading2"/>
      </w:pPr>
      <w:bookmarkStart w:id="50" w:name="open-items-future-improvements"/>
      <w:r>
        <w:t xml:space="preserve">11. Open Items / Future Improvements</w:t>
      </w:r>
      <w:bookmarkEnd w:id="50"/>
    </w:p>
    <w:p>
      <w:pPr>
        <w:pStyle w:val="FirstParagraph"/>
      </w:pPr>
      <w:r>
        <w:t xml:space="preserve">These are observations made during the deep dive that are not in v11. Section 11.1 stages the index DDL extraction that needs to happen first. Section 11.2 stages the high-leverage follow-on refactor inside the called sub-proc. Section 11.3 is longer-horizon.</w:t>
      </w:r>
    </w:p>
    <w:p>
      <w:pPr>
        <w:pStyle w:val="Heading3"/>
      </w:pPr>
      <w:bookmarkStart w:id="51" w:name="X16ab4e6bc85bba268363911f23c17bd5d6d0df2"/>
      <w:r>
        <w:t xml:space="preserve">11.1 Index DDL extraction (must happen before deployment)</w:t>
      </w:r>
      <w:bookmarkEnd w:id="51"/>
    </w:p>
    <w:p>
      <w:pPr>
        <w:pStyle w:val="FirstParagraph"/>
      </w:pPr>
      <w:r>
        <w:t xml:space="preserve">Run</w:t>
      </w:r>
      <w:r>
        <w:t xml:space="preserve"> </w:t>
      </w:r>
      <w:r>
        <w:rPr>
          <w:rStyle w:val="VerbatimChar"/>
        </w:rPr>
        <w:t xml:space="preserve">extract_index_ddl.sql</w:t>
      </w:r>
      <w:r>
        <w:t xml:space="preserve"> </w:t>
      </w:r>
      <w:r>
        <w:t xml:space="preserve">against Tolleson with the</w:t>
      </w:r>
      <w:r>
        <w:t xml:space="preserve"> </w:t>
      </w:r>
      <w:r>
        <w:rPr>
          <w:rStyle w:val="VerbatimChar"/>
        </w:rPr>
        <w:t xml:space="preserve">@Tables</w:t>
      </w:r>
      <w:r>
        <w:t xml:space="preserve"> </w:t>
      </w:r>
      <w:r>
        <w:t xml:space="preserve">list set to:</w:t>
      </w:r>
    </w:p>
    <w:p>
      <w:pPr>
        <w:numPr>
          <w:ilvl w:val="0"/>
          <w:numId w:val="1014"/>
        </w:numPr>
        <w:pStyle w:val="Compact"/>
      </w:pPr>
      <w:r>
        <w:rPr>
          <w:rStyle w:val="VerbatimChar"/>
        </w:rPr>
        <w:t xml:space="preserve">TcdStatus</w:t>
      </w:r>
    </w:p>
    <w:p>
      <w:pPr>
        <w:numPr>
          <w:ilvl w:val="0"/>
          <w:numId w:val="1014"/>
        </w:numPr>
        <w:pStyle w:val="Compact"/>
      </w:pPr>
      <w:r>
        <w:rPr>
          <w:rStyle w:val="VerbatimChar"/>
        </w:rPr>
        <w:t xml:space="preserve">RbtQueuedForResetTcds</w:t>
      </w:r>
    </w:p>
    <w:p>
      <w:pPr>
        <w:numPr>
          <w:ilvl w:val="0"/>
          <w:numId w:val="1014"/>
        </w:numPr>
        <w:pStyle w:val="Compact"/>
      </w:pPr>
      <w:r>
        <w:rPr>
          <w:rStyle w:val="VerbatimChar"/>
        </w:rPr>
        <w:t xml:space="preserve">RbtVialSupply</w:t>
      </w:r>
    </w:p>
    <w:p>
      <w:pPr>
        <w:numPr>
          <w:ilvl w:val="0"/>
          <w:numId w:val="1014"/>
        </w:numPr>
        <w:pStyle w:val="Compact"/>
      </w:pPr>
      <w:r>
        <w:rPr>
          <w:rStyle w:val="VerbatimChar"/>
        </w:rPr>
        <w:t xml:space="preserve">RvoNonRxProductVial</w:t>
      </w:r>
    </w:p>
    <w:p>
      <w:pPr>
        <w:numPr>
          <w:ilvl w:val="0"/>
          <w:numId w:val="1014"/>
        </w:numPr>
        <w:pStyle w:val="Compact"/>
      </w:pPr>
      <w:r>
        <w:rPr>
          <w:rStyle w:val="VerbatimChar"/>
        </w:rPr>
        <w:t xml:space="preserve">TcdSecondaryData</w:t>
      </w:r>
    </w:p>
    <w:p>
      <w:pPr>
        <w:pStyle w:val="FirstParagraph"/>
      </w:pPr>
      <w:r>
        <w:t xml:space="preserve">Save to</w:t>
      </w:r>
      <w:r>
        <w:t xml:space="preserve"> </w:t>
      </w:r>
      <w:r>
        <w:rPr>
          <w:rStyle w:val="VerbatimChar"/>
        </w:rPr>
        <w:t xml:space="preserve">refactors/lsp_RbtDetermineNextVialToProcess/IndexExtract.xlsx</w:t>
      </w:r>
      <w:r>
        <w:t xml:space="preserve">. Confirm:</w:t>
      </w:r>
    </w:p>
    <w:p>
      <w:pPr>
        <w:numPr>
          <w:ilvl w:val="0"/>
          <w:numId w:val="1015"/>
        </w:numPr>
        <w:pStyle w:val="Compact"/>
      </w:pPr>
      <w:r>
        <w:rPr>
          <w:rStyle w:val="VerbatimChar"/>
        </w:rPr>
        <w:t xml:space="preserve">RbtVialSupply</w:t>
      </w:r>
      <w:r>
        <w:t xml:space="preserve"> </w:t>
      </w:r>
      <w:r>
        <w:t xml:space="preserve">has an index supporting</w:t>
      </w:r>
      <w:r>
        <w:t xml:space="preserve"> </w:t>
      </w:r>
      <w:r>
        <w:rPr>
          <w:rStyle w:val="VerbatimChar"/>
        </w:rPr>
        <w:t xml:space="preserve">AddrBank</w:t>
      </w:r>
      <w:r>
        <w:t xml:space="preserve"> </w:t>
      </w:r>
      <w:r>
        <w:t xml:space="preserve">lookups (a key on</w:t>
      </w:r>
      <w:r>
        <w:t xml:space="preserve"> </w:t>
      </w:r>
      <w:r>
        <w:rPr>
          <w:rStyle w:val="VerbatimChar"/>
        </w:rPr>
        <w:t xml:space="preserve">AddrBank</w:t>
      </w:r>
      <w:r>
        <w:t xml:space="preserve"> </w:t>
      </w:r>
      <w:r>
        <w:t xml:space="preserve">or a composite leading with</w:t>
      </w:r>
      <w:r>
        <w:t xml:space="preserve"> </w:t>
      </w:r>
      <w:r>
        <w:rPr>
          <w:rStyle w:val="VerbatimChar"/>
        </w:rPr>
        <w:t xml:space="preserve">AddrBank</w:t>
      </w:r>
      <w:r>
        <w:t xml:space="preserve">). Without one, the v11 single-pass vial-supply check still scans the table once, which is the same cost as v10’s first pass; v11 still wins on the second-pass elimination.</w:t>
      </w:r>
    </w:p>
    <w:p>
      <w:pPr>
        <w:numPr>
          <w:ilvl w:val="0"/>
          <w:numId w:val="1015"/>
        </w:numPr>
        <w:pStyle w:val="Compact"/>
      </w:pPr>
      <w:r>
        <w:rPr>
          <w:rStyle w:val="VerbatimChar"/>
        </w:rPr>
        <w:t xml:space="preserve">TcdStatus</w:t>
      </w:r>
      <w:r>
        <w:t xml:space="preserve"> </w:t>
      </w:r>
      <w:r>
        <w:t xml:space="preserve">has an index supporting joins from</w:t>
      </w:r>
      <w:r>
        <w:t xml:space="preserve"> </w:t>
      </w:r>
      <w:r>
        <w:rPr>
          <w:rStyle w:val="VerbatimChar"/>
        </w:rPr>
        <w:t xml:space="preserve">RbtQueuedForResetTcds.TcdSn</w:t>
      </w:r>
      <w:r>
        <w:t xml:space="preserve"> </w:t>
      </w:r>
      <w:r>
        <w:t xml:space="preserve">and from</w:t>
      </w:r>
      <w:r>
        <w:t xml:space="preserve"> </w:t>
      </w:r>
      <w:r>
        <w:rPr>
          <w:rStyle w:val="VerbatimChar"/>
        </w:rPr>
        <w:t xml:space="preserve">RvoNonRxProductVial.VialId</w:t>
      </w:r>
      <w:r>
        <w:t xml:space="preserve"> </w:t>
      </w:r>
      <w:r>
        <w:t xml:space="preserve">(which lands as</w:t>
      </w:r>
      <w:r>
        <w:t xml:space="preserve"> </w:t>
      </w:r>
      <w:r>
        <w:rPr>
          <w:rStyle w:val="VerbatimChar"/>
        </w:rPr>
        <w:t xml:space="preserve">T.OrderId</w:t>
      </w:r>
      <w:r>
        <w:t xml:space="preserve"> </w:t>
      </w:r>
      <w:r>
        <w:t xml:space="preserve">in this proc).</w:t>
      </w:r>
    </w:p>
    <w:p>
      <w:pPr>
        <w:numPr>
          <w:ilvl w:val="0"/>
          <w:numId w:val="1015"/>
        </w:numPr>
        <w:pStyle w:val="Compact"/>
      </w:pPr>
      <w:r>
        <w:rPr>
          <w:rStyle w:val="VerbatimChar"/>
        </w:rPr>
        <w:t xml:space="preserve">RbtQueuedForResetTcds</w:t>
      </w:r>
      <w:r>
        <w:t xml:space="preserve"> </w:t>
      </w:r>
      <w:r>
        <w:t xml:space="preserve">has an index supporting</w:t>
      </w:r>
      <w:r>
        <w:t xml:space="preserve"> </w:t>
      </w:r>
      <w:r>
        <w:rPr>
          <w:rStyle w:val="VerbatimChar"/>
        </w:rPr>
        <w:t xml:space="preserve">(AddrBank, RemainingTries)</w:t>
      </w:r>
      <w:r>
        <w:t xml:space="preserve"> </w:t>
      </w:r>
      <w:r>
        <w:t xml:space="preserve">lookups, ideally with</w:t>
      </w:r>
      <w:r>
        <w:t xml:space="preserve"> </w:t>
      </w:r>
      <w:r>
        <w:rPr>
          <w:rStyle w:val="VerbatimChar"/>
        </w:rPr>
        <w:t xml:space="preserve">TcdSn</w:t>
      </w:r>
      <w:r>
        <w:t xml:space="preserve"> </w:t>
      </w:r>
      <w:r>
        <w:t xml:space="preserve">and</w:t>
      </w:r>
      <w:r>
        <w:t xml:space="preserve"> </w:t>
      </w:r>
      <w:r>
        <w:rPr>
          <w:rStyle w:val="VerbatimChar"/>
        </w:rPr>
        <w:t xml:space="preserve">QueuedDtTm</w:t>
      </w:r>
      <w:r>
        <w:t xml:space="preserve"> </w:t>
      </w:r>
      <w:r>
        <w:t xml:space="preserve">included for the priority-1 detail return.</w:t>
      </w:r>
    </w:p>
    <w:p>
      <w:pPr>
        <w:pStyle w:val="FirstParagraph"/>
      </w:pPr>
      <w:r>
        <w:t xml:space="preserve">Index recommendations for missing coverage will land here once the extract is in.</w:t>
      </w:r>
    </w:p>
    <w:p>
      <w:pPr>
        <w:pStyle w:val="Heading3"/>
      </w:pPr>
      <w:bookmarkStart w:id="52" w:name="Xe33120f0d57321b5d4821f35e84e864a43dfcae"/>
      <w:r>
        <w:t xml:space="preserve">11.2 The actual lever: refactor</w:t>
      </w:r>
      <w:r>
        <w:t xml:space="preserve"> </w:t>
      </w:r>
      <w:r>
        <w:rPr>
          <w:rStyle w:val="VerbatimChar"/>
        </w:rPr>
        <w:t xml:space="preserve">lsp_OrdGetReadyForDispenseRxsInBank</w:t>
      </w:r>
      <w:bookmarkEnd w:id="52"/>
    </w:p>
    <w:p>
      <w:pPr>
        <w:pStyle w:val="FirstParagraph"/>
      </w:pPr>
      <w:r>
        <w:t xml:space="preserve">The cross-MFC Query Store evidence makes it unambiguous that the dominant cost for this proc is the called sub-proc, not the proc-level statements. Across 14 sites, the only statement that surfaces in the top 50 is</w:t>
      </w:r>
      <w:r>
        <w:t xml:space="preserve"> </w:t>
      </w:r>
      <w:r>
        <w:rPr>
          <w:rStyle w:val="VerbatimChar"/>
        </w:rPr>
        <w:t xml:space="preserve">INSERT INTO #temp_table2 EXEC lsp_OrdGetReadyForDispenseRxsInBank @AddrBank, 0</w:t>
      </w:r>
      <w:r>
        <w:t xml:space="preserve">. v11 does not change that statement.</w:t>
      </w:r>
    </w:p>
    <w:p>
      <w:pPr>
        <w:pStyle w:val="BodyText"/>
      </w:pPr>
      <w:r>
        <w:rPr>
          <w:b/>
        </w:rPr>
        <w:t xml:space="preserve">Recommendation:</w:t>
      </w:r>
      <w:r>
        <w:t xml:space="preserve"> </w:t>
      </w:r>
      <w:r>
        <w:t xml:space="preserve">add</w:t>
      </w:r>
      <w:r>
        <w:t xml:space="preserve"> </w:t>
      </w:r>
      <w:r>
        <w:rPr>
          <w:rStyle w:val="VerbatimChar"/>
        </w:rPr>
        <w:t xml:space="preserve">lsp_OrdGetReadyForDispenseRxsInBank</w:t>
      </w:r>
      <w:r>
        <w:t xml:space="preserve"> </w:t>
      </w:r>
      <w:r>
        <w:t xml:space="preserve">to the deep-dive cohort as its own row in the tracking sheet. The Query Store capture for that proc is one tab away from the existing capture (just filter</w:t>
      </w:r>
      <w:r>
        <w:t xml:space="preserve"> </w:t>
      </w:r>
      <w:r>
        <w:rPr>
          <w:rStyle w:val="VerbatimChar"/>
        </w:rPr>
        <w:t xml:space="preserve">objectname = 'lsp_OrdGetReadyForDispenseRxsInBank'</w:t>
      </w:r>
      <w:r>
        <w:t xml:space="preserve"> </w:t>
      </w:r>
      <w:r>
        <w:t xml:space="preserve">on the same per-site tabs in</w:t>
      </w:r>
      <w:r>
        <w:t xml:space="preserve"> </w:t>
      </w:r>
      <w:r>
        <w:rPr>
          <w:rStyle w:val="VerbatimChar"/>
        </w:rPr>
        <w:t xml:space="preserve">QueryStore_20260507.xlsx</w:t>
      </w:r>
      <w:r>
        <w:t xml:space="preserve">). The fleet-wide reads on this single statement, summed across 14 sites and all callers (this proc plus any others), are likely well into the hundreds of billions per month.</w:t>
      </w:r>
    </w:p>
    <w:p>
      <w:pPr>
        <w:pStyle w:val="Heading3"/>
      </w:pPr>
      <w:bookmarkStart w:id="53" w:name="proc-level-changes-deferred-from-v11"/>
      <w:r>
        <w:t xml:space="preserve">11.3 Proc-level changes deferred from v11</w:t>
      </w:r>
      <w:bookmarkEnd w:id="53"/>
    </w:p>
    <w:p>
      <w:pPr>
        <w:pStyle w:val="Heading4"/>
      </w:pPr>
      <w:bookmarkStart w:id="54" w:name="X824504488987ef51fcc284d92dcd7260682a71b"/>
      <w:r>
        <w:t xml:space="preserve">A. Materialize vs scalar variable for the largest-vial check</w:t>
      </w:r>
      <w:bookmarkEnd w:id="54"/>
    </w:p>
    <w:p>
      <w:pPr>
        <w:pStyle w:val="FirstParagraph"/>
      </w:pPr>
      <w:r>
        <w:t xml:space="preserve">If the index audit in 11.1 reveals that</w:t>
      </w:r>
      <w:r>
        <w:t xml:space="preserve"> </w:t>
      </w:r>
      <w:r>
        <w:rPr>
          <w:rStyle w:val="VerbatimChar"/>
        </w:rPr>
        <w:t xml:space="preserve">RbtVialSupply</w:t>
      </w:r>
      <w:r>
        <w:t xml:space="preserve"> </w:t>
      </w:r>
      <w:r>
        <w:t xml:space="preserve">has no covering index on</w:t>
      </w:r>
      <w:r>
        <w:t xml:space="preserve"> </w:t>
      </w:r>
      <w:r>
        <w:rPr>
          <w:rStyle w:val="VerbatimChar"/>
        </w:rPr>
        <w:t xml:space="preserve">AddrBank</w:t>
      </w:r>
      <w:r>
        <w:t xml:space="preserve">, an alternative form materializes the bank’s supply rows once into a small temp table and probes both questions from there:</w:t>
      </w:r>
    </w:p>
    <w:p>
      <w:pPr>
        <w:pStyle w:val="SourceCode"/>
      </w:pPr>
      <w:r>
        <w:rPr>
          <w:rStyle w:val="KeywordTok"/>
        </w:rPr>
        <w:t xml:space="preserve">Drop</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Exists</w:t>
      </w:r>
      <w:r>
        <w:rPr>
          <w:rStyle w:val="NormalTok"/>
        </w:rPr>
        <w:t xml:space="preserve"> #BankSupply</w:t>
      </w:r>
      <w:r>
        <w:br/>
      </w:r>
      <w:r>
        <w:rPr>
          <w:rStyle w:val="KeywordTok"/>
        </w:rPr>
        <w:t xml:space="preserve">Select</w:t>
      </w:r>
      <w:r>
        <w:rPr>
          <w:rStyle w:val="NormalTok"/>
        </w:rPr>
        <w:t xml:space="preserve"> SupplyNum, StoredVialSizeDrams, StatusId</w:t>
      </w:r>
      <w:r>
        <w:br/>
      </w:r>
      <w:r>
        <w:rPr>
          <w:rStyle w:val="KeywordTok"/>
        </w:rPr>
        <w:t xml:space="preserve">Into</w:t>
      </w:r>
      <w:r>
        <w:rPr>
          <w:rStyle w:val="NormalTok"/>
        </w:rPr>
        <w:t xml:space="preserve"> #BankSupply</w:t>
      </w:r>
      <w:r>
        <w:br/>
      </w:r>
      <w:r>
        <w:rPr>
          <w:rStyle w:val="KeywordTok"/>
        </w:rPr>
        <w:t xml:space="preserve">From</w:t>
      </w:r>
      <w:r>
        <w:rPr>
          <w:rStyle w:val="NormalTok"/>
        </w:rPr>
        <w:t xml:space="preserve"> RbtVialSupply </w:t>
      </w:r>
      <w:r>
        <w:rPr>
          <w:rStyle w:val="KeywordTok"/>
        </w:rPr>
        <w:t xml:space="preserve">With</w:t>
      </w:r>
      <w:r>
        <w:rPr>
          <w:rStyle w:val="NormalTok"/>
        </w:rPr>
        <w:t xml:space="preserve"> (NOLOCK)</w:t>
      </w:r>
      <w:r>
        <w:br/>
      </w:r>
      <w:r>
        <w:rPr>
          <w:rStyle w:val="KeywordTok"/>
        </w:rPr>
        <w:t xml:space="preserve">Where</w:t>
      </w:r>
      <w:r>
        <w:rPr>
          <w:rStyle w:val="NormalTok"/>
        </w:rPr>
        <w:t xml:space="preserve"> AddrBank </w:t>
      </w:r>
      <w:r>
        <w:rPr>
          <w:rStyle w:val="OperatorTok"/>
        </w:rPr>
        <w:t xml:space="preserve">=</w:t>
      </w:r>
      <w:r>
        <w:rPr>
          <w:rStyle w:val="NormalTok"/>
        </w:rPr>
        <w:t xml:space="preserve"> @AddrBank</w:t>
      </w:r>
      <w:r>
        <w:br/>
      </w:r>
      <w:r>
        <w:rPr>
          <w:rStyle w:val="KeywordTok"/>
        </w:rPr>
        <w:t xml:space="preserve">Create</w:t>
      </w:r>
      <w:r>
        <w:rPr>
          <w:rStyle w:val="NormalTok"/>
        </w:rPr>
        <w:t xml:space="preserve"> Clustered </w:t>
      </w:r>
      <w:r>
        <w:rPr>
          <w:rStyle w:val="KeywordTok"/>
        </w:rPr>
        <w:t xml:space="preserve">Index</w:t>
      </w:r>
      <w:r>
        <w:rPr>
          <w:rStyle w:val="NormalTok"/>
        </w:rPr>
        <w:t xml:space="preserve"> IX_BankSupply </w:t>
      </w:r>
      <w:r>
        <w:rPr>
          <w:rStyle w:val="KeywordTok"/>
        </w:rPr>
        <w:t xml:space="preserve">On</w:t>
      </w:r>
      <w:r>
        <w:rPr>
          <w:rStyle w:val="NormalTok"/>
        </w:rPr>
        <w:t xml:space="preserve"> #BankSupply (StoredVialSizeDrams </w:t>
      </w:r>
      <w:r>
        <w:rPr>
          <w:rStyle w:val="KeywordTok"/>
        </w:rPr>
        <w:t xml:space="preserve">Desc</w:t>
      </w:r>
      <w:r>
        <w:rPr>
          <w:rStyle w:val="NormalTok"/>
        </w:rPr>
        <w:t xml:space="preserve">)</w:t>
      </w:r>
    </w:p>
    <w:p>
      <w:pPr>
        <w:pStyle w:val="FirstParagraph"/>
      </w:pPr>
      <w:r>
        <w:t xml:space="preserve">The single-pass conditional aggregation in v11 already achieves the same goal in one statement, so this materialization is only worth doing if the bank’s supply row count is large enough that probing it twice from the conditional aggregation dominates. For typical bank sizes (likely tens to low hundreds of supply rows), the v11 form is sufficient.</w:t>
      </w:r>
    </w:p>
    <w:p>
      <w:pPr>
        <w:pStyle w:val="Heading4"/>
      </w:pPr>
      <w:bookmarkStart w:id="55" w:name="Xd1de2ca09c2fd2a56d28831877c166ac8277579"/>
      <w:r>
        <w:t xml:space="preserve">B. Tighten the</w:t>
      </w:r>
      <w:r>
        <w:t xml:space="preserve"> </w:t>
      </w:r>
      <w:r>
        <w:rPr>
          <w:rStyle w:val="VerbatimChar"/>
        </w:rPr>
        <w:t xml:space="preserve">OeOrder</w:t>
      </w:r>
      <w:r>
        <w:t xml:space="preserve"> </w:t>
      </w:r>
      <w:r>
        <w:t xml:space="preserve">count predicate to use the composite index</w:t>
      </w:r>
      <w:bookmarkEnd w:id="55"/>
    </w:p>
    <w:p>
      <w:pPr>
        <w:pStyle w:val="FirstParagraph"/>
      </w:pPr>
      <w:r>
        <w:t xml:space="preserve">The v11 counted-Rxs branch filters on</w:t>
      </w:r>
      <w:r>
        <w:t xml:space="preserve"> </w:t>
      </w:r>
      <w:r>
        <w:rPr>
          <w:rStyle w:val="VerbatimChar"/>
        </w:rPr>
        <w:t xml:space="preserve">AddrBank = @AddrBank And FillType = 'A' And OrderStatus In (...)</w:t>
      </w:r>
      <w:r>
        <w:t xml:space="preserve">. The</w:t>
      </w:r>
      <w:r>
        <w:t xml:space="preserve"> </w:t>
      </w:r>
      <w:r>
        <w:rPr>
          <w:rStyle w:val="VerbatimChar"/>
        </w:rPr>
        <w:t xml:space="preserve">OeOrder.ByOrderStatusFillTypeAddrBank</w:t>
      </w:r>
      <w:r>
        <w:t xml:space="preserve"> </w:t>
      </w:r>
      <w:r>
        <w:t xml:space="preserve">index has key</w:t>
      </w:r>
      <w:r>
        <w:t xml:space="preserve"> </w:t>
      </w:r>
      <w:r>
        <w:rPr>
          <w:rStyle w:val="VerbatimChar"/>
        </w:rPr>
        <w:t xml:space="preserve">(OrderStatus, FillType, AddrBank)</w:t>
      </w:r>
      <w:r>
        <w:t xml:space="preserve">. The predicate is fully seekable on this index for the</w:t>
      </w:r>
      <w:r>
        <w:t xml:space="preserve"> </w:t>
      </w:r>
      <w:r>
        <w:rPr>
          <w:rStyle w:val="VerbatimChar"/>
        </w:rPr>
        <w:t xml:space="preserve">OrderStatus = 'Counted'</w:t>
      </w:r>
      <w:r>
        <w:t xml:space="preserve"> </w:t>
      </w:r>
      <w:r>
        <w:t xml:space="preserve">and</w:t>
      </w:r>
      <w:r>
        <w:t xml:space="preserve"> </w:t>
      </w:r>
      <w:r>
        <w:rPr>
          <w:rStyle w:val="VerbatimChar"/>
        </w:rPr>
        <w:t xml:space="preserve">OrderStatus = 'Partial Counted'</w:t>
      </w:r>
      <w:r>
        <w:t xml:space="preserve"> </w:t>
      </w:r>
      <w:r>
        <w:t xml:space="preserve">branches; it is also fully seekable for the</w:t>
      </w:r>
      <w:r>
        <w:t xml:space="preserve"> </w:t>
      </w:r>
      <w:r>
        <w:rPr>
          <w:rStyle w:val="VerbatimChar"/>
        </w:rPr>
        <w:t xml:space="preserve">OrderStatus = 'Split-DD'</w:t>
      </w:r>
      <w:r>
        <w:t xml:space="preserve"> </w:t>
      </w:r>
      <w:r>
        <w:t xml:space="preserve">branch. The v10 plan’s index choice is unconfirmed (no plan file pulled yet). If the optimizer is choosing</w:t>
      </w:r>
      <w:r>
        <w:t xml:space="preserve"> </w:t>
      </w:r>
      <w:r>
        <w:rPr>
          <w:rStyle w:val="VerbatimChar"/>
        </w:rPr>
        <w:t xml:space="preserve">ByOrderStatus</w:t>
      </w:r>
      <w:r>
        <w:t xml:space="preserve"> </w:t>
      </w:r>
      <w:r>
        <w:t xml:space="preserve">(key</w:t>
      </w:r>
      <w:r>
        <w:t xml:space="preserve"> </w:t>
      </w:r>
      <w:r>
        <w:rPr>
          <w:rStyle w:val="VerbatimChar"/>
        </w:rPr>
        <w:t xml:space="preserve">(OrderStatus)</w:t>
      </w:r>
      <w:r>
        <w:t xml:space="preserve">) instead of</w:t>
      </w:r>
      <w:r>
        <w:t xml:space="preserve"> </w:t>
      </w:r>
      <w:r>
        <w:rPr>
          <w:rStyle w:val="VerbatimChar"/>
        </w:rPr>
        <w:t xml:space="preserve">ByOrderStatusFillTypeAddrBank</w:t>
      </w:r>
      <w:r>
        <w:t xml:space="preserve">, an index hint or</w:t>
      </w:r>
      <w:r>
        <w:t xml:space="preserve"> </w:t>
      </w:r>
      <w:r>
        <w:rPr>
          <w:rStyle w:val="VerbatimChar"/>
        </w:rPr>
        <w:t xml:space="preserve">Force Seek</w:t>
      </w:r>
      <w:r>
        <w:t xml:space="preserve"> </w:t>
      </w:r>
      <w:r>
        <w:t xml:space="preserve">could nudge it to the better choice. Confirm in the v11 plan capture before recommending.</w:t>
      </w:r>
    </w:p>
    <w:p>
      <w:pPr>
        <w:pStyle w:val="Heading4"/>
      </w:pPr>
      <w:bookmarkStart w:id="56" w:name="X42b6bfcef1e6f6a9b39ef416f102e70a84ff5d2"/>
      <w:r>
        <w:t xml:space="preserve">C. Result-set row counts for verification</w:t>
      </w:r>
      <w:bookmarkEnd w:id="56"/>
    </w:p>
    <w:p>
      <w:pPr>
        <w:pStyle w:val="FirstParagraph"/>
      </w:pPr>
      <w:r>
        <w:rPr>
          <w:rStyle w:val="VerbatimChar"/>
        </w:rPr>
        <w:t xml:space="preserve">Set NoCount On</w:t>
      </w:r>
      <w:r>
        <w:t xml:space="preserve"> </w:t>
      </w:r>
      <w:r>
        <w:t xml:space="preserve">is set at the top of the proc. The validation run should add</w:t>
      </w:r>
      <w:r>
        <w:t xml:space="preserve"> </w:t>
      </w:r>
      <w:r>
        <w:rPr>
          <w:rStyle w:val="VerbatimChar"/>
        </w:rPr>
        <w:t xml:space="preserve">Set NoCount Off</w:t>
      </w:r>
      <w:r>
        <w:t xml:space="preserve"> </w:t>
      </w:r>
      <w:r>
        <w:t xml:space="preserve">at the session level so the</w:t>
      </w:r>
      <w:r>
        <w:t xml:space="preserve"> </w:t>
      </w:r>
      <w:r>
        <w:rPr>
          <w:rStyle w:val="VerbatimChar"/>
        </w:rPr>
        <w:t xml:space="preserve">(N rows affected)</w:t>
      </w:r>
      <w:r>
        <w:t xml:space="preserve"> </w:t>
      </w:r>
      <w:r>
        <w:t xml:space="preserve">lines are visible in the STATS output, per</w:t>
      </w:r>
      <w:r>
        <w:t xml:space="preserve"> </w:t>
      </w:r>
      <w:r>
        <w:rPr>
          <w:rStyle w:val="VerbatimChar"/>
        </w:rPr>
        <w:t xml:space="preserve">tasks/lessons.md</w:t>
      </w:r>
      <w:r>
        <w:t xml:space="preserve">.</w:t>
      </w:r>
    </w:p>
    <w:p>
      <w:pPr>
        <w:pStyle w:val="Heading3"/>
      </w:pPr>
      <w:bookmarkStart w:id="57" w:name="schema-level-changes-longer-horizon"/>
      <w:r>
        <w:t xml:space="preserve">11.4 Schema-Level Changes (longer horizon)</w:t>
      </w:r>
      <w:bookmarkEnd w:id="57"/>
    </w:p>
    <w:p>
      <w:pPr>
        <w:numPr>
          <w:ilvl w:val="0"/>
          <w:numId w:val="1016"/>
        </w:numPr>
        <w:pStyle w:val="Compact"/>
      </w:pPr>
      <w:r>
        <w:rPr>
          <w:b/>
        </w:rPr>
        <w:t xml:space="preserve">Filtered index on</w:t>
      </w:r>
      <w:r>
        <w:rPr>
          <w:b/>
        </w:rPr>
        <w:t xml:space="preserve"> </w:t>
      </w:r>
      <w:r>
        <w:rPr>
          <w:rStyle w:val="VerbatimChar"/>
          <w:b/>
        </w:rPr>
        <w:t xml:space="preserve">OeOrder</w:t>
      </w:r>
      <w:r>
        <w:rPr>
          <w:b/>
        </w:rPr>
        <w:t xml:space="preserve"> </w:t>
      </w:r>
      <w:r>
        <w:rPr>
          <w:b/>
        </w:rPr>
        <w:t xml:space="preserve">for counted Auto-Fill rows.</w:t>
      </w:r>
      <w:r>
        <w:t xml:space="preserve"> </w:t>
      </w:r>
      <w:r>
        <w:t xml:space="preserve">The counted-Rxs branch of the consolidated count is tightly filtered (</w:t>
      </w:r>
      <w:r>
        <w:rPr>
          <w:rStyle w:val="VerbatimChar"/>
        </w:rPr>
        <w:t xml:space="preserve">FillType = 'A'</w:t>
      </w:r>
      <w:r>
        <w:t xml:space="preserve">,</w:t>
      </w:r>
      <w:r>
        <w:t xml:space="preserve"> </w:t>
      </w:r>
      <w:r>
        <w:rPr>
          <w:rStyle w:val="VerbatimChar"/>
        </w:rPr>
        <w:t xml:space="preserve">OrderStatus In ('Counted', 'Partial Counted', 'Split-DD'+'Counted')</w:t>
      </w:r>
      <w:r>
        <w:t xml:space="preserve">, with the parent/portion exclusions). A filtered index covering this exact predicate would reduce the count to a handful of reads. Worth modeling once the index extract for</w:t>
      </w:r>
      <w:r>
        <w:t xml:space="preserve"> </w:t>
      </w:r>
      <w:r>
        <w:rPr>
          <w:rStyle w:val="VerbatimChar"/>
        </w:rPr>
        <w:t xml:space="preserve">OeOrder</w:t>
      </w:r>
      <w:r>
        <w:t xml:space="preserve"> </w:t>
      </w:r>
      <w:r>
        <w:t xml:space="preserve">is reconfirmed. The cost is index maintenance on every</w:t>
      </w:r>
      <w:r>
        <w:t xml:space="preserve"> </w:t>
      </w:r>
      <w:r>
        <w:rPr>
          <w:rStyle w:val="VerbatimChar"/>
        </w:rPr>
        <w:t xml:space="preserve">OeOrder</w:t>
      </w:r>
      <w:r>
        <w:t xml:space="preserve"> </w:t>
      </w:r>
      <w:r>
        <w:t xml:space="preserve">insert/update where the row qualifies, which is high-volume; the benefit only justifies the cost if the count is hot enough at the leaf level. Cross-MFC Query Store does not currently flag the count as a top-50 statement, which suggests this index is probably not justified today.</w:t>
      </w:r>
    </w:p>
    <w:p>
      <w:pPr>
        <w:numPr>
          <w:ilvl w:val="0"/>
          <w:numId w:val="1016"/>
        </w:numPr>
        <w:pStyle w:val="Compact"/>
      </w:pPr>
      <w:r>
        <w:rPr>
          <w:b/>
        </w:rPr>
        <w:t xml:space="preserve">Persisted computed column on</w:t>
      </w:r>
      <w:r>
        <w:rPr>
          <w:b/>
        </w:rPr>
        <w:t xml:space="preserve"> </w:t>
      </w:r>
      <w:r>
        <w:rPr>
          <w:rStyle w:val="VerbatimChar"/>
          <w:b/>
        </w:rPr>
        <w:t xml:space="preserve">OeOrder.OrderId</w:t>
      </w:r>
      <w:r>
        <w:rPr>
          <w:b/>
        </w:rPr>
        <w:t xml:space="preserve"> </w:t>
      </w:r>
      <w:r>
        <w:rPr>
          <w:b/>
        </w:rPr>
        <w:t xml:space="preserve">for the dual-dispenser portion pattern.</w:t>
      </w:r>
      <w:r>
        <w:t xml:space="preserve"> </w:t>
      </w:r>
      <w:r>
        <w:t xml:space="preserve">The predicate</w:t>
      </w:r>
      <w:r>
        <w:t xml:space="preserve"> </w:t>
      </w:r>
      <w:r>
        <w:rPr>
          <w:rStyle w:val="VerbatimChar"/>
        </w:rPr>
        <w:t xml:space="preserve">OrderId Not Like '%&lt;[1-2]&gt;'</w:t>
      </w:r>
      <w:r>
        <w:t xml:space="preserve"> </w:t>
      </w:r>
      <w:r>
        <w:t xml:space="preserve">is non-SARGable and forces a scan-or-filter every time. A bit column</w:t>
      </w:r>
      <w:r>
        <w:t xml:space="preserve"> </w:t>
      </w:r>
      <w:r>
        <w:rPr>
          <w:rStyle w:val="VerbatimChar"/>
        </w:rPr>
        <w:t xml:space="preserve">IsDualDispenserPortion</w:t>
      </w:r>
      <w:r>
        <w:t xml:space="preserve"> </w:t>
      </w:r>
      <w:r>
        <w:t xml:space="preserve">populated on insert/update would let the optimizer use a normal equality predicate. Same cost-benefit story as the filtered index above; defer until the leaf-level read cost on this predicate justifies the schema change.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Arial" w:hAnsi="Arial" w:cs="Arial"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2026-05-15T13:29:09Z</dcterms:created>
  <dcterms:modified xsi:type="dcterms:W3CDTF">2026-05-15T13:29:09Z</dcterms:modified>
</cp:coreProperties>
</file>

<file path=docProps/custom.xml><?xml version="1.0" encoding="utf-8"?>
<Properties xmlns="http://schemas.openxmlformats.org/officeDocument/2006/custom-properties" xmlns:vt="http://schemas.openxmlformats.org/officeDocument/2006/docPropsVTypes"/>
</file>