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9f3201e63075a85fc559e7045deabd957885b4"/>
      <w:r>
        <w:t xml:space="preserve">Refactor Recommendation: lsp_RbtDetermineNextVialToProcess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</w:rPr>
        <w:t xml:space="preserve">Companion analysis:</w:t>
      </w:r>
      <w:r>
        <w:t xml:space="preserve"> </w:t>
      </w:r>
      <w:r>
        <w:rPr>
          <w:rStyle w:val="VerbatimChar"/>
        </w:rPr>
        <w:t xml:space="preserve">Analysis.docx</w:t>
      </w:r>
      <w:r>
        <w:t xml:space="preserve"> </w:t>
      </w:r>
      <w:r>
        <w:t xml:space="preserve">in this folder.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v11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Problem</w:t>
      </w:r>
      <w:bookmarkEnd w:id="21"/>
    </w:p>
    <w:p>
      <w:pPr>
        <w:pStyle w:val="FirstParagraph"/>
      </w:pPr>
      <w:r>
        <w:t xml:space="preserve">v10 decides which type of vial the robot should fill next (dispenser reset, count-dry non-Rx, or standard Rx) for a given bank, then returns a header recordset describing the decision plus a detail recordset of work items. The procedure is the highest-call-volume member of the deep-dive cohort so far: roughly 705 billion logical reads per month across 43.4 million executions, present in 14 of 14 reporting sites. The cross-MFC Query Store evidence is unambiguous that the dominant cost is one statement,</w:t>
      </w:r>
      <w:r>
        <w:t xml:space="preserve"> </w:t>
      </w:r>
      <w:r>
        <w:rPr>
          <w:rStyle w:val="VerbatimChar"/>
        </w:rPr>
        <w:t xml:space="preserve">INSERT INTO #temp_table2 EXEC lsp_OrdGetReadyForDispenseRxsInBank @AddrBank, 0</w:t>
      </w:r>
      <w:r>
        <w:t xml:space="preserve">, which v11 does not change. The proc-body wins in v11 are real but small per-call; the big lever lives in the called sub-proc and is the subject of the Row 29 refactor.</w:t>
      </w:r>
    </w:p>
    <w:p>
      <w:pPr>
        <w:numPr>
          <w:ilvl w:val="0"/>
          <w:numId w:val="1001"/>
        </w:numPr>
        <w:pStyle w:val="Compact"/>
      </w:pPr>
      <w:r>
        <w:t xml:space="preserve">Three separate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variable-assignment statements at the top of the procedure. Different table sources (</w:t>
      </w:r>
      <w:r>
        <w:rPr>
          <w:rStyle w:val="VerbatimChar"/>
        </w:rPr>
        <w:t xml:space="preserve">OeOrder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TcdStatus + RvoNonRxProductVial</w:t>
      </w:r>
      <w:r>
        <w:t xml:space="preserve">,</w:t>
      </w:r>
      <w:r>
        <w:t xml:space="preserve"> </w:t>
      </w:r>
      <w:r>
        <w:rPr>
          <w:rStyle w:val="VerbatimChar"/>
        </w:rPr>
        <w:t xml:space="preserve">RbtQueuedForResetTcds + TcdStatus</w:t>
      </w:r>
      <w:r>
        <w:t xml:space="preserve">), so the leaf I/O cannot be reduced by consolidation alone; the per-statement compile, plan-cache slot, and dispatch overhead is paid three times.</w:t>
      </w:r>
    </w:p>
    <w:p>
      <w:pPr>
        <w:numPr>
          <w:ilvl w:val="0"/>
          <w:numId w:val="1001"/>
        </w:numPr>
        <w:pStyle w:val="Compact"/>
      </w:pPr>
      <w:r>
        <w:t xml:space="preserve">Two-pass</w:t>
      </w:r>
      <w:r>
        <w:t xml:space="preserve"> </w:t>
      </w:r>
      <w:r>
        <w:rPr>
          <w:rStyle w:val="VerbatimChar"/>
        </w:rPr>
        <w:t xml:space="preserve">If Exists</w:t>
      </w:r>
      <w:r>
        <w:t xml:space="preserve"> </w:t>
      </w:r>
      <w:r>
        <w:t xml:space="preserve">check with a correlated</w:t>
      </w:r>
      <w:r>
        <w:t xml:space="preserve"> </w:t>
      </w:r>
      <w:r>
        <w:rPr>
          <w:rStyle w:val="VerbatimChar"/>
        </w:rPr>
        <w:t xml:space="preserve">Top 1 / Order By</w:t>
      </w:r>
      <w:r>
        <w:t xml:space="preserve"> </w:t>
      </w:r>
      <w:r>
        <w:t xml:space="preserve">subquery against</w:t>
      </w:r>
      <w:r>
        <w:t xml:space="preserve"> </w:t>
      </w:r>
      <w:r>
        <w:rPr>
          <w:rStyle w:val="VerbatimChar"/>
        </w:rPr>
        <w:t xml:space="preserve">RbtVialSupply</w:t>
      </w:r>
      <w:r>
        <w:t xml:space="preserve">. The inner subquery scans for the largest vial size; the outer existence check re-scans to confirm availability. Same answer is one-pass via conditional aggregation.</w:t>
      </w:r>
    </w:p>
    <w:p>
      <w:pPr>
        <w:numPr>
          <w:ilvl w:val="0"/>
          <w:numId w:val="1001"/>
        </w:numPr>
        <w:pStyle w:val="Compact"/>
      </w:pPr>
      <w:r>
        <w:t xml:space="preserve">Heap</w:t>
      </w:r>
      <w:r>
        <w:t xml:space="preserve"> </w:t>
      </w:r>
      <w:r>
        <w:rPr>
          <w:rStyle w:val="VerbatimChar"/>
        </w:rPr>
        <w:t xml:space="preserve">#temp_table2</w:t>
      </w:r>
      <w:r>
        <w:t xml:space="preserve"> </w:t>
      </w:r>
      <w:r>
        <w:t xml:space="preserve">populated by</w:t>
      </w:r>
      <w:r>
        <w:t xml:space="preserve"> </w:t>
      </w:r>
      <w:r>
        <w:rPr>
          <w:rStyle w:val="VerbatimChar"/>
        </w:rPr>
        <w:t xml:space="preserve">Insert ... Exec lsp_OrdGetReadyForDispenseRxsInBank</w:t>
      </w:r>
      <w:r>
        <w:t xml:space="preserve"> </w:t>
      </w:r>
      <w:r>
        <w:t xml:space="preserve">and read back with</w:t>
      </w:r>
      <w:r>
        <w:t xml:space="preserve"> </w:t>
      </w:r>
      <w:r>
        <w:rPr>
          <w:rStyle w:val="VerbatimChar"/>
        </w:rPr>
        <w:t xml:space="preserve">Order By ActOnAsPriInternal, PriInternal</w:t>
      </w:r>
      <w:r>
        <w:t xml:space="preserve">. The read-time sort is on uncovered columns.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Select * From #temp_table2</w:t>
      </w:r>
      <w:r>
        <w:t xml:space="preserve">. The contract between the called proc and the temp-table column shape is implicit; an explicit column list pins the contract on both ends.</w:t>
      </w:r>
    </w:p>
    <w:p>
      <w:pPr>
        <w:numPr>
          <w:ilvl w:val="0"/>
          <w:numId w:val="1001"/>
        </w:numPr>
        <w:pStyle w:val="Compact"/>
      </w:pPr>
      <w:r>
        <w:t xml:space="preserve">Inconsistent</w:t>
      </w:r>
      <w:r>
        <w:t xml:space="preserve"> </w:t>
      </w:r>
      <w:r>
        <w:rPr>
          <w:rStyle w:val="VerbatimChar"/>
        </w:rPr>
        <w:t xml:space="preserve">WITH (NOLOCK)</w:t>
      </w:r>
      <w:r>
        <w:t xml:space="preserve"> </w:t>
      </w:r>
      <w:r>
        <w:t xml:space="preserve">capitalization throughout.</w:t>
      </w:r>
    </w:p>
    <w:p>
      <w:pPr>
        <w:pStyle w:val="Heading2"/>
      </w:pPr>
      <w:bookmarkStart w:id="22" w:name="recommendation"/>
      <w:r>
        <w:t xml:space="preserve">Recommendation</w:t>
      </w:r>
      <w:bookmarkEnd w:id="22"/>
    </w:p>
    <w:p>
      <w:pPr>
        <w:pStyle w:val="FirstParagraph"/>
      </w:pPr>
      <w:r>
        <w:t xml:space="preserve">Apply the v11 package. The proc-body changes are structural cleanup with small per-call savings; the dominant lever lives in</w:t>
      </w:r>
      <w:r>
        <w:t xml:space="preserve"> </w:t>
      </w:r>
      <w:r>
        <w:rPr>
          <w:rStyle w:val="VerbatimChar"/>
        </w:rPr>
        <w:t xml:space="preserve">lsp_OrdGetReadyForDispenseRxsInBank</w:t>
      </w:r>
      <w:r>
        <w:t xml:space="preserve"> </w:t>
      </w:r>
      <w:r>
        <w:t xml:space="preserve">(Row 29) and is the compounding refactor.</w:t>
      </w:r>
    </w:p>
    <w:p>
      <w:pPr>
        <w:numPr>
          <w:ilvl w:val="0"/>
          <w:numId w:val="1002"/>
        </w:numPr>
        <w:pStyle w:val="Compact"/>
      </w:pPr>
      <w:r>
        <w:t xml:space="preserve">Consolidate the three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statements into one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of projection queries with</w:t>
      </w:r>
      <w:r>
        <w:t xml:space="preserve"> </w:t>
      </w:r>
      <w:r>
        <w:rPr>
          <w:rStyle w:val="VerbatimChar"/>
        </w:rPr>
        <w:t xml:space="preserve">Sum(Case When Bucket = ... Then 1 Else 0 End)</w:t>
      </w:r>
      <w:r>
        <w:t xml:space="preserve"> </w:t>
      </w:r>
      <w:r>
        <w:t xml:space="preserve">per output bucket. Coalesce each local to zero (</w:t>
      </w:r>
      <w:r>
        <w:rPr>
          <w:rStyle w:val="VerbatimChar"/>
        </w:rPr>
        <w:t xml:space="preserve">Sum</w:t>
      </w:r>
      <w:r>
        <w:t xml:space="preserve"> </w:t>
      </w:r>
      <w:r>
        <w:t xml:space="preserve">returns NULL on empty input,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returns 0).</w:t>
      </w:r>
    </w:p>
    <w:p>
      <w:pPr>
        <w:numPr>
          <w:ilvl w:val="0"/>
          <w:numId w:val="1002"/>
        </w:numPr>
        <w:pStyle w:val="Compact"/>
      </w:pPr>
      <w:r>
        <w:t xml:space="preserve">Replace the two-pass</w:t>
      </w:r>
      <w:r>
        <w:t xml:space="preserve"> </w:t>
      </w:r>
      <w:r>
        <w:rPr>
          <w:rStyle w:val="VerbatimChar"/>
        </w:rPr>
        <w:t xml:space="preserve">If Exists</w:t>
      </w:r>
      <w:r>
        <w:t xml:space="preserve"> </w:t>
      </w:r>
      <w:r>
        <w:t xml:space="preserve">check with a single-pass conditional aggregation:</w:t>
      </w:r>
      <w:r>
        <w:t xml:space="preserve"> </w:t>
      </w:r>
      <w:r>
        <w:rPr>
          <w:rStyle w:val="VerbatimChar"/>
        </w:rPr>
        <w:t xml:space="preserve">Max(StoredVialSizeDrams)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Max(Case When StatusId In (0, 1) Then StoredVialSizeDrams End)</w:t>
      </w:r>
      <w:r>
        <w:t xml:space="preserve"> </w:t>
      </w:r>
      <w:r>
        <w:t xml:space="preserve">to test whether the largest size is also available.</w:t>
      </w:r>
    </w:p>
    <w:p>
      <w:pPr>
        <w:numPr>
          <w:ilvl w:val="0"/>
          <w:numId w:val="1002"/>
        </w:numPr>
        <w:pStyle w:val="Compact"/>
      </w:pPr>
      <w:r>
        <w:t xml:space="preserve">Declare</w:t>
      </w:r>
      <w:r>
        <w:t xml:space="preserve"> </w:t>
      </w:r>
      <w:r>
        <w:rPr>
          <w:rStyle w:val="VerbatimChar"/>
        </w:rPr>
        <w:t xml:space="preserve">#temp_table2</w:t>
      </w:r>
      <w:r>
        <w:t xml:space="preserve"> </w:t>
      </w:r>
      <w:r>
        <w:t xml:space="preserve">with a clustered primary key on</w:t>
      </w:r>
      <w:r>
        <w:t xml:space="preserve"> </w:t>
      </w:r>
      <w:r>
        <w:rPr>
          <w:rStyle w:val="VerbatimChar"/>
        </w:rPr>
        <w:t xml:space="preserve">(ActOnAsPriInternal, PriInternal)</w:t>
      </w:r>
      <w:r>
        <w:t xml:space="preserve"> </w:t>
      </w:r>
      <w:r>
        <w:t xml:space="preserve">so the read-time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becomes a no-cost ordered scan.</w:t>
      </w:r>
    </w:p>
    <w:p>
      <w:pPr>
        <w:numPr>
          <w:ilvl w:val="0"/>
          <w:numId w:val="1002"/>
        </w:numPr>
        <w:pStyle w:val="Compact"/>
      </w:pPr>
      <w:r>
        <w:t xml:space="preserve">Add an explicit column list to both the</w:t>
      </w:r>
      <w:r>
        <w:t xml:space="preserve"> </w:t>
      </w:r>
      <w:r>
        <w:rPr>
          <w:rStyle w:val="VerbatimChar"/>
        </w:rPr>
        <w:t xml:space="preserve">Insert ... Exec</w:t>
      </w:r>
      <w:r>
        <w:t xml:space="preserve"> </w:t>
      </w:r>
      <w:r>
        <w:t xml:space="preserve">and the final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#temp_table2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Normalize</w:t>
      </w:r>
      <w:r>
        <w:t xml:space="preserve"> </w:t>
      </w:r>
      <w:r>
        <w:rPr>
          <w:rStyle w:val="VerbatimChar"/>
        </w:rPr>
        <w:t xml:space="preserve">WITH (NOLOCK)</w:t>
      </w:r>
      <w:r>
        <w:t xml:space="preserve"> </w:t>
      </w:r>
      <w:r>
        <w:t xml:space="preserve">capitalization across the procedure.</w:t>
      </w:r>
    </w:p>
    <w:p>
      <w:pPr>
        <w:pStyle w:val="FirstParagraph"/>
      </w:pPr>
      <w:r>
        <w:t xml:space="preserve">The full v11 body is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The v10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for diff and rollback.</w:t>
      </w:r>
    </w:p>
    <w:p>
      <w:pPr>
        <w:pStyle w:val="Heading2"/>
      </w:pPr>
      <w:bookmarkStart w:id="23" w:name="first-principles"/>
      <w:r>
        <w:t xml:space="preserve">First Principles</w:t>
      </w:r>
      <w:bookmarkEnd w:id="23"/>
    </w:p>
    <w:p>
      <w:pPr>
        <w:pStyle w:val="FirstParagraph"/>
      </w:pPr>
      <w:r>
        <w:rPr>
          <w:b/>
        </w:rPr>
        <w:t xml:space="preserve">Conditional aggregation, Flavor B.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masterclass/Conditional Aggregation Consolidation.md</w:t>
      </w:r>
      <w:r>
        <w:t xml:space="preserve">:</w:t>
      </w:r>
    </w:p>
    <w:p>
      <w:pPr>
        <w:pStyle w:val="BlockText"/>
      </w:pPr>
      <w:r>
        <w:t xml:space="preserve">When the queries hit different tables but share parameters, the engine still has to compile and dispatch each statement separately. The per-statement overhead (parse, compile, plan lookup, parameter binding, result return) is paid N times even though the work is logically one composite count.</w:t>
      </w:r>
    </w:p>
    <w:p>
      <w:pPr>
        <w:pStyle w:val="BlockText"/>
      </w:pPr>
      <w:r>
        <w:t xml:space="preserve">Flavor B is a structural and cache-pressure win. It is not a leaf-I/O win. Be honest about which flavor you are getting when you write the analysis. A claim of</w:t>
      </w:r>
      <w:r>
        <w:t xml:space="preserve"> </w:t>
      </w:r>
      <w:r>
        <w:t xml:space="preserve">“</w:t>
      </w:r>
      <w:r>
        <w:t xml:space="preserve">fewer reads</w:t>
      </w:r>
      <w:r>
        <w:t xml:space="preserve">”</w:t>
      </w:r>
      <w:r>
        <w:t xml:space="preserve"> </w:t>
      </w:r>
      <w:r>
        <w:t xml:space="preserve">is only true for Flavor A.</w:t>
      </w:r>
    </w:p>
    <w:p>
      <w:pPr>
        <w:pStyle w:val="FirstParagraph"/>
      </w:pPr>
      <w:r>
        <w:t xml:space="preserve">The three counts hit three different table sources, so the savings are in dispatch, compile, and plan-cache slots, not in scan counts. The three counts become one statement with three compile slots collapsed to one.</w:t>
      </w:r>
    </w:p>
    <w:p>
      <w:pPr>
        <w:pStyle w:val="BodyText"/>
      </w:pPr>
      <w:r>
        <w:rPr>
          <w:b/>
        </w:rPr>
        <w:t xml:space="preserve">Single-pass existence-plus-filter.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is the largest-X record in available status?</w:t>
      </w:r>
      <w:r>
        <w:t xml:space="preserve">”</w:t>
      </w:r>
      <w:r>
        <w:t xml:space="preserve"> </w:t>
      </w:r>
      <w:r>
        <w:t xml:space="preserve">pattern is computable in one scan:</w:t>
      </w:r>
      <w:r>
        <w:t xml:space="preserve"> </w:t>
      </w:r>
      <w:r>
        <w:rPr>
          <w:rStyle w:val="VerbatimChar"/>
        </w:rPr>
        <w:t xml:space="preserve">Max(StoredVialSizeDrams)</w:t>
      </w:r>
      <w:r>
        <w:t xml:space="preserve"> </w:t>
      </w:r>
      <w:r>
        <w:t xml:space="preserve">is the global max;</w:t>
      </w:r>
      <w:r>
        <w:t xml:space="preserve"> </w:t>
      </w:r>
      <w:r>
        <w:rPr>
          <w:rStyle w:val="VerbatimChar"/>
        </w:rPr>
        <w:t xml:space="preserve">Max(Case When StatusId In (0, 1) Then StoredVialSizeDrams End)</w:t>
      </w:r>
      <w:r>
        <w:t xml:space="preserve"> </w:t>
      </w:r>
      <w:r>
        <w:t xml:space="preserve">is the max among available rows. They are equal if and only if at least one available row holds the global max. This is the boolean-flag variant of the same conditional-aggregation principle the count consolidation uses. One scan replaces the two-pass</w:t>
      </w:r>
      <w:r>
        <w:t xml:space="preserve"> </w:t>
      </w:r>
      <w:r>
        <w:rPr>
          <w:rStyle w:val="VerbatimChar"/>
        </w:rPr>
        <w:t xml:space="preserve">If Exists</w:t>
      </w:r>
      <w:r>
        <w:t xml:space="preserve"> </w:t>
      </w:r>
      <w:r>
        <w:t xml:space="preserve">with correlated inner</w:t>
      </w:r>
      <w:r>
        <w:t xml:space="preserve"> </w:t>
      </w:r>
      <w:r>
        <w:rPr>
          <w:rStyle w:val="VerbatimChar"/>
        </w:rPr>
        <w:t xml:space="preserve">Top 1</w:t>
      </w:r>
      <w:r>
        <w:t xml:space="preserve">.</w:t>
      </w:r>
    </w:p>
    <w:p>
      <w:pPr>
        <w:pStyle w:val="BodyText"/>
      </w:pPr>
      <w:r>
        <w:rPr>
          <w:b/>
        </w:rPr>
        <w:t xml:space="preserve">Indexed temp tables eliminate heap sorts.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masterclass/Table Variables vs Temp Tables.md</w:t>
      </w:r>
      <w:r>
        <w:t xml:space="preserve">:</w:t>
      </w:r>
    </w:p>
    <w:p>
      <w:pPr>
        <w:pStyle w:val="BlockText"/>
      </w:pPr>
      <w:r>
        <w:t xml:space="preserve">The</w:t>
      </w:r>
      <w:r>
        <w:t xml:space="preserve"> </w:t>
      </w:r>
      <w:r>
        <w:t xml:space="preserve">“</w:t>
      </w:r>
      <w:r>
        <w:t xml:space="preserve">insert then index</w:t>
      </w:r>
      <w:r>
        <w:t xml:space="preserve">”</w:t>
      </w:r>
      <w:r>
        <w:t xml:space="preserve"> </w:t>
      </w:r>
      <w:r>
        <w:t xml:space="preserve">pattern is a best practice. Building the index on the complete dataset is a single efficient sort, versus maintaining the b-tree during every insert.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#temp</w:t>
      </w:r>
      <w:r>
        <w:t xml:space="preserve"> </w:t>
      </w:r>
      <w:r>
        <w:t xml:space="preserve">declared without an index is a heap; reading it with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forces a Sort operator at read time. Declaring</w:t>
      </w:r>
      <w:r>
        <w:t xml:space="preserve"> </w:t>
      </w:r>
      <w:r>
        <w:rPr>
          <w:rStyle w:val="VerbatimChar"/>
        </w:rPr>
        <w:t xml:space="preserve">#temp_table2</w:t>
      </w:r>
      <w:r>
        <w:t xml:space="preserve"> </w:t>
      </w:r>
      <w:r>
        <w:t xml:space="preserve">with a clustered primary key on</w:t>
      </w:r>
      <w:r>
        <w:t xml:space="preserve"> </w:t>
      </w:r>
      <w:r>
        <w:rPr>
          <w:rStyle w:val="VerbatimChar"/>
        </w:rPr>
        <w:t xml:space="preserve">(ActOnAsPriInternal, PriInternal)</w:t>
      </w:r>
      <w:r>
        <w:t xml:space="preserve"> </w:t>
      </w:r>
      <w:r>
        <w:t xml:space="preserve">moves the sort to insertion time, where it is part of the clustered-index maintenance. The final read becomes a no-cost ordered scan of the clustered structure. The primary-key constraint enforces uniqueness; if the called proc ever returns duplicate</w:t>
      </w:r>
      <w:r>
        <w:t xml:space="preserve"> </w:t>
      </w:r>
      <w:r>
        <w:rPr>
          <w:rStyle w:val="VerbatimChar"/>
        </w:rPr>
        <w:t xml:space="preserve">(ActOnAsPriInternal, PriInternal)</w:t>
      </w:r>
      <w:r>
        <w:t xml:space="preserve"> </w:t>
      </w:r>
      <w:r>
        <w:t xml:space="preserve">pairs the insert fails immediately, which is a deliberate fail-closed choice. Downgrade to a non-unique clustered index if validation surfaces duplicates as legitimate.</w:t>
      </w:r>
    </w:p>
    <w:p>
      <w:pPr>
        <w:pStyle w:val="BodyText"/>
      </w:pPr>
      <w:r>
        <w:rPr>
          <w:b/>
        </w:rPr>
        <w:t xml:space="preserve">Explicit column lists at procedure boundaries.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against a temp table populated by</w:t>
      </w:r>
      <w:r>
        <w:t xml:space="preserve"> </w:t>
      </w:r>
      <w:r>
        <w:rPr>
          <w:rStyle w:val="VerbatimChar"/>
        </w:rPr>
        <w:t xml:space="preserve">Insert ... Exec</w:t>
      </w:r>
      <w:r>
        <w:t xml:space="preserve"> </w:t>
      </w:r>
      <w:r>
        <w:t xml:space="preserve">is brittle: the contract between the called proc’s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list and the temp-table column shape is implicit, and a future change to the called proc propagates silently. The explicit column list on both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makes the contract visible at both ends.</w:t>
      </w:r>
    </w:p>
    <w:p>
      <w:pPr>
        <w:pStyle w:val="Heading2"/>
      </w:pPr>
      <w:bookmarkStart w:id="24" w:name="ms-learn-citations"/>
      <w:r>
        <w:t xml:space="preserve">MS Learn Citations</w:t>
      </w:r>
      <w:bookmarkEnd w:id="24"/>
    </w:p>
    <w:p>
      <w:pPr>
        <w:pStyle w:val="FirstParagraph"/>
      </w:pPr>
      <w:r>
        <w:t xml:space="preserve">The techniques in this refactor anchor to the following Transact-SQL reference pages.</w:t>
      </w:r>
    </w:p>
    <w:p>
      <w:pPr>
        <w:numPr>
          <w:ilvl w:val="0"/>
          <w:numId w:val="1003"/>
        </w:numPr>
        <w:pStyle w:val="Compact"/>
      </w:pPr>
      <w:r>
        <w:t xml:space="preserve">UNION ALL and aggregation.</w:t>
      </w:r>
      <w:r>
        <w:t xml:space="preserve"> </w:t>
      </w:r>
      <w:hyperlink r:id="rId25">
        <w:r>
          <w:rPr>
            <w:rStyle w:val="Hyperlink"/>
          </w:rPr>
          <w:t xml:space="preserve">UNION (set operators)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Aggregate Functions</w:t>
        </w:r>
      </w:hyperlink>
      <w:r>
        <w:t xml:space="preserve"> </w:t>
      </w:r>
      <w:r>
        <w:t xml:space="preserve">cover the conditional-aggregation shape that consolidates the three counts.</w:t>
      </w:r>
    </w:p>
    <w:p>
      <w:pPr>
        <w:numPr>
          <w:ilvl w:val="0"/>
          <w:numId w:val="1003"/>
        </w:numPr>
        <w:pStyle w:val="Compact"/>
      </w:pPr>
      <w:r>
        <w:t xml:space="preserve">Single-pass max comparison.</w:t>
      </w:r>
      <w:r>
        <w:t xml:space="preserve"> </w:t>
      </w:r>
      <w:hyperlink r:id="rId27">
        <w:r>
          <w:rPr>
            <w:rStyle w:val="Hyperlink"/>
          </w:rPr>
          <w:t xml:space="preserve">COUNT (Transact-SQL)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Aggregate Functions</w:t>
        </w:r>
      </w:hyperlink>
      <w:r>
        <w:t xml:space="preserve"> </w:t>
      </w:r>
      <w:r>
        <w:t xml:space="preserve">document the</w:t>
      </w:r>
      <w:r>
        <w:t xml:space="preserve"> </w:t>
      </w:r>
      <w:r>
        <w:rPr>
          <w:rStyle w:val="VerbatimChar"/>
        </w:rPr>
        <w:t xml:space="preserve">Max(Case When ...)</w:t>
      </w:r>
      <w:r>
        <w:t xml:space="preserve"> </w:t>
      </w:r>
      <w:r>
        <w:t xml:space="preserve">form that replaces the two-pass existence check.</w:t>
      </w:r>
    </w:p>
    <w:p>
      <w:pPr>
        <w:numPr>
          <w:ilvl w:val="0"/>
          <w:numId w:val="1003"/>
        </w:numPr>
        <w:pStyle w:val="Compact"/>
      </w:pPr>
      <w:r>
        <w:t xml:space="preserve">Clustered primary key on a temp table.</w:t>
      </w:r>
      <w:r>
        <w:t xml:space="preserve"> </w:t>
      </w:r>
      <w:hyperlink r:id="rId28">
        <w:r>
          <w:rPr>
            <w:rStyle w:val="Hyperlink"/>
          </w:rPr>
          <w:t xml:space="preserve">CREATE INDEX (Transact-SQL)</w:t>
        </w:r>
      </w:hyperlink>
      <w:r>
        <w:t xml:space="preserve"> </w:t>
      </w:r>
      <w:r>
        <w:t xml:space="preserve">covers the index shape;</w:t>
      </w:r>
      <w:r>
        <w:t xml:space="preserve"> </w:t>
      </w:r>
      <w:hyperlink r:id="rId29">
        <w:r>
          <w:rPr>
            <w:rStyle w:val="Hyperlink"/>
          </w:rPr>
          <w:t xml:space="preserve">ORDER BY clause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Index Architecture and Design Guide</w:t>
        </w:r>
      </w:hyperlink>
      <w:r>
        <w:t xml:space="preserve"> </w:t>
      </w:r>
      <w:r>
        <w:t xml:space="preserve">describe how a clustered key satisfies an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without a Sort operator.</w:t>
      </w:r>
    </w:p>
    <w:p>
      <w:pPr>
        <w:numPr>
          <w:ilvl w:val="0"/>
          <w:numId w:val="1003"/>
        </w:numPr>
        <w:pStyle w:val="Compact"/>
      </w:pPr>
      <w:r>
        <w:t xml:space="preserve">SELECT semantics.</w:t>
      </w:r>
      <w:r>
        <w:t xml:space="preserve"> </w:t>
      </w:r>
      <w:hyperlink r:id="rId31">
        <w:r>
          <w:rPr>
            <w:rStyle w:val="Hyperlink"/>
          </w:rPr>
          <w:t xml:space="preserve">SELECT (Transact-SQL)</w:t>
        </w:r>
      </w:hyperlink>
      <w:r>
        <w:t xml:space="preserve"> </w:t>
      </w:r>
      <w:r>
        <w:t xml:space="preserve">documents the explicit column list form pinning the contract.</w:t>
      </w:r>
    </w:p>
    <w:p>
      <w:pPr>
        <w:pStyle w:val="Heading2"/>
      </w:pPr>
      <w:bookmarkStart w:id="32" w:name="risk-note"/>
      <w:r>
        <w:t xml:space="preserve">Risk Note</w:t>
      </w:r>
      <w:bookmarkEnd w:id="32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semantic difference is the smallest risk:</w:t>
      </w:r>
      <w:r>
        <w:t xml:space="preserve"> </w:t>
      </w:r>
      <w:r>
        <w:rPr>
          <w:rStyle w:val="VerbatimChar"/>
        </w:rPr>
        <w:t xml:space="preserve">Sum(Case ...)</w:t>
      </w:r>
      <w:r>
        <w:t xml:space="preserve"> </w:t>
      </w:r>
      <w:r>
        <w:t xml:space="preserve">returns NULL on empty input where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returns 0, so each local needs an</w:t>
      </w:r>
      <w:r>
        <w:t xml:space="preserve"> </w:t>
      </w:r>
      <w:r>
        <w:rPr>
          <w:rStyle w:val="VerbatimChar"/>
        </w:rPr>
        <w:t xml:space="preserve">IsNull</w:t>
      </w:r>
      <w:r>
        <w:t xml:space="preserve"> </w:t>
      </w:r>
      <w:r>
        <w:t xml:space="preserve">coalesce. The primary-key constraint on</w:t>
      </w:r>
      <w:r>
        <w:t xml:space="preserve"> </w:t>
      </w:r>
      <w:r>
        <w:rPr>
          <w:rStyle w:val="VerbatimChar"/>
        </w:rPr>
        <w:t xml:space="preserve">#temp_table2</w:t>
      </w:r>
      <w:r>
        <w:t xml:space="preserve"> </w:t>
      </w:r>
      <w:r>
        <w:t xml:space="preserve">is the largest semantic risk in principle: if</w:t>
      </w:r>
      <w:r>
        <w:t xml:space="preserve"> </w:t>
      </w:r>
      <w:r>
        <w:rPr>
          <w:rStyle w:val="VerbatimChar"/>
        </w:rPr>
        <w:t xml:space="preserve">lsp_OrdGetReadyForDispenseRxsInBank</w:t>
      </w:r>
      <w:r>
        <w:t xml:space="preserve"> </w:t>
      </w:r>
      <w:r>
        <w:t xml:space="preserve">ever returns duplicate</w:t>
      </w:r>
      <w:r>
        <w:t xml:space="preserve"> </w:t>
      </w:r>
      <w:r>
        <w:rPr>
          <w:rStyle w:val="VerbatimChar"/>
        </w:rPr>
        <w:t xml:space="preserve">(ActOnAsPriInternal, PriInternal)</w:t>
      </w:r>
      <w:r>
        <w:t xml:space="preserve"> </w:t>
      </w:r>
      <w:r>
        <w:t xml:space="preserve">pairs, the</w:t>
      </w:r>
      <w:r>
        <w:t xml:space="preserve"> </w:t>
      </w:r>
      <w:r>
        <w:rPr>
          <w:rStyle w:val="VerbatimChar"/>
        </w:rPr>
        <w:t xml:space="preserve">Insert ... Exec</w:t>
      </w:r>
      <w:r>
        <w:t xml:space="preserve"> </w:t>
      </w:r>
      <w:r>
        <w:t xml:space="preserve">fails with a constraint violation. The validation run must confirm the called proc never returns duplicates on this composite for the parameter shapes in production use; if duplicates are legitimate, downgrade to a non-unique clustered index. In the first 24 hours watch the robot dispense controller log for primary-key violations on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the cross-MFC reads on the</w:t>
      </w:r>
      <w:r>
        <w:t xml:space="preserve"> </w:t>
      </w:r>
      <w:r>
        <w:rPr>
          <w:rStyle w:val="VerbatimChar"/>
        </w:rPr>
        <w:t xml:space="preserve">INSERT ... EXEC</w:t>
      </w:r>
      <w:r>
        <w:t xml:space="preserve"> </w:t>
      </w:r>
      <w:r>
        <w:t xml:space="preserve">line (which v11 does not change; flat is the expected signal), and the plan cache (expected: small stable plan count). Rollback path: redeploy v10 from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No schema change, no index change.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learn.microsoft.com/en-us/sql/relational-databases/sql-server-index-design-guide" TargetMode="External" /><Relationship Type="http://schemas.openxmlformats.org/officeDocument/2006/relationships/hyperlink" Id="rId26" Target="https://learn.microsoft.com/en-us/sql/t-sql/functions/aggregate-functions-transact-sql" TargetMode="External" /><Relationship Type="http://schemas.openxmlformats.org/officeDocument/2006/relationships/hyperlink" Id="rId27" Target="https://learn.microsoft.com/en-us/sql/t-sql/functions/count-transact-sql" TargetMode="External" /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29" Target="https://learn.microsoft.com/en-us/sql/t-sql/queries/select-order-by-clause-transact-sql" TargetMode="External" /><Relationship Type="http://schemas.openxmlformats.org/officeDocument/2006/relationships/hyperlink" Id="rId31" Target="https://learn.microsoft.com/en-us/sql/t-sql/queries/select-transact-sql" TargetMode="External" /><Relationship Type="http://schemas.openxmlformats.org/officeDocument/2006/relationships/hyperlink" Id="rId28" Target="https://learn.microsoft.com/en-us/sql/t-sql/statements/create-index-transact-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learn.microsoft.com/en-us/sql/relational-databases/sql-server-index-design-guide" TargetMode="External" /><Relationship Type="http://schemas.openxmlformats.org/officeDocument/2006/relationships/hyperlink" Id="rId26" Target="https://learn.microsoft.com/en-us/sql/t-sql/functions/aggregate-functions-transact-sql" TargetMode="External" /><Relationship Type="http://schemas.openxmlformats.org/officeDocument/2006/relationships/hyperlink" Id="rId27" Target="https://learn.microsoft.com/en-us/sql/t-sql/functions/count-transact-sql" TargetMode="External" /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29" Target="https://learn.microsoft.com/en-us/sql/t-sql/queries/select-order-by-clause-transact-sql" TargetMode="External" /><Relationship Type="http://schemas.openxmlformats.org/officeDocument/2006/relationships/hyperlink" Id="rId31" Target="https://learn.microsoft.com/en-us/sql/t-sql/queries/select-transact-sql" TargetMode="External" /><Relationship Type="http://schemas.openxmlformats.org/officeDocument/2006/relationships/hyperlink" Id="rId28" Target="https://learn.microsoft.com/en-us/sql/t-sql/statements/create-index-transact-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2026-05-15T13:29:05Z</dcterms:created>
  <dcterms:modified xsi:type="dcterms:W3CDTF">2026-05-15T13:29:05Z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