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09f826829718c39435ab95749c044031d83d13"/>
      <w:r>
        <w:t xml:space="preserve">lsp_TcdGetTcdsThatCanCountProduct: Refactor Analysis (v17 to v18)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</w:rPr>
        <w:t xml:space="preserve">Tracking sheet row:</w:t>
      </w:r>
      <w:r>
        <w:t xml:space="preserve"> </w:t>
      </w:r>
      <w:r>
        <w:t xml:space="preserve">30 (Priority P1, status Not Started)</w:t>
      </w:r>
      <w:r>
        <w:t xml:space="preserve"> </w:t>
      </w:r>
      <w:r>
        <w:rPr>
          <w:b/>
        </w:rPr>
        <w:t xml:space="preserve">Deployment state:</w:t>
      </w:r>
      <w:r>
        <w:t xml:space="preserve"> </w:t>
      </w:r>
      <w:r>
        <w:t xml:space="preserve">Cataloged. Refactored.sql is a proposed v18 designed by the MFC DBA team and me, awaiting iA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cedure-name-surface-area"/>
      <w:r>
        <w:t xml:space="preserve">1. Procedure Name &amp; Surface Area</w:t>
      </w:r>
      <w:bookmarkEnd w:id="21"/>
    </w:p>
    <w:p>
      <w:pPr>
        <w:pStyle w:val="FirstParagraph"/>
      </w:pPr>
      <w:r>
        <w:rPr>
          <w:b/>
        </w:rPr>
        <w:t xml:space="preserve">Procedure:</w:t>
      </w:r>
      <w:r>
        <w:t xml:space="preserve"> </w:t>
      </w:r>
      <w:r>
        <w:rPr>
          <w:rStyle w:val="VerbatimChar"/>
        </w:rPr>
        <w:t xml:space="preserve">dbo.lsp_TcdGetTcdsThatCanCountProduct</w:t>
      </w:r>
    </w:p>
    <w:p>
      <w:pPr>
        <w:pStyle w:val="BodyText"/>
      </w:pPr>
      <w:r>
        <w:rPr>
          <w:b/>
        </w:rPr>
        <w:t xml:space="preserve">Purpose in one line:</w:t>
      </w:r>
      <w:r>
        <w:t xml:space="preserve"> </w:t>
      </w:r>
      <w:r>
        <w:t xml:space="preserve">Returns the list of online, initialized, non-dry, non-flagged dispensers in a specified bank that can count a specified product, ordered so that dispensers with sufficient hopper quantity come first and within each category dispensers with the least quantity come first.</w:t>
      </w:r>
    </w:p>
    <w:p>
      <w:pPr>
        <w:pStyle w:val="BodyText"/>
      </w:pPr>
      <w:r>
        <w:rPr>
          <w:b/>
        </w:rPr>
        <w:t xml:space="preserve">Tables touched: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TcdStatus</w:t>
      </w:r>
      <w:r>
        <w:t xml:space="preserve"> </w:t>
      </w:r>
      <w:r>
        <w:t xml:space="preserve">(the workhorse; main filter for the candidate dispenser set).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TcdSecondaryData</w:t>
      </w:r>
      <w:r>
        <w:t xml:space="preserve"> </w:t>
      </w:r>
      <w:r>
        <w:t xml:space="preserve">(left-joined for OldestLotInitReplenDtTm).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TcdDryDispensers</w:t>
      </w:r>
      <w:r>
        <w:t xml:space="preserve"> </w:t>
      </w:r>
      <w:r>
        <w:t xml:space="preserve">(left-joined for the run-dry exclusion).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TcdFlaggedTcds</w:t>
      </w:r>
      <w:r>
        <w:t xml:space="preserve"> </w:t>
      </w:r>
      <w:r>
        <w:t xml:space="preserve">(left-joined for the count-dry-flag exclusion).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CanCanister</w:t>
      </w:r>
      <w:r>
        <w:t xml:space="preserve"> </w:t>
      </w:r>
      <w:r>
        <w:t xml:space="preserve">(queried in the two correlated Top 1 fallback subqueries in v17).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CanLotCode</w:t>
      </w:r>
      <w:r>
        <w:t xml:space="preserve"> </w:t>
      </w:r>
      <w:r>
        <w:t xml:space="preserve">(joined to</w:t>
      </w:r>
      <w:r>
        <w:t xml:space="preserve"> </w:t>
      </w:r>
      <w:r>
        <w:rPr>
          <w:rStyle w:val="VerbatimChar"/>
        </w:rPr>
        <w:t xml:space="preserve">CanCanister</w:t>
      </w:r>
      <w:r>
        <w:t xml:space="preserve"> </w:t>
      </w:r>
      <w:r>
        <w:t xml:space="preserve">in the fallback subqueries).</w:t>
      </w:r>
    </w:p>
    <w:p>
      <w:pPr>
        <w:pStyle w:val="FirstParagraph"/>
      </w:pPr>
      <w:r>
        <w:rPr>
          <w:b/>
        </w:rPr>
        <w:t xml:space="preserve">Indexes used (predicted from the v18 body):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TcdStatus</w:t>
            </w:r>
          </w:p>
        </w:tc>
        <w:tc>
          <w:p>
            <w:pPr>
              <w:pStyle w:val="Compact"/>
              <w:jc w:val="left"/>
            </w:pPr>
            <w:r>
              <w:t xml:space="preserve">NC on</w:t>
            </w:r>
            <w:r>
              <w:t xml:space="preserve"> </w:t>
            </w:r>
            <w:r>
              <w:rPr>
                <w:rStyle w:val="VerbatimChar"/>
              </w:rPr>
              <w:t xml:space="preserve">ProductId, AddrBank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candidate Tcd scan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TcdSecondaryData</w:t>
            </w:r>
          </w:p>
        </w:tc>
        <w:tc>
          <w:p>
            <w:pPr>
              <w:pStyle w:val="Compact"/>
              <w:jc w:val="left"/>
            </w:pPr>
            <w:r>
              <w:t xml:space="preserve">clustered on</w:t>
            </w:r>
            <w:r>
              <w:t xml:space="preserve"> </w:t>
            </w:r>
            <w:r>
              <w:rPr>
                <w:rStyle w:val="VerbatimChar"/>
              </w:rPr>
              <w:t xml:space="preserve">TcdSn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left-join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TcdDryDispensers</w:t>
            </w:r>
          </w:p>
        </w:tc>
        <w:tc>
          <w:p>
            <w:pPr>
              <w:pStyle w:val="Compact"/>
              <w:jc w:val="left"/>
            </w:pPr>
            <w:r>
              <w:t xml:space="preserve">clustered on</w:t>
            </w:r>
            <w:r>
              <w:t xml:space="preserve"> </w:t>
            </w:r>
            <w:r>
              <w:rPr>
                <w:rStyle w:val="VerbatimChar"/>
              </w:rPr>
              <w:t xml:space="preserve">TcdSn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left-join + NULL probe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TcdFlaggedTcds</w:t>
            </w:r>
          </w:p>
        </w:tc>
        <w:tc>
          <w:p>
            <w:pPr>
              <w:pStyle w:val="Compact"/>
              <w:jc w:val="left"/>
            </w:pPr>
            <w:r>
              <w:t xml:space="preserve">clustered on</w:t>
            </w:r>
            <w:r>
              <w:t xml:space="preserve"> </w:t>
            </w:r>
            <w:r>
              <w:rPr>
                <w:rStyle w:val="VerbatimChar"/>
              </w:rPr>
              <w:t xml:space="preserve">TcdSn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left-join + flag-list exclusion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CanCanister</w:t>
            </w:r>
          </w:p>
        </w:tc>
        <w:tc>
          <w:p>
            <w:pPr>
              <w:pStyle w:val="Compact"/>
              <w:jc w:val="left"/>
            </w:pPr>
            <w:r>
              <w:t xml:space="preserve">NC on</w:t>
            </w:r>
            <w:r>
              <w:t xml:space="preserve"> </w:t>
            </w:r>
            <w:r>
              <w:rPr>
                <w:rStyle w:val="VerbatimChar"/>
              </w:rPr>
              <w:t xml:space="preserve">TcdSn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lot-aggregate scan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CanLotCode</w:t>
            </w:r>
          </w:p>
        </w:tc>
        <w:tc>
          <w:p>
            <w:pPr>
              <w:pStyle w:val="Compact"/>
              <w:jc w:val="left"/>
            </w:pPr>
            <w:r>
              <w:t xml:space="preserve">NC on</w:t>
            </w:r>
            <w:r>
              <w:t xml:space="preserve"> </w:t>
            </w:r>
            <w:r>
              <w:rPr>
                <w:rStyle w:val="VerbatimChar"/>
              </w:rPr>
              <w:t xml:space="preserve">CanisterSn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lot-aggregate join</w:t>
            </w:r>
          </w:p>
        </w:tc>
      </w:tr>
    </w:tbl>
    <w:p>
      <w:pPr>
        <w:pStyle w:val="BodyText"/>
      </w:pPr>
      <w:r>
        <w:rPr>
          <w:b/>
        </w:rPr>
        <w:t xml:space="preserve">Callers:</w:t>
      </w:r>
      <w:r>
        <w:t xml:space="preserve"> </w:t>
      </w:r>
      <w:r>
        <w:t xml:space="preserve">the TCD Controller Count Launcher. Called at high frequency (cross-list flags</w:t>
      </w:r>
      <w:r>
        <w:t xml:space="preserve"> </w:t>
      </w:r>
      <w:r>
        <w:t xml:space="preserve">“</w:t>
      </w:r>
      <w:r>
        <w:t xml:space="preserve">high-volume / sub-ms</w:t>
      </w:r>
      <w:r>
        <w:t xml:space="preserve">”</w:t>
      </w:r>
      <w:r>
        <w:t xml:space="preserve">) during the count-launch decision loop.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-of-performance"/>
      <w:r>
        <w:t xml:space="preserve">2. Overview of Performance</w:t>
      </w:r>
      <w:bookmarkEnd w:id="22"/>
    </w:p>
    <w:p>
      <w:pPr>
        <w:pStyle w:val="FirstParagraph"/>
      </w:pPr>
      <w:r>
        <w:t xml:space="preserve">The procedure is on the optimization list because the cross-list capture reports it on three of four expense lists (Volume #8, Duration #15, Expense #14) with</w:t>
      </w:r>
      <w:r>
        <w:t xml:space="preserve"> </w:t>
      </w:r>
      <w:r>
        <w:t xml:space="preserve">“</w:t>
      </w:r>
      <w:r>
        <w:t xml:space="preserve">high-volume / sub-ms: caching, batching, or memory-optimized table likely worthwhile</w:t>
      </w:r>
      <w:r>
        <w:t xml:space="preserve">”</w:t>
      </w:r>
      <w:r>
        <w:t xml:space="preserve"> </w:t>
      </w:r>
      <w:r>
        <w:t xml:space="preserve">plus</w:t>
      </w:r>
      <w:r>
        <w:t xml:space="preserve"> </w:t>
      </w:r>
      <w:r>
        <w:t xml:space="preserve">“</w:t>
      </w:r>
      <w:r>
        <w:t xml:space="preserve">algorithmic / plan rewrite candidate</w:t>
      </w:r>
      <w:r>
        <w:t xml:space="preserve">”</w:t>
      </w:r>
      <w:r>
        <w:t xml:space="preserve"> </w:t>
      </w:r>
      <w:r>
        <w:t xml:space="preserve">as the dominant heuristics. The procedure is short and structurally simple, but it is called often enough that the per-call cost compounds at scale.</w:t>
      </w:r>
    </w:p>
    <w:p>
      <w:pPr>
        <w:pStyle w:val="BodyText"/>
      </w:pPr>
      <w:r>
        <w:t xml:space="preserve">The dominant cost drivers in v17 are three.</w:t>
      </w:r>
    </w:p>
    <w:p>
      <w:pPr>
        <w:pStyle w:val="BodyText"/>
      </w:pPr>
      <w:r>
        <w:t xml:space="preserve">The first is the two correlated</w:t>
      </w:r>
      <w:r>
        <w:t xml:space="preserve"> </w:t>
      </w:r>
      <w:r>
        <w:rPr>
          <w:rStyle w:val="VerbatimChar"/>
        </w:rPr>
        <w:t xml:space="preserve">Select Top 1</w:t>
      </w:r>
      <w:r>
        <w:t xml:space="preserve"> </w:t>
      </w:r>
      <w:r>
        <w:t xml:space="preserve">scalar subqueries in the SELECT list. Each one executes per row of the outer query: one for the EarliestExpDate fallback against</w:t>
      </w:r>
      <w:r>
        <w:t xml:space="preserve"> </w:t>
      </w:r>
      <w:r>
        <w:rPr>
          <w:rStyle w:val="VerbatimChar"/>
        </w:rPr>
        <w:t xml:space="preserve">CanLotCode.ExpireDate</w:t>
      </w:r>
      <w:r>
        <w:t xml:space="preserve">, one for the OldestLotInitReplenDtTm fallback against</w:t>
      </w:r>
      <w:r>
        <w:t xml:space="preserve"> </w:t>
      </w:r>
      <w:r>
        <w:rPr>
          <w:rStyle w:val="VerbatimChar"/>
        </w:rPr>
        <w:t xml:space="preserve">CanLotCode.LastAddDtTm</w:t>
      </w:r>
      <w:r>
        <w:t xml:space="preserve">. Both join</w:t>
      </w:r>
      <w:r>
        <w:t xml:space="preserve"> </w:t>
      </w:r>
      <w:r>
        <w:rPr>
          <w:rStyle w:val="VerbatimChar"/>
        </w:rPr>
        <w:t xml:space="preserve">CanCanister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CanLotCode</w:t>
      </w:r>
      <w:r>
        <w:t xml:space="preserve"> </w:t>
      </w:r>
      <w:r>
        <w:t xml:space="preserve">on the same</w:t>
      </w:r>
      <w:r>
        <w:t xml:space="preserve"> </w:t>
      </w:r>
      <w:r>
        <w:rPr>
          <w:rStyle w:val="VerbatimChar"/>
        </w:rPr>
        <w:t xml:space="preserve">TcdSn</w:t>
      </w:r>
      <w:r>
        <w:t xml:space="preserve">. Pre-materializing the lot aggregates once per call replaces N pairs of per-row reads with one indexed scan.</w:t>
      </w:r>
    </w:p>
    <w:p>
      <w:pPr>
        <w:pStyle w:val="BodyText"/>
      </w:pPr>
      <w:r>
        <w:t xml:space="preserve">The second is the two catch-all parameter predicates.</w:t>
      </w:r>
      <w:r>
        <w:t xml:space="preserve"> </w:t>
      </w:r>
      <w:r>
        <w:rPr>
          <w:rStyle w:val="VerbatimChar"/>
        </w:rPr>
        <w:t xml:space="preserve">(T.InvPool = @InvPool Or @InvPool = 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IsNull(T.LastNdcReplenished, '') = Case When Len(@MatchingNdc) &gt; 0 Then @MatchingNdc Else IsNull(T.LastNdcReplenished, '') End</w:t>
      </w:r>
      <w:r>
        <w:t xml:space="preserve"> </w:t>
      </w:r>
      <w:r>
        <w:t xml:space="preserve">are the canonical [[Catch-All Query Anti-Pattern]]. Both effectively express</w:t>
      </w:r>
      <w:r>
        <w:t xml:space="preserve"> </w:t>
      </w:r>
      <w:r>
        <w:t xml:space="preserve">“</w:t>
      </w:r>
      <w:r>
        <w:t xml:space="preserve">if the parameter is the special sentinel, no filter; otherwise filter by the parameter value.</w:t>
      </w:r>
      <w:r>
        <w:t xml:space="preserve">”</w:t>
      </w:r>
      <w:r>
        <w:t xml:space="preserve"> </w:t>
      </w:r>
      <w:r>
        <w:t xml:space="preserve">The Case form especially is hard for the optimizer to simplify because the right-hand side is a function of the column being filtered.</w:t>
      </w:r>
    </w:p>
    <w:p>
      <w:pPr>
        <w:pStyle w:val="BodyText"/>
      </w:pPr>
      <w:r>
        <w:t xml:space="preserve">The third is the absence of local-variable indirection and</w:t>
      </w:r>
      <w:r>
        <w:t xml:space="preserve"> </w:t>
      </w:r>
      <w:r>
        <w:rPr>
          <w:rStyle w:val="VerbatimChar"/>
        </w:rPr>
        <w:t xml:space="preserve">Option (Recompile)</w:t>
      </w:r>
      <w:r>
        <w:t xml:space="preserve">. The procedure carries five parameters and is called at high frequency; a stale cached plan against an unfortunate parameter combination is a real risk.</w:t>
      </w:r>
    </w:p>
    <w:p>
      <w:pPr>
        <w:pStyle w:val="BodyText"/>
      </w:pPr>
      <w:r>
        <w:t xml:space="preserve">v18 addresses all three drivers. The Recompile decision is flagged in Section 11 as something to validate against the cost-per-call after deployment.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vidence-of-original-v17"/>
      <w:r>
        <w:t xml:space="preserve">3. Evidence of Original (v17)</w:t>
      </w:r>
      <w:bookmarkEnd w:id="23"/>
    </w:p>
    <w:p>
      <w:pPr>
        <w:pStyle w:val="Heading3"/>
      </w:pPr>
      <w:bookmarkStart w:id="24" w:name="query-store-cross-mfc-view"/>
      <w:r>
        <w:t xml:space="preserve">3.1 Query Store, cross-MFC view</w:t>
      </w:r>
      <w:bookmarkEnd w:id="24"/>
    </w:p>
    <w:tbl>
      <w:tblPr>
        <w:tblStyle w:val="Table"/>
        <w:tblW w:type="pct" w:w="5000.0"/>
        <w:tblLook w:firstRow="1"/>
      </w:tblPr>
      <w:tblGrid>
        <w:gridCol w:w="455"/>
        <w:gridCol w:w="1365"/>
        <w:gridCol w:w="1638"/>
        <w:gridCol w:w="1183"/>
        <w:gridCol w:w="1456"/>
        <w:gridCol w:w="18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MFC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 variants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Executions (30d)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reads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reads/exec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dur range (ms)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(paste from capture)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25" w:name="Xad8ce224daa5835949e491ddc7bad471ccb7314"/>
      <w:r>
        <w:t xml:space="preserve">3.2 STATISTICS IO and STATISTICS TIME from a representative MFC run (v17)</w:t>
      </w:r>
      <w:bookmarkEnd w:id="25"/>
    </w:p>
    <w:p>
      <w:pPr>
        <w:pStyle w:val="SourceCode"/>
      </w:pPr>
      <w:r>
        <w:rPr>
          <w:rStyle w:val="VerbatimChar"/>
        </w:rPr>
        <w:t xml:space="preserve">(paste STATS IO / STATS TIME for v17 against the same data state used for v18 here)</w:t>
      </w:r>
    </w:p>
    <w:p>
      <w:pPr>
        <w:pStyle w:val="FirstParagraph"/>
      </w:pPr>
      <w:r>
        <w:t xml:space="preserve">The expected v17 signature is one read of</w:t>
      </w:r>
      <w:r>
        <w:t xml:space="preserve"> </w:t>
      </w:r>
      <w:r>
        <w:rPr>
          <w:rStyle w:val="VerbatimChar"/>
        </w:rPr>
        <w:t xml:space="preserve">TcdStatus</w:t>
      </w:r>
      <w:r>
        <w:t xml:space="preserve"> </w:t>
      </w:r>
      <w:r>
        <w:t xml:space="preserve">plus N pairs of</w:t>
      </w:r>
      <w:r>
        <w:t xml:space="preserve"> </w:t>
      </w:r>
      <w:r>
        <w:rPr>
          <w:rStyle w:val="VerbatimChar"/>
        </w:rPr>
        <w:t xml:space="preserve">CanCanister + CanLotCode</w:t>
      </w:r>
      <w:r>
        <w:t xml:space="preserve"> </w:t>
      </w:r>
      <w:r>
        <w:t xml:space="preserve">reads, where N is the candidate-dispenser count.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issue-identification"/>
      <w:r>
        <w:t xml:space="preserve">4. Issue Identification</w:t>
      </w:r>
      <w:bookmarkEnd w:id="26"/>
    </w:p>
    <w:p>
      <w:pPr>
        <w:pStyle w:val="FirstParagraph"/>
      </w:pPr>
      <w:r>
        <w:rPr>
          <w:b/>
        </w:rPr>
        <w:t xml:space="preserve">Issue 1: Two correlated Top 1 scalar subqueries in the SELECT list (lines 56-58 and 59-61 in v17).</w:t>
      </w:r>
      <w:r>
        <w:t xml:space="preserve"> </w:t>
      </w:r>
      <w:r>
        <w:t xml:space="preserve">Per-row execution. Pre-materialize.</w:t>
      </w:r>
    </w:p>
    <w:p>
      <w:pPr>
        <w:pStyle w:val="BodyText"/>
      </w:pPr>
      <w:r>
        <w:rPr>
          <w:b/>
        </w:rPr>
        <w:t xml:space="preserve">Issue 2: Catch-all parameter predicate</w:t>
      </w:r>
      <w:r>
        <w:rPr>
          <w:b/>
        </w:rPr>
        <w:t xml:space="preserve"> </w:t>
      </w:r>
      <w:r>
        <w:rPr>
          <w:rStyle w:val="VerbatimChar"/>
          <w:b/>
        </w:rPr>
        <w:t xml:space="preserve">(T.InvPool = @InvPool Or @InvPool = 0)</w:t>
      </w:r>
      <w:r>
        <w:rPr>
          <w:b/>
        </w:rPr>
        <w:t xml:space="preserve">.</w:t>
      </w:r>
      <w:r>
        <w:t xml:space="preserve"> </w:t>
      </w:r>
      <w:r>
        <w:t xml:space="preserve">Defeats clean plan caching.</w:t>
      </w:r>
    </w:p>
    <w:p>
      <w:pPr>
        <w:pStyle w:val="BodyText"/>
      </w:pPr>
      <w:r>
        <w:rPr>
          <w:b/>
        </w:rPr>
        <w:t xml:space="preserve">Issue 3: Catch-all parameter predicate</w:t>
      </w:r>
      <w:r>
        <w:rPr>
          <w:b/>
        </w:rPr>
        <w:t xml:space="preserve"> </w:t>
      </w:r>
      <w:r>
        <w:rPr>
          <w:rStyle w:val="VerbatimChar"/>
          <w:b/>
        </w:rPr>
        <w:t xml:space="preserve">IsNull(T.LastNdcReplenished, '') = Case When Len(@MatchingNdc) &gt; 0 Then @MatchingNdc Else IsNull(T.LastNdcReplenished, '') End</w:t>
      </w:r>
      <w:r>
        <w:rPr>
          <w:b/>
        </w:rPr>
        <w:t xml:space="preserve">.</w:t>
      </w:r>
      <w:r>
        <w:t xml:space="preserve"> </w:t>
      </w:r>
      <w:r>
        <w:t xml:space="preserve">Same anti-pattern, more obscure form.</w:t>
      </w:r>
    </w:p>
    <w:p>
      <w:pPr>
        <w:pStyle w:val="BodyText"/>
      </w:pPr>
      <w:r>
        <w:rPr>
          <w:b/>
        </w:rPr>
        <w:t xml:space="preserve">Issue 4: No local-variable indirection for any of the five parameters.</w:t>
      </w:r>
    </w:p>
    <w:p>
      <w:pPr>
        <w:pStyle w:val="BodyText"/>
      </w:pPr>
      <w:r>
        <w:rPr>
          <w:b/>
        </w:rPr>
        <w:t xml:space="preserve">Issue 5: No indexes on the temp tables (n/a in v17 since there are no temp tables; v18 introduces them and indexes each).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irst-principles"/>
      <w:r>
        <w:t xml:space="preserve">5. First Principles</w:t>
      </w:r>
      <w:bookmarkEnd w:id="27"/>
    </w:p>
    <w:p>
      <w:pPr>
        <w:pStyle w:val="FirstParagraph"/>
      </w:pPr>
      <w:r>
        <w:rPr>
          <w:b/>
        </w:rPr>
        <w:t xml:space="preserve">[[Correlated Subqueries to CTEs]] with the pre-materialize-once fix.</w:t>
      </w:r>
      <w:r>
        <w:t xml:space="preserve"> </w:t>
      </w:r>
      <w:r>
        <w:t xml:space="preserve">The two Top 1 fallback subqueries are aggregations against the same source pair (</w:t>
      </w:r>
      <w:r>
        <w:rPr>
          <w:rStyle w:val="VerbatimChar"/>
        </w:rPr>
        <w:t xml:space="preserve">CanCanister + CanLotCode</w:t>
      </w:r>
      <w:r>
        <w:t xml:space="preserve">). One scan with</w:t>
      </w:r>
      <w:r>
        <w:t xml:space="preserve"> </w:t>
      </w:r>
      <w:r>
        <w:rPr>
          <w:rStyle w:val="VerbatimChar"/>
        </w:rPr>
        <w:t xml:space="preserve">Min(ExpireDate)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Min(LastAddDtTm)</w:t>
      </w:r>
      <w:r>
        <w:t xml:space="preserve"> </w:t>
      </w:r>
      <w:r>
        <w:t xml:space="preserve">per TcdSn produces both fallback columns in a single pass. The Min() aggregations match the v17 semantics of Top 1 with ascending Order By.</w:t>
      </w:r>
    </w:p>
    <w:p>
      <w:pPr>
        <w:pStyle w:val="BodyText"/>
      </w:pPr>
      <w:r>
        <w:rPr>
          <w:b/>
        </w:rPr>
        <w:t xml:space="preserve">[[Catch-All Query Anti-Pattern]] with the conditional-predicate fix.</w:t>
      </w:r>
      <w:r>
        <w:t xml:space="preserve"> </w:t>
      </w:r>
      <w:r>
        <w:t xml:space="preserve">Both catch-all predicates are rewritten as</w:t>
      </w:r>
      <w:r>
        <w:t xml:space="preserve"> </w:t>
      </w:r>
      <w:r>
        <w:rPr>
          <w:rStyle w:val="VerbatimChar"/>
        </w:rPr>
        <w:t xml:space="preserve">@sentinel = special_value Or column = @sentinel</w:t>
      </w:r>
      <w:r>
        <w:t xml:space="preserve">. Under</w:t>
      </w:r>
      <w:r>
        <w:t xml:space="preserve"> </w:t>
      </w:r>
      <w:r>
        <w:rPr>
          <w:rStyle w:val="VerbatimChar"/>
        </w:rPr>
        <w:t xml:space="preserve">Option (Recompile)</w:t>
      </w:r>
      <w:r>
        <w:t xml:space="preserve">, the optimizer can simplify the disjunction at compile time given the actual parameter values, producing a plan that either includes or excludes the filter rather than evaluating the disjunction per row.</w:t>
      </w:r>
    </w:p>
    <w:p>
      <w:pPr>
        <w:pStyle w:val="BodyText"/>
      </w:pPr>
      <w:r>
        <w:rPr>
          <w:b/>
        </w:rPr>
        <w:t xml:space="preserve">[[Parameter Sniffing]] with the local-variable form</w:t>
      </w:r>
      <w:r>
        <w:t xml:space="preserve"> </w:t>
      </w:r>
      <w:r>
        <w:t xml:space="preserve">for all five parameters.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factor-commented"/>
      <w:r>
        <w:t xml:space="preserve">6. Refactor (commented)</w:t>
      </w:r>
      <w:bookmarkEnd w:id="28"/>
    </w:p>
    <w:p>
      <w:pPr>
        <w:pStyle w:val="FirstParagraph"/>
      </w:pPr>
      <w:r>
        <w:t xml:space="preserve">The v18 body is reproduced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. Salient blocks below.</w:t>
      </w:r>
    </w:p>
    <w:p>
      <w:pPr>
        <w:pStyle w:val="BodyText"/>
      </w:pPr>
      <w:r>
        <w:rPr>
          <w:b/>
        </w:rPr>
        <w:t xml:space="preserve">Candidate-Tcd identification with the conditional catch-all predicates.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T.TcdSn</w:t>
      </w:r>
      <w:r>
        <w:br/>
      </w:r>
      <w:r>
        <w:rPr>
          <w:rStyle w:val="NormalTok"/>
        </w:rPr>
        <w:t xml:space="preserve">    , T.AddrCabinet, T.AddrRow, T.AddrSlot, T.TcdModel</w:t>
      </w:r>
      <w:r>
        <w:br/>
      </w:r>
      <w:r>
        <w:rPr>
          <w:rStyle w:val="NormalTok"/>
        </w:rPr>
        <w:t xml:space="preserve">    , T.QtyInHopper, T.QtyInBuffer, T.EpromVersion</w:t>
      </w:r>
      <w:r>
        <w:br/>
      </w:r>
      <w:r>
        <w:rPr>
          <w:rStyle w:val="NormalTok"/>
        </w:rPr>
        <w:t xml:space="preserve">    , T.EarliestExpDate</w:t>
      </w:r>
      <w:r>
        <w:br/>
      </w:r>
      <w:r>
        <w:rPr>
          <w:rStyle w:val="NormalTok"/>
        </w:rPr>
        <w:t xml:space="preserve">    , T.InUse, T.NdcParamChg, T.LocCanModel</w:t>
      </w:r>
      <w:r>
        <w:br/>
      </w:r>
      <w:r>
        <w:rPr>
          <w:rStyle w:val="NormalTok"/>
        </w:rPr>
        <w:t xml:space="preserve">    , [TS_OldestLotInitReplenDtTm]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TS.OldestLotInitReplenDtTm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#CandidateTcds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TcdStatus T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TcdSecondaryData TS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TS.TcdSn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T.TcdSn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TcdDryDispensers TDD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TDD.TcdSn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T.TcdSn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TcdFlaggedTcds TFT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TFT.TcdSn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T.TcdSn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T.ProductId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@LocalProductId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T.AddrBank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@LocalAddrBank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T.Status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T.TcdState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'Tcd Initialized.'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T.LocationState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'Initialized Location.'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TDD.TcdSn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(TFT.IsFlaggedFor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TFT.IsFlaggedFor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'Count Dry Unassign'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 Dry Inv Count'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(@LocalInvPool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T.InvPool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@LocalInvPool)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(@LocalMatchingNdc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IsNull(T.LastNdcReplenished,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@LocalMatchingNdc)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(Recompile);</w:t>
      </w:r>
    </w:p>
    <w:p>
      <w:pPr>
        <w:pStyle w:val="FirstParagraph"/>
      </w:pPr>
      <w:r>
        <w:t xml:space="preserve">The two catch-all predicates are rewritten as</w:t>
      </w:r>
      <w:r>
        <w:t xml:space="preserve"> </w:t>
      </w:r>
      <w:r>
        <w:rPr>
          <w:rStyle w:val="VerbatimChar"/>
        </w:rPr>
        <w:t xml:space="preserve">sentinel-or-column-equals-param</w:t>
      </w:r>
      <w:r>
        <w:t xml:space="preserve"> </w:t>
      </w:r>
      <w:r>
        <w:t xml:space="preserve">form, which Recompile can simplify at compile time.</w:t>
      </w:r>
    </w:p>
    <w:p>
      <w:pPr>
        <w:pStyle w:val="BodyText"/>
      </w:pPr>
      <w:r>
        <w:rPr>
          <w:b/>
        </w:rPr>
        <w:t xml:space="preserve">Pre-materialized lot-aggregate fallbacks.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C.TcdSn</w:t>
      </w:r>
      <w:r>
        <w:br/>
      </w:r>
      <w:r>
        <w:rPr>
          <w:rStyle w:val="NormalTok"/>
        </w:rPr>
        <w:t xml:space="preserve">    , [FallbackEarliestExpDate]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(L.ExpireDate)</w:t>
      </w:r>
      <w:r>
        <w:br/>
      </w:r>
      <w:r>
        <w:rPr>
          <w:rStyle w:val="NormalTok"/>
        </w:rPr>
        <w:t xml:space="preserve">    , [FallbackOldestLotInitReplenDtTm]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(L.LastAddDtTm)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#TcdLotFallbacks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#CandidateTcds CT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CanCanister C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C.TcdSn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CT.TcdSn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CanLotCode L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L.CanisterSn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C.CanisterSn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C.TcdSn</w:t>
      </w:r>
    </w:p>
    <w:p>
      <w:pPr>
        <w:pStyle w:val="FirstParagraph"/>
      </w:pPr>
      <w:r>
        <w:t xml:space="preserve">One scan over</w:t>
      </w:r>
      <w:r>
        <w:t xml:space="preserve"> </w:t>
      </w:r>
      <w:r>
        <w:rPr>
          <w:rStyle w:val="VerbatimChar"/>
        </w:rPr>
        <w:t xml:space="preserve">CanCanister + CanLotCode</w:t>
      </w:r>
      <w:r>
        <w:t xml:space="preserve"> </w:t>
      </w:r>
      <w:r>
        <w:t xml:space="preserve">filtered to the candidate Tcds. Both fallback columns produced in one pass.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isk-rollback"/>
      <w:r>
        <w:t xml:space="preserve">7. Risk &amp; Rollback</w:t>
      </w:r>
      <w:bookmarkEnd w:id="29"/>
    </w:p>
    <w:p>
      <w:pPr>
        <w:pStyle w:val="FirstParagraph"/>
      </w:pPr>
      <w:r>
        <w:rPr>
          <w:b/>
        </w:rPr>
        <w:t xml:space="preserve">What could go wrong.</w:t>
      </w:r>
      <w:r>
        <w:t xml:space="preserve"> </w:t>
      </w:r>
      <w:r>
        <w:t xml:space="preserve">The Recompile decision is the main consideration. The procedure is called at sub-ms cadence; a 1-2 ms compile overhead can dominate the per-call cost. The local-variable form alone (without Recompile) is the fallback if compile cost is too high.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Min(ExpireDate)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Min(LastAddDtTm)</w:t>
      </w:r>
      <w:r>
        <w:t xml:space="preserve"> </w:t>
      </w:r>
      <w:r>
        <w:t xml:space="preserve">aggregates match the v17</w:t>
      </w:r>
      <w:r>
        <w:t xml:space="preserve"> </w:t>
      </w:r>
      <w:r>
        <w:rPr>
          <w:rStyle w:val="VerbatimChar"/>
        </w:rPr>
        <w:t xml:space="preserve">Top 1 ... Order By ExpireDate / LastAddDtTm</w:t>
      </w:r>
      <w:r>
        <w:t xml:space="preserve"> </w:t>
      </w:r>
      <w:r>
        <w:t xml:space="preserve">semantics. If the v17 subqueries returned a different specific row for tied minimum dates, the v18 form would still return the same minimum value (the Top 1 OrderId would differ between calls but the fallback column is what’s projected).</w:t>
      </w:r>
    </w:p>
    <w:p>
      <w:pPr>
        <w:pStyle w:val="BodyText"/>
      </w:pPr>
      <w:r>
        <w:t xml:space="preserve">The two catch-all predicate rewrites preserve the same WHERE semantics. The</w:t>
      </w:r>
      <w:r>
        <w:t xml:space="preserve"> </w:t>
      </w:r>
      <w:r>
        <w:rPr>
          <w:rStyle w:val="VerbatimChar"/>
        </w:rPr>
        <w:t xml:space="preserve">@LocalInvPool = 0 Or T.InvPool = @LocalInvPool</w:t>
      </w:r>
      <w:r>
        <w:t xml:space="preserve"> </w:t>
      </w:r>
      <w:r>
        <w:t xml:space="preserve">form is logically equivalent to the v17</w:t>
      </w:r>
      <w:r>
        <w:t xml:space="preserve"> </w:t>
      </w:r>
      <w:r>
        <w:rPr>
          <w:rStyle w:val="VerbatimChar"/>
        </w:rPr>
        <w:t xml:space="preserve">(T.InvPool = @InvPool Or @InvPool = 0)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@LocalMatchingNdc = '' Or IsNull(T.LastNdcReplenished, '') = @LocalMatchingNdc</w:t>
      </w:r>
      <w:r>
        <w:t xml:space="preserve"> </w:t>
      </w:r>
      <w:r>
        <w:t xml:space="preserve">form is logically equivalent to the v17 Case-form. Both rewrites are safe.</w:t>
      </w:r>
    </w:p>
    <w:p>
      <w:pPr>
        <w:pStyle w:val="BodyText"/>
      </w:pPr>
      <w:r>
        <w:rPr>
          <w:b/>
        </w:rPr>
        <w:t xml:space="preserve">What to look for in the first 24 hours.</w:t>
      </w:r>
      <w:r>
        <w:t xml:space="preserve"> </w:t>
      </w:r>
      <w:r>
        <w:t xml:space="preserve">Per-call compile time (expected to be a few hundred microseconds), per-call elapsed time (expected to be the same or lower than v17), plan shape for the candidate-Tcd scan (expected to be a seek on</w:t>
      </w:r>
      <w:r>
        <w:t xml:space="preserve"> </w:t>
      </w:r>
      <w:r>
        <w:rPr>
          <w:rStyle w:val="VerbatimChar"/>
        </w:rPr>
        <w:t xml:space="preserve">(ProductId, AddrBank)</w:t>
      </w:r>
      <w:r>
        <w:t xml:space="preserve">), CanCanister read count (expected to drop from N pairs to 1 scan).</w:t>
      </w:r>
    </w:p>
    <w:p>
      <w:pPr>
        <w:pStyle w:val="BodyText"/>
      </w:pPr>
      <w:r>
        <w:rPr>
          <w:b/>
        </w:rPr>
        <w:t xml:space="preserve">Rollback path.</w:t>
      </w:r>
      <w:r>
        <w:t xml:space="preserve"> </w:t>
      </w:r>
      <w:r>
        <w:t xml:space="preserve">The v17 body is in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. Redeploying v17 reverts cleanly.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vidence-of-refactor-v18"/>
      <w:r>
        <w:t xml:space="preserve">8. Evidence of Refactor (v18)</w:t>
      </w:r>
      <w:bookmarkEnd w:id="30"/>
    </w:p>
    <w:p>
      <w:pPr>
        <w:pStyle w:val="SourceCode"/>
      </w:pPr>
      <w:r>
        <w:rPr>
          <w:rStyle w:val="VerbatimChar"/>
        </w:rPr>
        <w:t xml:space="preserve">(paste STATS IO / STATS TIME for v18 against the same data state used for v17 here)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omparison-improvement"/>
      <w:r>
        <w:t xml:space="preserve">9. Comparison &amp; Improvement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v17 (paste)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v18 (paste)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 reads (total)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Logical reads on</w:t>
            </w:r>
            <w:r>
              <w:t xml:space="preserve"> </w:t>
            </w:r>
            <w:r>
              <w:rPr>
                <w:rStyle w:val="VerbatimChar"/>
              </w:rPr>
              <w:t xml:space="preserve">CanCanister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substantially lower)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Logical reads on</w:t>
            </w:r>
            <w:r>
              <w:t xml:space="preserve"> </w:t>
            </w:r>
            <w:r>
              <w:rPr>
                <w:rStyle w:val="VerbatimChar"/>
              </w:rPr>
              <w:t xml:space="preserve">CanLotCode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substantially lower)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CPU time (ms)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Elapsed time (ms)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Result row 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identical)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Verdict (to be entered once the captures land):</w:t>
      </w:r>
      <w:r>
        <w:t xml:space="preserve"> </w:t>
      </w:r>
      <w:r>
        <w:t xml:space="preserve">the headline expected delta is the per-row to per-set transformation on the CanCanister/CanLotCode reads. The catch-all predicate rewrite is the secondary win, plan-quality dependent.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validation-checklist"/>
      <w:r>
        <w:t xml:space="preserve">10. Validation Checklist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Same data state. (?)</w:t>
      </w:r>
    </w:p>
    <w:p>
      <w:pPr>
        <w:numPr>
          <w:ilvl w:val="0"/>
          <w:numId w:val="1002"/>
        </w:numPr>
        <w:pStyle w:val="Compact"/>
      </w:pPr>
      <w:r>
        <w:t xml:space="preserve">Warm cache only. (?)</w:t>
      </w:r>
    </w:p>
    <w:p>
      <w:pPr>
        <w:numPr>
          <w:ilvl w:val="0"/>
          <w:numId w:val="1002"/>
        </w:numPr>
        <w:pStyle w:val="Compact"/>
      </w:pPr>
      <w:r>
        <w:t xml:space="preserve">Non-zero result set. (?)</w:t>
      </w:r>
    </w:p>
    <w:p>
      <w:pPr>
        <w:numPr>
          <w:ilvl w:val="0"/>
          <w:numId w:val="1002"/>
        </w:numPr>
        <w:pStyle w:val="Compact"/>
      </w:pPr>
      <w:r>
        <w:t xml:space="preserve">Identical result set: same dispensers returned in same order; same fallback EarliestExpDate and OldestLotInitReplenDtTm values. (?)</w:t>
      </w:r>
    </w:p>
    <w:p>
      <w:pPr>
        <w:numPr>
          <w:ilvl w:val="0"/>
          <w:numId w:val="1002"/>
        </w:numPr>
        <w:pStyle w:val="Compact"/>
      </w:pPr>
      <w:r>
        <w:t xml:space="preserve">Plan shape matches prediction. (?)</w:t>
      </w:r>
    </w:p>
    <w:p>
      <w:pPr>
        <w:numPr>
          <w:ilvl w:val="0"/>
          <w:numId w:val="1002"/>
        </w:numPr>
        <w:pStyle w:val="Compact"/>
      </w:pPr>
      <w:r>
        <w:t xml:space="preserve">No new error or warning messages. (?)</w:t>
      </w:r>
    </w:p>
    <w:p>
      <w:pPr>
        <w:numPr>
          <w:ilvl w:val="0"/>
          <w:numId w:val="1002"/>
        </w:numPr>
        <w:pStyle w:val="Compact"/>
      </w:pPr>
      <w:r>
        <w:t xml:space="preserve">Warm-cache elapsed time at or below original. (?)</w:t>
      </w:r>
    </w:p>
    <w:p>
      <w:pPr>
        <w:pStyle w:val="FirstParagraph"/>
      </w:pPr>
      <w:r>
        <w:t xml:space="preserve">Net call: the refactor is sound on first principles. The Recompile evaluation in post-deployment monitoring is the gating check for the high-volume call pattern.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open-items-future-improvements"/>
      <w:r>
        <w:t xml:space="preserve">11. Open Items / Future Improvements</w:t>
      </w:r>
      <w:bookmarkEnd w:id="33"/>
    </w:p>
    <w:p>
      <w:pPr>
        <w:pStyle w:val="Heading3"/>
      </w:pPr>
      <w:bookmarkStart w:id="34" w:name="X1772c644747d25611f54dcf61f38bcb9486391e"/>
      <w:r>
        <w:t xml:space="preserve">11.1 Validate the Recompile hint against per-call cost</w:t>
      </w:r>
      <w:bookmarkEnd w:id="34"/>
    </w:p>
    <w:p>
      <w:pPr>
        <w:pStyle w:val="FirstParagraph"/>
      </w:pPr>
      <w:r>
        <w:t xml:space="preserve">For a sub-millisecond procedure called at high frequency, the compile cost can exceed the plan-quality benefit. The post-deployment monitoring should capture per-call CPU and elapsed time with Recompile enabled and compare against the same metrics without Recompile. The local-variable form alone is the fallback.</w:t>
      </w:r>
    </w:p>
    <w:p>
      <w:pPr>
        <w:pStyle w:val="Heading3"/>
      </w:pPr>
      <w:bookmarkStart w:id="35" w:name="X0f8d57da25d5d3f061a30ec2256eba48d266830"/>
      <w:r>
        <w:t xml:space="preserve">11.2 Consider memory-optimized table caching for</w:t>
      </w:r>
      <w:r>
        <w:t xml:space="preserve"> </w:t>
      </w:r>
      <w:r>
        <w:rPr>
          <w:rStyle w:val="VerbatimChar"/>
        </w:rPr>
        <w:t xml:space="preserve">TcdStatus</w:t>
      </w:r>
      <w:bookmarkEnd w:id="35"/>
    </w:p>
    <w:p>
      <w:pPr>
        <w:pStyle w:val="FirstParagraph"/>
      </w:pPr>
      <w:r>
        <w:t xml:space="preserve">The cross-list capture explicitly mentions</w:t>
      </w:r>
      <w:r>
        <w:t xml:space="preserve"> </w:t>
      </w:r>
      <w:r>
        <w:t xml:space="preserve">“</w:t>
      </w:r>
      <w:r>
        <w:t xml:space="preserve">memory-optimized table likely worthwhile.</w:t>
      </w:r>
      <w:r>
        <w:t xml:space="preserve">”</w:t>
      </w:r>
      <w:r>
        <w:t xml:space="preserve"> </w:t>
      </w:r>
      <w:r>
        <w:rPr>
          <w:rStyle w:val="VerbatimChar"/>
        </w:rPr>
        <w:t xml:space="preserve">TcdStatus</w:t>
      </w:r>
      <w:r>
        <w:t xml:space="preserve"> </w:t>
      </w:r>
      <w:r>
        <w:t xml:space="preserve">is a candidate because it is read at high frequency, has bounded row count (one row per Tcd, in the thousands), and changes at moderate frequency. Moving</w:t>
      </w:r>
      <w:r>
        <w:t xml:space="preserve"> </w:t>
      </w:r>
      <w:r>
        <w:rPr>
          <w:rStyle w:val="VerbatimChar"/>
        </w:rPr>
        <w:t xml:space="preserve">TcdStatus</w:t>
      </w:r>
      <w:r>
        <w:t xml:space="preserve"> </w:t>
      </w:r>
      <w:r>
        <w:t xml:space="preserve">to In-Memory OLTP would eliminate the disk I/O on every call. This is a substantial architectural change requiring DBA evaluation and is documented for the longer-arc backlog.</w:t>
      </w:r>
    </w:p>
    <w:p>
      <w:pPr>
        <w:pStyle w:val="Heading3"/>
      </w:pPr>
      <w:bookmarkStart w:id="36" w:name="X580d71500e13ff0510d5af484187e519af5672d"/>
      <w:r>
        <w:t xml:space="preserve">11.3 Filtered index on</w:t>
      </w:r>
      <w:r>
        <w:t xml:space="preserve"> </w:t>
      </w:r>
      <w:r>
        <w:rPr>
          <w:rStyle w:val="VerbatimChar"/>
        </w:rPr>
        <w:t xml:space="preserve">TcdStatus(ProductId, AddrBank)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Status, TcdState, LocationState</w:t>
      </w:r>
      <w:r>
        <w:t xml:space="preserve"> </w:t>
      </w:r>
      <w:r>
        <w:t xml:space="preserve">filtered</w:t>
      </w:r>
      <w:bookmarkEnd w:id="36"/>
    </w:p>
    <w:p>
      <w:pPr>
        <w:pStyle w:val="FirstParagraph"/>
      </w:pPr>
      <w:r>
        <w:t xml:space="preserve">The candidate-Tcd scan has fixed-value filters on Status, TcdState, and LocationState. A filtered index that pre-filters these would let the scan seek directly into the much smaller</w:t>
      </w:r>
      <w:r>
        <w:t xml:space="preserve"> </w:t>
      </w:r>
      <w:r>
        <w:t xml:space="preserve">“</w:t>
      </w:r>
      <w:r>
        <w:t xml:space="preserve">online and ready</w:t>
      </w:r>
      <w:r>
        <w:t xml:space="preserve">”</w:t>
      </w:r>
      <w:r>
        <w:t xml:space="preserve"> </w:t>
      </w:r>
      <w:r>
        <w:t xml:space="preserve">subset. This is a Tolleson-first recommendation; evaluate before fleet deployment.</w:t>
      </w:r>
    </w:p>
    <w:p>
      <w:pPr>
        <w:pStyle w:val="Heading3"/>
      </w:pPr>
      <w:bookmarkStart w:id="37" w:name="per-mfc-post-deployment-monitoring"/>
      <w:r>
        <w:t xml:space="preserve">11.4 Per-MFC post-deployment monitoring</w:t>
      </w:r>
      <w:bookmarkEnd w:id="37"/>
    </w:p>
    <w:p>
      <w:pPr>
        <w:pStyle w:val="FirstParagraph"/>
      </w:pPr>
      <w:r>
        <w:t xml:space="preserve">Two-week capture per site, three-bucket outcome distribution.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2026-05-15T13:29:10Z</dcterms:created>
  <dcterms:modified xsi:type="dcterms:W3CDTF">2026-05-15T13:29:10Z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