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6230CE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Pr="00A70FAE">
              <w:rPr>
                <w:rStyle w:val="Lienhypertexte"/>
              </w:rPr>
              <w:t>PARTIE 1 : INTRODUCTION ET GENERALITE SUR LA NORME IEC 62304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_Toc408568729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30CE" w:rsidRDefault="006230C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6230CE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0" w:name="_Toc408568729"/>
      <w:r>
        <w:t>PARTIE 1 : INTRODUCTION ET GENERALITE SUR LA NORME IEC 62304</w:t>
      </w:r>
      <w:bookmarkEnd w:id="0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bookmarkStart w:id="2" w:name="_GoBack"/>
      <w:bookmarkEnd w:id="2"/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26" w:rsidRDefault="008B2A26" w:rsidP="00AF5B63">
      <w:pPr>
        <w:spacing w:after="0" w:line="240" w:lineRule="auto"/>
      </w:pPr>
      <w:r>
        <w:separator/>
      </w:r>
    </w:p>
  </w:endnote>
  <w:endnote w:type="continuationSeparator" w:id="0">
    <w:p w:rsidR="008B2A26" w:rsidRDefault="008B2A26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26" w:rsidRDefault="008B2A26" w:rsidP="00AF5B63">
      <w:pPr>
        <w:spacing w:after="0" w:line="240" w:lineRule="auto"/>
      </w:pPr>
      <w:r>
        <w:separator/>
      </w:r>
    </w:p>
  </w:footnote>
  <w:footnote w:type="continuationSeparator" w:id="0">
    <w:p w:rsidR="008B2A26" w:rsidRDefault="008B2A26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0"/>
      <w:gridCol w:w="8432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COnception architecturale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F15F6"/>
    <w:rsid w:val="0042486B"/>
    <w:rsid w:val="006230CE"/>
    <w:rsid w:val="008B2A26"/>
    <w:rsid w:val="008F11DE"/>
    <w:rsid w:val="00AD7AFD"/>
    <w:rsid w:val="00A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000000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8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architecturale</dc:title>
  <dc:subject/>
  <dc:creator>Hicham Azimani</dc:creator>
  <cp:keywords/>
  <dc:description/>
  <cp:lastModifiedBy>Hicham Azimani</cp:lastModifiedBy>
  <cp:revision>4</cp:revision>
  <dcterms:created xsi:type="dcterms:W3CDTF">2015-01-09T11:09:00Z</dcterms:created>
  <dcterms:modified xsi:type="dcterms:W3CDTF">2015-01-09T11:12:00Z</dcterms:modified>
</cp:coreProperties>
</file>