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Here's a step-by-step overview of the process: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**3D Modeling in SketchUp**: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- The design starts with creating a 3D model using SketchUp, a popular 3D modeling software.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2. **Exporting to STL Format**: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- Once the model is complete, it is exported from SketchUp in STL format. STL (Stereolithography) is a widely used file format for 3D printing.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3. **Conversion to GLB Format**: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- The STL file is then converted to GLB format. GLB (GL Transmission Format Binary) is a binary version of the GLTF format and is commonly used for 3D models on the web due to its efficient size and ease of use.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4. **Loading into A-Frame**: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- The GLB file is loaded into an A-Frame scene. A-Frame is a web framework for building virtual reality (VR) experiences. It allows for the creation of 3D and XR (extended reality) scenes that can be viewed in a web browser.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5. **Web-Based 3D and XR Scene**: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- The A-Frame scene, which includes the 3D model, is then integrated into a website. This allows users to interact with the 3D model in a web browser, providing an immersive experience.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This project demonstrates the seamless workflow from digital design to physical production and then to an interactive web-based 3D and XR environment, highlighting the potential of combining digital fabrication and immersive technologies.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