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D7A6" w14:textId="77777777" w:rsidR="00913469" w:rsidRPr="00913469" w:rsidRDefault="00913469" w:rsidP="00913469">
      <w:pPr>
        <w:rPr>
          <w:b/>
          <w:bCs/>
        </w:rPr>
      </w:pPr>
      <w:r w:rsidRPr="00913469">
        <w:rPr>
          <w:b/>
          <w:bCs/>
        </w:rPr>
        <w:t>1. Historical PIT failures</w:t>
      </w:r>
    </w:p>
    <w:p w14:paraId="3DEDE0D5" w14:textId="77777777" w:rsidR="00913469" w:rsidRPr="00913469" w:rsidRDefault="00913469" w:rsidP="00913469">
      <w:r w:rsidRPr="00913469">
        <w:t xml:space="preserve">These are not two separate issues. The </w:t>
      </w:r>
      <w:r w:rsidRPr="00913469">
        <w:rPr>
          <w:b/>
          <w:bCs/>
        </w:rPr>
        <w:t>17 failed snapshots are the result of the canonicalization gaps</w:t>
      </w:r>
      <w:r w:rsidRPr="00913469">
        <w:t>.</w:t>
      </w:r>
    </w:p>
    <w:p w14:paraId="69D729F0" w14:textId="77777777" w:rsidR="00913469" w:rsidRPr="00913469" w:rsidRDefault="00913469" w:rsidP="00913469">
      <w:pPr>
        <w:numPr>
          <w:ilvl w:val="0"/>
          <w:numId w:val="2"/>
        </w:numPr>
      </w:pPr>
      <w:r w:rsidRPr="00913469">
        <w:t xml:space="preserve">There were </w:t>
      </w:r>
      <w:r w:rsidRPr="00913469">
        <w:rPr>
          <w:b/>
          <w:bCs/>
        </w:rPr>
        <w:t>65 unresolved ticker-date observations out of 1,979 canary observations</w:t>
      </w:r>
      <w:r w:rsidRPr="00913469">
        <w:t>.</w:t>
      </w:r>
    </w:p>
    <w:p w14:paraId="7E70BEDD" w14:textId="77777777" w:rsidR="00913469" w:rsidRPr="00913469" w:rsidRDefault="00913469" w:rsidP="00913469">
      <w:pPr>
        <w:numPr>
          <w:ilvl w:val="0"/>
          <w:numId w:val="2"/>
        </w:numPr>
      </w:pPr>
      <w:r w:rsidRPr="00913469">
        <w:rPr>
          <w:b/>
          <w:bCs/>
        </w:rPr>
        <w:t>63 were active at the tested date</w:t>
      </w:r>
      <w:r w:rsidRPr="00913469">
        <w:t xml:space="preserve"> and two were historical/delisted observations.</w:t>
      </w:r>
    </w:p>
    <w:p w14:paraId="46572CF4" w14:textId="77777777" w:rsidR="00913469" w:rsidRPr="00913469" w:rsidRDefault="00913469" w:rsidP="00913469">
      <w:pPr>
        <w:numPr>
          <w:ilvl w:val="0"/>
          <w:numId w:val="2"/>
        </w:numPr>
      </w:pPr>
      <w:r w:rsidRPr="00913469">
        <w:t>Current 2026-08-14 data is clean:</w:t>
      </w:r>
    </w:p>
    <w:p w14:paraId="19647279" w14:textId="77777777" w:rsidR="00913469" w:rsidRPr="00913469" w:rsidRDefault="00913469" w:rsidP="00913469">
      <w:pPr>
        <w:numPr>
          <w:ilvl w:val="1"/>
          <w:numId w:val="2"/>
        </w:numPr>
      </w:pPr>
      <w:r w:rsidRPr="00913469">
        <w:t>Defense: 94/94</w:t>
      </w:r>
    </w:p>
    <w:p w14:paraId="3D8839AA" w14:textId="77777777" w:rsidR="00913469" w:rsidRPr="00913469" w:rsidRDefault="00913469" w:rsidP="00913469">
      <w:pPr>
        <w:numPr>
          <w:ilvl w:val="1"/>
          <w:numId w:val="2"/>
        </w:numPr>
      </w:pPr>
      <w:r w:rsidRPr="00913469">
        <w:t>Machinery: 113/113</w:t>
      </w:r>
    </w:p>
    <w:p w14:paraId="2E1900F5" w14:textId="77777777" w:rsidR="00913469" w:rsidRPr="00913469" w:rsidRDefault="00913469" w:rsidP="00913469">
      <w:pPr>
        <w:numPr>
          <w:ilvl w:val="0"/>
          <w:numId w:val="2"/>
        </w:numPr>
      </w:pPr>
      <w:r w:rsidRPr="00913469">
        <w:t>Recent historical gaps still exist:</w:t>
      </w:r>
    </w:p>
    <w:p w14:paraId="10467473" w14:textId="77777777" w:rsidR="00913469" w:rsidRPr="00913469" w:rsidRDefault="00913469" w:rsidP="00913469">
      <w:pPr>
        <w:numPr>
          <w:ilvl w:val="1"/>
          <w:numId w:val="2"/>
        </w:numPr>
      </w:pPr>
      <w:r w:rsidRPr="00913469">
        <w:t>Defense 2026-03-31: KRMN, MDA</w:t>
      </w:r>
    </w:p>
    <w:p w14:paraId="79EE1127" w14:textId="77777777" w:rsidR="00913469" w:rsidRPr="00913469" w:rsidRDefault="00913469" w:rsidP="00913469">
      <w:pPr>
        <w:numPr>
          <w:ilvl w:val="1"/>
          <w:numId w:val="2"/>
        </w:numPr>
      </w:pPr>
      <w:r w:rsidRPr="00913469">
        <w:t>Defense 2026-06-30: CAE, DPC, EMBJ, ESLT, MOB, SPCX, TATT</w:t>
      </w:r>
    </w:p>
    <w:p w14:paraId="3D14F9E8" w14:textId="77777777" w:rsidR="00913469" w:rsidRPr="00913469" w:rsidRDefault="00913469" w:rsidP="00913469">
      <w:pPr>
        <w:numPr>
          <w:ilvl w:val="1"/>
          <w:numId w:val="2"/>
        </w:numPr>
      </w:pPr>
      <w:r w:rsidRPr="00913469">
        <w:t>Machinery 2026-06-30: BLDP, INIO</w:t>
      </w:r>
    </w:p>
    <w:p w14:paraId="68C4131E" w14:textId="77777777" w:rsidR="00913469" w:rsidRPr="00913469" w:rsidRDefault="00913469" w:rsidP="00913469">
      <w:r w:rsidRPr="00913469">
        <w:rPr>
          <w:b/>
          <w:bCs/>
        </w:rPr>
        <w:t>Should they be fixed?</w:t>
      </w:r>
      <w:r w:rsidRPr="00913469">
        <w:t xml:space="preserve"> Yes, particularly the recurring 2019–2025 gaps and recent 2026 gaps.</w:t>
      </w:r>
    </w:p>
    <w:p w14:paraId="451E5DEF" w14:textId="77777777" w:rsidR="00913469" w:rsidRPr="00913469" w:rsidRDefault="00913469" w:rsidP="00913469">
      <w:r w:rsidRPr="00913469">
        <w:rPr>
          <w:b/>
          <w:bCs/>
        </w:rPr>
        <w:t>Calibration impact:</w:t>
      </w:r>
      <w:r w:rsidRPr="00913469">
        <w:t xml:space="preserve"> The gaps do not prove that the underlying values are wrong. They mean the pipeline cannot prove that the values came from the correct filing available on that historical date. Because many gaps occur during the 2019–2025 calibration period and repeatedly affect names such as ATS, BLDP, EMBJ, and ESLT, they could introduce stale-data or issuer-selection bias.</w:t>
      </w:r>
    </w:p>
    <w:p w14:paraId="39067337" w14:textId="77777777" w:rsidR="00913469" w:rsidRPr="00913469" w:rsidRDefault="00913469" w:rsidP="00913469">
      <w:r w:rsidRPr="00913469">
        <w:t>The correct approach is:</w:t>
      </w:r>
    </w:p>
    <w:p w14:paraId="477ED335" w14:textId="77777777" w:rsidR="00913469" w:rsidRPr="00913469" w:rsidRDefault="00913469" w:rsidP="00913469">
      <w:pPr>
        <w:numPr>
          <w:ilvl w:val="0"/>
          <w:numId w:val="3"/>
        </w:numPr>
      </w:pPr>
      <w:r w:rsidRPr="00913469">
        <w:t>Recover the missing historical filing-to-fact links.</w:t>
      </w:r>
    </w:p>
    <w:p w14:paraId="67796401" w14:textId="77777777" w:rsidR="00913469" w:rsidRPr="00913469" w:rsidRDefault="00913469" w:rsidP="00913469">
      <w:pPr>
        <w:numPr>
          <w:ilvl w:val="0"/>
          <w:numId w:val="3"/>
        </w:numPr>
      </w:pPr>
      <w:r w:rsidRPr="00913469">
        <w:t>Rerun the bounded PIT canary.</w:t>
      </w:r>
    </w:p>
    <w:p w14:paraId="36FE6CB4" w14:textId="77777777" w:rsidR="00913469" w:rsidRPr="00913469" w:rsidRDefault="00913469" w:rsidP="00913469">
      <w:pPr>
        <w:numPr>
          <w:ilvl w:val="0"/>
          <w:numId w:val="3"/>
        </w:numPr>
      </w:pPr>
      <w:r w:rsidRPr="00913469">
        <w:t>Run a calibration sensitivity comparison with and without the affected observations.</w:t>
      </w:r>
    </w:p>
    <w:p w14:paraId="599D1646" w14:textId="77777777" w:rsidR="00913469" w:rsidRPr="00913469" w:rsidRDefault="00913469" w:rsidP="00913469">
      <w:pPr>
        <w:numPr>
          <w:ilvl w:val="0"/>
          <w:numId w:val="3"/>
        </w:numPr>
      </w:pPr>
      <w:r w:rsidRPr="00913469">
        <w:t>Recalibrate only if the corrected observations materially change weights, IC, spreads, or ranks.</w:t>
      </w:r>
    </w:p>
    <w:p w14:paraId="7A6C4FF2" w14:textId="3D90161E" w:rsidR="00A15A9F" w:rsidRDefault="00913469" w:rsidP="00913469">
      <w:r w:rsidRPr="00913469">
        <w:t xml:space="preserve">A </w:t>
      </w:r>
      <w:proofErr w:type="gramStart"/>
      <w:r w:rsidRPr="00913469">
        <w:t>full</w:t>
      </w:r>
      <w:proofErr w:type="gramEnd"/>
      <w:r w:rsidRPr="00913469">
        <w:t xml:space="preserve"> expensive recalibration should not be started before this targeted recovery and sensitivity test.</w:t>
      </w:r>
      <w:r w:rsidR="007F3F47">
        <w:br/>
      </w:r>
    </w:p>
    <w:p w14:paraId="58EA65AA" w14:textId="4D3B951B" w:rsidR="00A15A9F" w:rsidRPr="00A15A9F" w:rsidRDefault="00A15A9F" w:rsidP="00A15A9F">
      <w:r>
        <w:br w:type="page"/>
      </w:r>
      <w:r w:rsidRPr="00A15A9F">
        <w:lastRenderedPageBreak/>
        <w:t>The next correction should therefore be:</w:t>
      </w:r>
    </w:p>
    <w:p w14:paraId="334B0F50" w14:textId="77777777" w:rsidR="00A15A9F" w:rsidRPr="00A15A9F" w:rsidRDefault="00A15A9F" w:rsidP="00A15A9F">
      <w:pPr>
        <w:numPr>
          <w:ilvl w:val="0"/>
          <w:numId w:val="4"/>
        </w:numPr>
      </w:pPr>
      <w:r w:rsidRPr="00A15A9F">
        <w:t>Keep the existing subgroup percentile normalization.</w:t>
      </w:r>
    </w:p>
    <w:p w14:paraId="619740C2" w14:textId="77777777" w:rsidR="00A15A9F" w:rsidRPr="00A15A9F" w:rsidRDefault="00A15A9F" w:rsidP="00A15A9F">
      <w:pPr>
        <w:numPr>
          <w:ilvl w:val="0"/>
          <w:numId w:val="4"/>
        </w:numPr>
      </w:pPr>
      <w:r w:rsidRPr="00A15A9F">
        <w:t>Add group-specific final component weights, not merely group-specific metric recipes.</w:t>
      </w:r>
    </w:p>
    <w:p w14:paraId="029C445F" w14:textId="77777777" w:rsidR="00A15A9F" w:rsidRPr="00A15A9F" w:rsidRDefault="00A15A9F" w:rsidP="00A15A9F">
      <w:pPr>
        <w:numPr>
          <w:ilvl w:val="0"/>
          <w:numId w:val="4"/>
        </w:numPr>
      </w:pPr>
      <w:r w:rsidRPr="00A15A9F">
        <w:t>Add specialized packs for asset-light logistics and parcel—or explicitly exclude those groups from specialized ranking.</w:t>
      </w:r>
    </w:p>
    <w:p w14:paraId="3FF7A796" w14:textId="77777777" w:rsidR="00A15A9F" w:rsidRPr="00A15A9F" w:rsidRDefault="00A15A9F" w:rsidP="00A15A9F">
      <w:pPr>
        <w:numPr>
          <w:ilvl w:val="0"/>
          <w:numId w:val="4"/>
        </w:numPr>
      </w:pPr>
      <w:r w:rsidRPr="00A15A9F">
        <w:t>Replace ineffective metric definitions such as operating-ratio level with economically appropriate changes or spreads.</w:t>
      </w:r>
    </w:p>
    <w:p w14:paraId="1AE4EC61" w14:textId="77777777" w:rsidR="00A15A9F" w:rsidRPr="00A15A9F" w:rsidRDefault="00A15A9F" w:rsidP="00A15A9F">
      <w:pPr>
        <w:numPr>
          <w:ilvl w:val="0"/>
          <w:numId w:val="4"/>
        </w:numPr>
      </w:pPr>
      <w:r w:rsidRPr="00A15A9F">
        <w:t>Give tanker-cycle metrics meaningful weight; fleet age at 2.5% is not a real tanker-specialized model.</w:t>
      </w:r>
    </w:p>
    <w:p w14:paraId="5B4D0946" w14:textId="77777777" w:rsidR="00A15A9F" w:rsidRPr="00A15A9F" w:rsidRDefault="00A15A9F" w:rsidP="00A15A9F">
      <w:pPr>
        <w:numPr>
          <w:ilvl w:val="0"/>
          <w:numId w:val="4"/>
        </w:numPr>
      </w:pPr>
      <w:r w:rsidRPr="00A15A9F">
        <w:t>Evaluate and gate each comparison group separately before aggregating them into the surface portfolio.</w:t>
      </w:r>
    </w:p>
    <w:p w14:paraId="35699992" w14:textId="33F60AA6" w:rsidR="00A15A9F" w:rsidRPr="007D02E1" w:rsidRDefault="00A15A9F" w:rsidP="00A15A9F">
      <w:pPr>
        <w:numPr>
          <w:ilvl w:val="0"/>
          <w:numId w:val="4"/>
        </w:numPr>
        <w:rPr>
          <w:b/>
          <w:bCs/>
        </w:rPr>
      </w:pPr>
      <w:r w:rsidRPr="00A15A9F">
        <w:t>Aggregate subgroup scores using fixed, outcome-blind group weights so large groups do not dominate selection.</w:t>
      </w:r>
      <w:r w:rsidR="003022CF">
        <w:br/>
      </w:r>
      <w:r w:rsidR="003022CF">
        <w:br/>
      </w:r>
      <w:r w:rsidR="007D02E1" w:rsidRPr="007D02E1">
        <w:rPr>
          <w:b/>
          <w:bCs/>
        </w:rPr>
        <w:t>Tech recalibration</w:t>
      </w:r>
    </w:p>
    <w:p w14:paraId="27E955DF" w14:textId="77777777" w:rsidR="00913469" w:rsidRPr="00913469" w:rsidRDefault="00913469" w:rsidP="00913469"/>
    <w:p w14:paraId="20B0DC4E" w14:textId="77777777" w:rsidR="001B78A3" w:rsidRPr="00913469" w:rsidRDefault="001B78A3" w:rsidP="00913469"/>
    <w:sectPr w:rsidR="001B78A3" w:rsidRPr="00913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468DD"/>
    <w:multiLevelType w:val="multilevel"/>
    <w:tmpl w:val="503C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85346F"/>
    <w:multiLevelType w:val="multilevel"/>
    <w:tmpl w:val="8CDC5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995E53"/>
    <w:multiLevelType w:val="multilevel"/>
    <w:tmpl w:val="B766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86046"/>
    <w:multiLevelType w:val="multilevel"/>
    <w:tmpl w:val="482A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707538">
    <w:abstractNumId w:val="1"/>
  </w:num>
  <w:num w:numId="2" w16cid:durableId="801968808">
    <w:abstractNumId w:val="2"/>
  </w:num>
  <w:num w:numId="3" w16cid:durableId="853031157">
    <w:abstractNumId w:val="3"/>
  </w:num>
  <w:num w:numId="4" w16cid:durableId="160441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90"/>
    <w:rsid w:val="00197C90"/>
    <w:rsid w:val="001B78A3"/>
    <w:rsid w:val="003022CF"/>
    <w:rsid w:val="003F5C9A"/>
    <w:rsid w:val="005C4A93"/>
    <w:rsid w:val="005C7D6E"/>
    <w:rsid w:val="007D02E1"/>
    <w:rsid w:val="007F3F47"/>
    <w:rsid w:val="008224FC"/>
    <w:rsid w:val="00913469"/>
    <w:rsid w:val="009A1A90"/>
    <w:rsid w:val="00A15A9F"/>
    <w:rsid w:val="00B94AF4"/>
    <w:rsid w:val="00D866D6"/>
    <w:rsid w:val="00EA0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DFE7"/>
  <w15:chartTrackingRefBased/>
  <w15:docId w15:val="{AA141E9C-2246-40AA-BA4F-4112D7C5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90"/>
    <w:rPr>
      <w:rFonts w:eastAsiaTheme="majorEastAsia" w:cstheme="majorBidi"/>
      <w:color w:val="272727" w:themeColor="text1" w:themeTint="D8"/>
    </w:rPr>
  </w:style>
  <w:style w:type="paragraph" w:styleId="Title">
    <w:name w:val="Title"/>
    <w:basedOn w:val="Normal"/>
    <w:next w:val="Normal"/>
    <w:link w:val="TitleChar"/>
    <w:uiPriority w:val="10"/>
    <w:qFormat/>
    <w:rsid w:val="0019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90"/>
    <w:pPr>
      <w:spacing w:before="160"/>
      <w:jc w:val="center"/>
    </w:pPr>
    <w:rPr>
      <w:i/>
      <w:iCs/>
      <w:color w:val="404040" w:themeColor="text1" w:themeTint="BF"/>
    </w:rPr>
  </w:style>
  <w:style w:type="character" w:customStyle="1" w:styleId="QuoteChar">
    <w:name w:val="Quote Char"/>
    <w:basedOn w:val="DefaultParagraphFont"/>
    <w:link w:val="Quote"/>
    <w:uiPriority w:val="29"/>
    <w:rsid w:val="00197C90"/>
    <w:rPr>
      <w:i/>
      <w:iCs/>
      <w:color w:val="404040" w:themeColor="text1" w:themeTint="BF"/>
    </w:rPr>
  </w:style>
  <w:style w:type="paragraph" w:styleId="ListParagraph">
    <w:name w:val="List Paragraph"/>
    <w:basedOn w:val="Normal"/>
    <w:uiPriority w:val="34"/>
    <w:qFormat/>
    <w:rsid w:val="00197C90"/>
    <w:pPr>
      <w:ind w:left="720"/>
      <w:contextualSpacing/>
    </w:pPr>
  </w:style>
  <w:style w:type="character" w:styleId="IntenseEmphasis">
    <w:name w:val="Intense Emphasis"/>
    <w:basedOn w:val="DefaultParagraphFont"/>
    <w:uiPriority w:val="21"/>
    <w:qFormat/>
    <w:rsid w:val="00197C90"/>
    <w:rPr>
      <w:i/>
      <w:iCs/>
      <w:color w:val="0F4761" w:themeColor="accent1" w:themeShade="BF"/>
    </w:rPr>
  </w:style>
  <w:style w:type="paragraph" w:styleId="IntenseQuote">
    <w:name w:val="Intense Quote"/>
    <w:basedOn w:val="Normal"/>
    <w:next w:val="Normal"/>
    <w:link w:val="IntenseQuoteChar"/>
    <w:uiPriority w:val="30"/>
    <w:qFormat/>
    <w:rsid w:val="0019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C90"/>
    <w:rPr>
      <w:i/>
      <w:iCs/>
      <w:color w:val="0F4761" w:themeColor="accent1" w:themeShade="BF"/>
    </w:rPr>
  </w:style>
  <w:style w:type="character" w:styleId="IntenseReference">
    <w:name w:val="Intense Reference"/>
    <w:basedOn w:val="DefaultParagraphFont"/>
    <w:uiPriority w:val="32"/>
    <w:qFormat/>
    <w:rsid w:val="00197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16462</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M2</dc:creator>
  <cp:keywords/>
  <dc:description/>
  <cp:lastModifiedBy>J M2</cp:lastModifiedBy>
  <cp:revision>6</cp:revision>
  <dcterms:created xsi:type="dcterms:W3CDTF">2026-08-11T01:06:00Z</dcterms:created>
  <dcterms:modified xsi:type="dcterms:W3CDTF">2026-08-23T14:15:00Z</dcterms:modified>
</cp:coreProperties>
</file>