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AF35F" w14:textId="77777777" w:rsidR="007E2431" w:rsidRDefault="007E2431">
      <w:pPr>
        <w:spacing w:before="3500"/>
      </w:pPr>
    </w:p>
    <w:p w14:paraId="05A7709C" w14:textId="77777777" w:rsidR="007E2431" w:rsidRDefault="00000000">
      <w:pPr>
        <w:spacing w:after="200"/>
        <w:jc w:val="center"/>
      </w:pPr>
      <w:r>
        <w:rPr>
          <w:rFonts w:eastAsia="Arial"/>
          <w:b/>
          <w:bCs/>
          <w:color w:val="1B5E3B"/>
          <w:sz w:val="52"/>
          <w:szCs w:val="52"/>
        </w:rPr>
        <w:t>RECCESSARY</w:t>
      </w:r>
    </w:p>
    <w:p w14:paraId="0397D622" w14:textId="77777777" w:rsidR="007E2431" w:rsidRDefault="00000000">
      <w:pPr>
        <w:spacing w:after="80"/>
        <w:jc w:val="center"/>
      </w:pPr>
      <w:r>
        <w:rPr>
          <w:rFonts w:eastAsia="Arial"/>
          <w:color w:val="333333"/>
          <w:sz w:val="36"/>
          <w:szCs w:val="36"/>
        </w:rPr>
        <w:t>SEO / AEO 實戰操作手冊</w:t>
      </w:r>
    </w:p>
    <w:p w14:paraId="72FE986F" w14:textId="568FD1F2" w:rsidR="007E2431" w:rsidRDefault="00000000">
      <w:pPr>
        <w:spacing w:after="500"/>
        <w:jc w:val="center"/>
      </w:pPr>
      <w:r>
        <w:rPr>
          <w:rFonts w:eastAsia="Arial"/>
          <w:b/>
          <w:bCs/>
          <w:color w:val="1B5E3B"/>
          <w:sz w:val="44"/>
          <w:szCs w:val="44"/>
        </w:rPr>
        <w:t>編輯版</w:t>
      </w:r>
    </w:p>
    <w:p w14:paraId="2C2AE278" w14:textId="77777777" w:rsidR="007E2431" w:rsidRDefault="007E2431">
      <w:pPr>
        <w:pBdr>
          <w:top w:val="single" w:sz="6" w:space="1" w:color="1B5E3B"/>
        </w:pBdr>
        <w:spacing w:after="200"/>
        <w:jc w:val="center"/>
      </w:pPr>
    </w:p>
    <w:p w14:paraId="0940D363" w14:textId="4D1EC46F" w:rsidR="007E2431" w:rsidRDefault="00000000" w:rsidP="00D02437">
      <w:r>
        <w:br w:type="page"/>
      </w:r>
    </w:p>
    <w:sdt>
      <w:sdtPr>
        <w:alias w:val="TOC"/>
        <w:id w:val="733054373"/>
        <w:showingPlcHdr/>
      </w:sdtPr>
      <w:sdtContent>
        <w:p w14:paraId="09098049" w14:textId="1A21B202" w:rsidR="007E2431" w:rsidRDefault="00D02437">
          <w:r>
            <w:t xml:space="preserve">     </w:t>
          </w:r>
        </w:p>
      </w:sdtContent>
    </w:sdt>
    <w:p w14:paraId="4C8B2B43" w14:textId="77777777" w:rsidR="007E2431" w:rsidRDefault="00000000">
      <w:pPr>
        <w:pStyle w:val="1"/>
      </w:pPr>
      <w:r>
        <w:t>1. 支柱頁面盤點</w:t>
      </w:r>
    </w:p>
    <w:p w14:paraId="120792C4" w14:textId="77777777" w:rsidR="007E2431" w:rsidRDefault="00000000">
      <w:pPr>
        <w:spacing w:after="120"/>
      </w:pPr>
      <w:r>
        <w:rPr>
          <w:rFonts w:ascii="Microsoft JhengHei" w:eastAsia="Microsoft JhengHei" w:hAnsi="Microsoft JhengHei" w:cs="Microsoft JhengHei" w:hint="eastAsia"/>
        </w:rPr>
        <w:t>以</w:t>
      </w:r>
      <w:r>
        <w:rPr>
          <w:rFonts w:eastAsia="Arial"/>
        </w:rPr>
        <w:t>下頁面均已存在於 RECCESSARY 英文站，可直接用來優化。</w:t>
      </w:r>
    </w:p>
    <w:p w14:paraId="4796327C" w14:textId="77777777" w:rsidR="007E2431" w:rsidRDefault="007E2431">
      <w:pPr>
        <w:spacing w:after="60"/>
      </w:pPr>
    </w:p>
    <w:p w14:paraId="681B8B3F" w14:textId="77777777" w:rsidR="007E2431" w:rsidRDefault="00000000">
      <w:pPr>
        <w:spacing w:before="200" w:after="100"/>
      </w:pPr>
      <w:r>
        <w:rPr>
          <w:rFonts w:eastAsia="Arial"/>
          <w:b/>
          <w:bCs/>
          <w:color w:val="1B5E3B"/>
          <w:sz w:val="22"/>
          <w:szCs w:val="22"/>
        </w:rPr>
        <w:t>✅ A：碳信用總覽頁（建議作為碳市場 Hub）</w:t>
      </w:r>
    </w:p>
    <w:p w14:paraId="03B9E5AE" w14:textId="77777777" w:rsidR="007E2431" w:rsidRDefault="00000000">
      <w:pPr>
        <w:spacing w:after="40"/>
      </w:pPr>
      <w:r>
        <w:rPr>
          <w:rFonts w:ascii="Consolas" w:eastAsia="Consolas" w:hAnsi="Consolas" w:cs="Consolas"/>
          <w:color w:val="0D47A1"/>
          <w:sz w:val="17"/>
          <w:szCs w:val="17"/>
        </w:rPr>
        <w:t>/en/reccpedia/carbon-credit-index</w:t>
      </w:r>
    </w:p>
    <w:p w14:paraId="0DACE602" w14:textId="77777777" w:rsidR="007E2431" w:rsidRDefault="00000000">
      <w:pPr>
        <w:spacing w:after="120"/>
      </w:pPr>
      <w:r>
        <w:rPr>
          <w:rFonts w:eastAsia="Arial"/>
        </w:rPr>
        <w:t>改造：改標題、加 ASEAN 比較表、加 FAQ、加 Key Takeaways</w:t>
      </w:r>
    </w:p>
    <w:p w14:paraId="3D008B21" w14:textId="77777777" w:rsidR="007E2431" w:rsidRDefault="007E2431">
      <w:pPr>
        <w:spacing w:after="60"/>
      </w:pPr>
    </w:p>
    <w:p w14:paraId="58E657DD" w14:textId="77777777" w:rsidR="007E2431" w:rsidRDefault="00000000">
      <w:pPr>
        <w:spacing w:before="200" w:after="100"/>
      </w:pPr>
      <w:r>
        <w:rPr>
          <w:rFonts w:eastAsia="Arial"/>
          <w:b/>
          <w:bCs/>
          <w:color w:val="1B5E3B"/>
          <w:sz w:val="22"/>
          <w:szCs w:val="22"/>
        </w:rPr>
        <w:t>✅ B：REC System 總覽頁（建議作為再生能源憑證 Hub）</w:t>
      </w:r>
    </w:p>
    <w:p w14:paraId="17C5A230" w14:textId="77777777" w:rsidR="007E2431" w:rsidRDefault="00000000">
      <w:pPr>
        <w:spacing w:after="40"/>
      </w:pPr>
      <w:r>
        <w:rPr>
          <w:rFonts w:ascii="Consolas" w:eastAsia="Consolas" w:hAnsi="Consolas" w:cs="Consolas"/>
          <w:color w:val="0D47A1"/>
          <w:sz w:val="17"/>
          <w:szCs w:val="17"/>
        </w:rPr>
        <w:t>/en/reccpedia/rec-system-index</w:t>
      </w:r>
    </w:p>
    <w:p w14:paraId="13EBCA4E" w14:textId="77777777" w:rsidR="007E2431" w:rsidRDefault="00000000">
      <w:pPr>
        <w:spacing w:after="120"/>
      </w:pPr>
      <w:r>
        <w:rPr>
          <w:rFonts w:eastAsia="Arial"/>
        </w:rPr>
        <w:t>改造：改標題、加各國 REC 比較表、加採購流程</w:t>
      </w:r>
    </w:p>
    <w:p w14:paraId="57BCD505" w14:textId="77777777" w:rsidR="007E2431" w:rsidRDefault="007E2431">
      <w:pPr>
        <w:spacing w:after="60"/>
      </w:pPr>
    </w:p>
    <w:p w14:paraId="024513FC" w14:textId="77777777" w:rsidR="007E2431" w:rsidRDefault="00000000">
      <w:pPr>
        <w:spacing w:before="200" w:after="100"/>
      </w:pPr>
      <w:r>
        <w:rPr>
          <w:rFonts w:eastAsia="Arial"/>
          <w:b/>
          <w:bCs/>
          <w:color w:val="1B5E3B"/>
          <w:sz w:val="22"/>
          <w:szCs w:val="22"/>
        </w:rPr>
        <w:t>✅ C：全球碳市場趨勢（建議作為年度展望 Hub）</w:t>
      </w:r>
    </w:p>
    <w:p w14:paraId="2F1C64FE" w14:textId="77777777" w:rsidR="007E2431" w:rsidRDefault="00000000">
      <w:pPr>
        <w:spacing w:after="40"/>
      </w:pPr>
      <w:r>
        <w:rPr>
          <w:rFonts w:ascii="Consolas" w:eastAsia="Consolas" w:hAnsi="Consolas" w:cs="Consolas"/>
          <w:color w:val="0D47A1"/>
          <w:sz w:val="17"/>
          <w:szCs w:val="17"/>
        </w:rPr>
        <w:t>/en/insight/global-carbon-market-highlights-2025</w:t>
      </w:r>
    </w:p>
    <w:p w14:paraId="6F5B31D3" w14:textId="77777777" w:rsidR="007E2431" w:rsidRDefault="00000000">
      <w:pPr>
        <w:spacing w:after="120"/>
      </w:pPr>
      <w:r>
        <w:rPr>
          <w:rFonts w:eastAsia="Arial"/>
        </w:rPr>
        <w:t>改造：建立常青版本、每月更新數據、加 FAQ</w:t>
      </w:r>
    </w:p>
    <w:p w14:paraId="18935C6C" w14:textId="77777777" w:rsidR="007E2431" w:rsidRDefault="007E2431">
      <w:pPr>
        <w:spacing w:after="60"/>
      </w:pPr>
    </w:p>
    <w:p w14:paraId="684D5CF2" w14:textId="77777777" w:rsidR="007E2431" w:rsidRDefault="00000000">
      <w:pPr>
        <w:spacing w:before="200" w:after="100"/>
      </w:pPr>
      <w:r>
        <w:rPr>
          <w:rFonts w:eastAsia="Arial"/>
          <w:b/>
          <w:bCs/>
          <w:color w:val="1B5E3B"/>
          <w:sz w:val="22"/>
          <w:szCs w:val="22"/>
        </w:rPr>
        <w:t>✅ D：碳價追蹤頁（獨家資產）</w:t>
      </w:r>
    </w:p>
    <w:p w14:paraId="7AF39537" w14:textId="77777777" w:rsidR="007E2431" w:rsidRDefault="00000000">
      <w:pPr>
        <w:spacing w:after="40"/>
      </w:pPr>
      <w:r>
        <w:rPr>
          <w:rFonts w:ascii="Consolas" w:eastAsia="Consolas" w:hAnsi="Consolas" w:cs="Consolas"/>
          <w:color w:val="0D47A1"/>
          <w:sz w:val="17"/>
          <w:szCs w:val="17"/>
        </w:rPr>
        <w:t>/en/carbon_price</w:t>
      </w:r>
    </w:p>
    <w:p w14:paraId="6DB04EFF" w14:textId="77777777" w:rsidR="007E2431" w:rsidRDefault="00000000">
      <w:pPr>
        <w:spacing w:after="120"/>
      </w:pPr>
      <w:r>
        <w:rPr>
          <w:rFonts w:eastAsia="Arial"/>
        </w:rPr>
        <w:t>改造：確保部分數據對爬蟲可見、加 FAQ、加 Dataset schema</w:t>
      </w:r>
    </w:p>
    <w:p w14:paraId="1FD37BC2" w14:textId="77777777" w:rsidR="007E2431" w:rsidRDefault="007E2431">
      <w:pPr>
        <w:spacing w:after="60"/>
      </w:pPr>
    </w:p>
    <w:p w14:paraId="0F3F8358" w14:textId="77777777" w:rsidR="007E2431" w:rsidRDefault="00000000">
      <w:pPr>
        <w:spacing w:before="200" w:after="100"/>
      </w:pPr>
      <w:r>
        <w:rPr>
          <w:rFonts w:eastAsia="Arial"/>
          <w:b/>
          <w:bCs/>
          <w:color w:val="1B5E3B"/>
          <w:sz w:val="22"/>
          <w:szCs w:val="22"/>
        </w:rPr>
        <w:t>✅ E：CBAM 對企業影響（建議作為 CBAM Hub）</w:t>
      </w:r>
    </w:p>
    <w:p w14:paraId="129E6D7C" w14:textId="77777777" w:rsidR="007E2431" w:rsidRDefault="00000000">
      <w:pPr>
        <w:spacing w:after="40"/>
      </w:pPr>
      <w:r>
        <w:rPr>
          <w:rFonts w:ascii="Consolas" w:eastAsia="Consolas" w:hAnsi="Consolas" w:cs="Consolas"/>
          <w:color w:val="0D47A1"/>
          <w:sz w:val="17"/>
          <w:szCs w:val="17"/>
        </w:rPr>
        <w:t>/en/insight/how-carbon-border-adjustment-mechanism-affects-businesses</w:t>
      </w:r>
    </w:p>
    <w:p w14:paraId="62DAEF75" w14:textId="77777777" w:rsidR="007E2431" w:rsidRDefault="00000000">
      <w:pPr>
        <w:spacing w:after="120"/>
      </w:pPr>
      <w:r>
        <w:rPr>
          <w:rFonts w:eastAsia="Arial"/>
        </w:rPr>
        <w:t>改造：擴充為 CBAM 完整指南，加亞洲出口商影響數據、加 FAQ</w:t>
      </w:r>
    </w:p>
    <w:p w14:paraId="04214B4D" w14:textId="77777777" w:rsidR="007E2431" w:rsidRDefault="007E2431">
      <w:pPr>
        <w:spacing w:after="60"/>
      </w:pPr>
    </w:p>
    <w:p w14:paraId="0C527CC0" w14:textId="77777777" w:rsidR="007E2431" w:rsidRDefault="00000000">
      <w:pPr>
        <w:spacing w:before="200" w:after="100"/>
      </w:pPr>
      <w:r>
        <w:rPr>
          <w:rFonts w:eastAsia="Arial"/>
          <w:b/>
          <w:bCs/>
          <w:color w:val="1B5E3B"/>
          <w:sz w:val="22"/>
          <w:szCs w:val="22"/>
        </w:rPr>
        <w:t>✅ F：2026 年 ASEAN 十大趨勢（建議作為 ASEAN 年度展望 Hub）</w:t>
      </w:r>
    </w:p>
    <w:p w14:paraId="538898EE" w14:textId="77777777" w:rsidR="007E2431" w:rsidRDefault="00000000">
      <w:pPr>
        <w:spacing w:after="40"/>
      </w:pPr>
      <w:r>
        <w:rPr>
          <w:rFonts w:ascii="Consolas" w:eastAsia="Consolas" w:hAnsi="Consolas" w:cs="Consolas"/>
          <w:color w:val="0D47A1"/>
          <w:sz w:val="17"/>
          <w:szCs w:val="17"/>
        </w:rPr>
        <w:t>/en/news/2026-Sustainability-Trends</w:t>
      </w:r>
    </w:p>
    <w:p w14:paraId="3A5FD1BB" w14:textId="77777777" w:rsidR="007E2431" w:rsidRDefault="00000000">
      <w:pPr>
        <w:spacing w:after="120"/>
      </w:pPr>
      <w:r>
        <w:rPr>
          <w:rFonts w:eastAsia="Arial"/>
        </w:rPr>
        <w:t>改造：轉為常青年度展望頁，每年 Q1 更新</w:t>
      </w:r>
    </w:p>
    <w:p w14:paraId="08FDC2A9" w14:textId="77777777" w:rsidR="007E2431" w:rsidRDefault="00000000">
      <w:r>
        <w:br w:type="page"/>
      </w:r>
    </w:p>
    <w:p w14:paraId="0A218B10" w14:textId="77777777" w:rsidR="007E2431" w:rsidRDefault="00000000">
      <w:pPr>
        <w:pStyle w:val="1"/>
      </w:pPr>
      <w:r>
        <w:lastRenderedPageBreak/>
        <w:t>2. 英文關鍵字集群規劃（基於實際頁面）</w:t>
      </w:r>
    </w:p>
    <w:p w14:paraId="43E0AB18" w14:textId="77777777" w:rsidR="007E2431" w:rsidRDefault="007E243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2431" w14:paraId="595AA7F0" w14:textId="77777777">
        <w:tc>
          <w:tcPr>
            <w:tcW w:w="9026" w:type="dxa"/>
            <w:tcBorders>
              <w:top w:val="single" w:sz="2" w:space="0" w:color="E67E22"/>
              <w:left w:val="single" w:sz="2" w:space="0" w:color="E67E22"/>
              <w:bottom w:val="single" w:sz="2" w:space="0" w:color="E67E22"/>
              <w:right w:val="single" w:sz="2" w:space="0" w:color="E67E22"/>
            </w:tcBorders>
            <w:shd w:val="clear" w:color="auto" w:fill="FEF5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10A019" w14:textId="77777777" w:rsidR="007E2431" w:rsidRDefault="00000000">
            <w:pPr>
              <w:spacing w:after="60"/>
            </w:pPr>
            <w:r>
              <w:rPr>
                <w:rFonts w:eastAsia="Arial"/>
                <w:b/>
                <w:bCs/>
                <w:color w:val="E67E22"/>
              </w:rPr>
              <w:t>重要說明：所有頁面均已存在</w:t>
            </w:r>
          </w:p>
          <w:p w14:paraId="21DA9389" w14:textId="77777777" w:rsidR="007E2431" w:rsidRDefault="00000000">
            <w:r>
              <w:rPr>
                <w:rFonts w:eastAsia="Arial"/>
                <w:color w:val="333333"/>
                <w:sz w:val="18"/>
                <w:szCs w:val="18"/>
              </w:rPr>
              <w:t>以下每個集群中列出的每一個 URL 都是 RECCESSARY 英文站上已存在的實際頁面。編輯團隊可以直接開啟這些頁面進行優化，不需要新建任何內容。「支柱頁」是集群的中心，「輻條頁」是围繞它的相關文章，兩者互相內部連結。</w:t>
            </w:r>
          </w:p>
        </w:tc>
      </w:tr>
    </w:tbl>
    <w:p w14:paraId="05E992BC" w14:textId="77777777" w:rsidR="007E2431" w:rsidRDefault="007E2431">
      <w:pPr>
        <w:spacing w:after="60"/>
      </w:pPr>
    </w:p>
    <w:p w14:paraId="6CAEE307" w14:textId="77777777" w:rsidR="007E2431" w:rsidRDefault="00000000">
      <w:pPr>
        <w:pStyle w:val="2"/>
      </w:pPr>
      <w:r>
        <w:t>2.1 集群 A：碳市場與碳定價</w:t>
      </w:r>
    </w:p>
    <w:p w14:paraId="0C486E3F" w14:textId="77777777" w:rsidR="007E2431" w:rsidRDefault="00000000">
      <w:pPr>
        <w:spacing w:after="120"/>
      </w:pPr>
      <w:r>
        <w:rPr>
          <w:rFonts w:eastAsia="Arial"/>
          <w:b/>
          <w:bCs/>
        </w:rPr>
        <w:t>支柱頁：</w:t>
      </w:r>
    </w:p>
    <w:p w14:paraId="51BA0D2D" w14:textId="77777777" w:rsidR="007E2431" w:rsidRDefault="00000000">
      <w:pPr>
        <w:spacing w:after="40"/>
      </w:pPr>
      <w:r>
        <w:rPr>
          <w:rFonts w:ascii="Consolas" w:eastAsia="Consolas" w:hAnsi="Consolas" w:cs="Consolas"/>
          <w:color w:val="0D47A1"/>
          <w:sz w:val="17"/>
          <w:szCs w:val="17"/>
        </w:rPr>
        <w:t>/en/reccpedia/carbon-credit-index</w:t>
      </w:r>
    </w:p>
    <w:p w14:paraId="69984A37" w14:textId="77777777" w:rsidR="007E2431" w:rsidRDefault="00000000">
      <w:pPr>
        <w:spacing w:after="120"/>
      </w:pPr>
      <w:r>
        <w:rPr>
          <w:rFonts w:eastAsia="Arial"/>
        </w:rPr>
        <w:t>目標關鍵字：carbon credits explained, what are carbon credits, carbon market Asia</w:t>
      </w:r>
    </w:p>
    <w:p w14:paraId="12641C24" w14:textId="77777777" w:rsidR="007E2431" w:rsidRDefault="007E2431">
      <w:pPr>
        <w:spacing w:after="60"/>
      </w:pPr>
    </w:p>
    <w:p w14:paraId="259843BB" w14:textId="77777777" w:rsidR="007E2431" w:rsidRDefault="00000000">
      <w:pPr>
        <w:spacing w:after="120"/>
      </w:pPr>
      <w:r>
        <w:rPr>
          <w:rFonts w:eastAsia="Arial"/>
          <w:b/>
          <w:bCs/>
        </w:rPr>
        <w:t>輻條頁（均已存在）：</w:t>
      </w:r>
    </w:p>
    <w:p w14:paraId="5D6B2EAE" w14:textId="77777777" w:rsidR="007E2431" w:rsidRDefault="007E243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300"/>
        <w:gridCol w:w="2226"/>
      </w:tblGrid>
      <w:tr w:rsidR="007E2431" w14:paraId="07CDB45F" w14:textId="77777777">
        <w:tc>
          <w:tcPr>
            <w:tcW w:w="4500" w:type="dxa"/>
            <w:tcBorders>
              <w:top w:val="single" w:sz="2" w:space="0" w:color="1B5E3B"/>
              <w:left w:val="single" w:sz="2" w:space="0" w:color="1B5E3B"/>
              <w:bottom w:val="single" w:sz="2" w:space="0" w:color="1B5E3B"/>
              <w:right w:val="single" w:sz="2" w:space="0" w:color="1B5E3B"/>
            </w:tcBorders>
            <w:shd w:val="clear" w:color="auto" w:fill="1B5E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AA991" w14:textId="77777777" w:rsidR="007E2431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實際 URL</w:t>
            </w:r>
          </w:p>
        </w:tc>
        <w:tc>
          <w:tcPr>
            <w:tcW w:w="2300" w:type="dxa"/>
            <w:tcBorders>
              <w:top w:val="single" w:sz="2" w:space="0" w:color="1B5E3B"/>
              <w:left w:val="single" w:sz="2" w:space="0" w:color="1B5E3B"/>
              <w:bottom w:val="single" w:sz="2" w:space="0" w:color="1B5E3B"/>
              <w:right w:val="single" w:sz="2" w:space="0" w:color="1B5E3B"/>
            </w:tcBorders>
            <w:shd w:val="clear" w:color="auto" w:fill="1B5E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81026" w14:textId="77777777" w:rsidR="007E2431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目標關鍵字</w:t>
            </w:r>
          </w:p>
        </w:tc>
        <w:tc>
          <w:tcPr>
            <w:tcW w:w="2226" w:type="dxa"/>
            <w:tcBorders>
              <w:top w:val="single" w:sz="2" w:space="0" w:color="1B5E3B"/>
              <w:left w:val="single" w:sz="2" w:space="0" w:color="1B5E3B"/>
              <w:bottom w:val="single" w:sz="2" w:space="0" w:color="1B5E3B"/>
              <w:right w:val="single" w:sz="2" w:space="0" w:color="1B5E3B"/>
            </w:tcBorders>
            <w:shd w:val="clear" w:color="auto" w:fill="1B5E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027A4" w14:textId="77777777" w:rsidR="007E2431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優化行動</w:t>
            </w:r>
          </w:p>
        </w:tc>
      </w:tr>
      <w:tr w:rsidR="007E2431" w14:paraId="2ABA97B1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D424D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/en/insight/global-carbon-market-highlights-2025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5811B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ASEAN carbon market, carbon pricing Asia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6A953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FAQ + 各國碳價比較表</w:t>
            </w:r>
          </w:p>
        </w:tc>
      </w:tr>
      <w:tr w:rsidR="007E2431" w14:paraId="407FBA4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A202A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/en/insight/carbon-forward-asia-2025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0D44F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ASEAN carbon market trends, carbon credit liquidity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DA781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Key Takeaways + 內部連結回支柱頁</w:t>
            </w:r>
          </w:p>
        </w:tc>
      </w:tr>
      <w:tr w:rsidR="007E2431" w14:paraId="508BF70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B363F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/en/insight/carbon-forward-asia-2024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D0F03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carbon market Asia Pacific overview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5D727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FAQ + 更新最新數據</w:t>
            </w:r>
          </w:p>
        </w:tc>
      </w:tr>
      <w:tr w:rsidR="007E2431" w14:paraId="79AA716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12ED9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/en/insight/carbon-market-review-and-outlook-2024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F0A1B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carbon market forecast Asia, EU ETS China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8E64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Key Takeaways + 比較表</w:t>
            </w:r>
          </w:p>
        </w:tc>
      </w:tr>
      <w:tr w:rsidR="007E2431" w14:paraId="6A6988B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DB651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/en/insight/taiwan-carbon-credit-diplomacy-1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80DED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carbon credits diplomacy Asia, JCM Japan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B2865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FAQ + 內部連結回支柱頁</w:t>
            </w:r>
          </w:p>
        </w:tc>
      </w:tr>
      <w:tr w:rsidR="007E2431" w14:paraId="7CFE3656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F1FD5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/en/insight/asia-pushes-ahead-on-article-6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52D88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Article 6 carbon credits Asia, ITMO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09DB0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Key Takeaways + 內部連結</w:t>
            </w:r>
          </w:p>
        </w:tc>
      </w:tr>
      <w:tr w:rsidR="007E2431" w14:paraId="10DB3CEA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7736F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/en/insight/south-pole-and-verra-greenwashing-controversy-voluntary-carbon-market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43C45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voluntary carbon market, greenwashing carbon credits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8FFD4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FAQ + 內部連結</w:t>
            </w:r>
          </w:p>
        </w:tc>
      </w:tr>
      <w:tr w:rsidR="007E2431" w14:paraId="163CA92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C88C4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/en/insight/the-future-of-recs-and-carbon-markets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7A409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RECs vs carbon credits, Southeast Asia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CEF7F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加比較表 + FAQ + 連結回 Hub</w:t>
            </w:r>
          </w:p>
        </w:tc>
      </w:tr>
      <w:tr w:rsidR="007E2431" w14:paraId="29AFB880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180ED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/en/reccpedia/emission-trading/eu-emissions-trading-system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BDC6F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EU ETS explained, EUA price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49473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擴充內容 + 加 FAQ</w:t>
            </w:r>
          </w:p>
        </w:tc>
      </w:tr>
      <w:tr w:rsidR="007E2431" w14:paraId="4A7FB19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5CD3B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/en/reccpedia/california-carbon-trading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F3C41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California cap and trade, US carbon market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77211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FAQ + 內部連結</w:t>
            </w:r>
          </w:p>
        </w:tc>
      </w:tr>
      <w:tr w:rsidR="007E2431" w14:paraId="3EC92E27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CEFA2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/en/reccpedia/list/ETS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1E469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emissions trading system explained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4395C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擴充內容 + 加各國 ETS 比較表</w:t>
            </w:r>
          </w:p>
        </w:tc>
      </w:tr>
      <w:tr w:rsidR="007E2431" w14:paraId="49FF850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C5CB1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/en/carbon_price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D9ED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carbon credit price Asia, carbon price today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13AF5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確保數據可見 + 加 FAQ</w:t>
            </w:r>
          </w:p>
        </w:tc>
      </w:tr>
      <w:tr w:rsidR="007E2431" w14:paraId="5BEF50B0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EFD9D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/en/news/build-aseam-regional-emissions-trading-system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456FC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ASEAN regional ETS, unified carbon market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9F16A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修正 URL 拼寫 + 加 FAQ</w:t>
            </w:r>
          </w:p>
        </w:tc>
      </w:tr>
      <w:tr w:rsidR="007E2431" w14:paraId="2E64718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76055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/en/news/asean-weekly-[YYYYMMDD]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76209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ASEAN carbon market weekly, energy transition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8E635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每期加內部連結回支柱頁</w:t>
            </w:r>
          </w:p>
        </w:tc>
      </w:tr>
    </w:tbl>
    <w:p w14:paraId="5E63D54E" w14:textId="77777777" w:rsidR="007E2431" w:rsidRDefault="00000000">
      <w:r>
        <w:br w:type="page"/>
      </w:r>
    </w:p>
    <w:p w14:paraId="36FAF0F2" w14:textId="77777777" w:rsidR="007E2431" w:rsidRDefault="00000000">
      <w:pPr>
        <w:pStyle w:val="2"/>
      </w:pPr>
      <w:r>
        <w:lastRenderedPageBreak/>
        <w:t>2.2 集群 B：東南亞再生能源與採購</w:t>
      </w:r>
    </w:p>
    <w:p w14:paraId="53FA450F" w14:textId="77777777" w:rsidR="007E2431" w:rsidRDefault="00000000">
      <w:pPr>
        <w:spacing w:after="120"/>
      </w:pPr>
      <w:r>
        <w:rPr>
          <w:rFonts w:eastAsia="Arial"/>
          <w:b/>
          <w:bCs/>
        </w:rPr>
        <w:t>支柱頁：</w:t>
      </w:r>
    </w:p>
    <w:p w14:paraId="433845C9" w14:textId="77777777" w:rsidR="007E2431" w:rsidRDefault="00000000">
      <w:pPr>
        <w:spacing w:after="40"/>
      </w:pPr>
      <w:r>
        <w:rPr>
          <w:rFonts w:ascii="Consolas" w:eastAsia="Consolas" w:hAnsi="Consolas" w:cs="Consolas"/>
          <w:color w:val="0D47A1"/>
          <w:sz w:val="17"/>
          <w:szCs w:val="17"/>
        </w:rPr>
        <w:t>/en/reccpedia/rec-system-index</w:t>
      </w:r>
    </w:p>
    <w:p w14:paraId="60DA1B17" w14:textId="77777777" w:rsidR="007E2431" w:rsidRDefault="00000000">
      <w:pPr>
        <w:spacing w:after="120"/>
      </w:pPr>
      <w:r>
        <w:rPr>
          <w:rFonts w:eastAsia="Arial"/>
        </w:rPr>
        <w:t>目標關鍵字：renewable energy certificates Asia, renewable energy procurement Southeast Asia</w:t>
      </w:r>
    </w:p>
    <w:p w14:paraId="2A4E30DA" w14:textId="77777777" w:rsidR="007E2431" w:rsidRDefault="007E2431">
      <w:pPr>
        <w:spacing w:after="60"/>
      </w:pPr>
    </w:p>
    <w:p w14:paraId="14B4D977" w14:textId="77777777" w:rsidR="007E2431" w:rsidRDefault="00000000">
      <w:pPr>
        <w:spacing w:after="120"/>
      </w:pPr>
      <w:r>
        <w:rPr>
          <w:rFonts w:eastAsia="Arial"/>
          <w:b/>
          <w:bCs/>
        </w:rPr>
        <w:t>輻條頁（均已存在）：</w:t>
      </w:r>
    </w:p>
    <w:p w14:paraId="79075B88" w14:textId="77777777" w:rsidR="007E2431" w:rsidRDefault="007E243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300"/>
        <w:gridCol w:w="2226"/>
      </w:tblGrid>
      <w:tr w:rsidR="007E2431" w14:paraId="1D39A6A9" w14:textId="77777777">
        <w:tc>
          <w:tcPr>
            <w:tcW w:w="4500" w:type="dxa"/>
            <w:tcBorders>
              <w:top w:val="single" w:sz="2" w:space="0" w:color="1B5E3B"/>
              <w:left w:val="single" w:sz="2" w:space="0" w:color="1B5E3B"/>
              <w:bottom w:val="single" w:sz="2" w:space="0" w:color="1B5E3B"/>
              <w:right w:val="single" w:sz="2" w:space="0" w:color="1B5E3B"/>
            </w:tcBorders>
            <w:shd w:val="clear" w:color="auto" w:fill="1B5E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F5E2E" w14:textId="77777777" w:rsidR="007E2431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實際 URL</w:t>
            </w:r>
          </w:p>
        </w:tc>
        <w:tc>
          <w:tcPr>
            <w:tcW w:w="2300" w:type="dxa"/>
            <w:tcBorders>
              <w:top w:val="single" w:sz="2" w:space="0" w:color="1B5E3B"/>
              <w:left w:val="single" w:sz="2" w:space="0" w:color="1B5E3B"/>
              <w:bottom w:val="single" w:sz="2" w:space="0" w:color="1B5E3B"/>
              <w:right w:val="single" w:sz="2" w:space="0" w:color="1B5E3B"/>
            </w:tcBorders>
            <w:shd w:val="clear" w:color="auto" w:fill="1B5E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CC23C" w14:textId="77777777" w:rsidR="007E2431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目標關鍵字</w:t>
            </w:r>
          </w:p>
        </w:tc>
        <w:tc>
          <w:tcPr>
            <w:tcW w:w="2226" w:type="dxa"/>
            <w:tcBorders>
              <w:top w:val="single" w:sz="2" w:space="0" w:color="1B5E3B"/>
              <w:left w:val="single" w:sz="2" w:space="0" w:color="1B5E3B"/>
              <w:bottom w:val="single" w:sz="2" w:space="0" w:color="1B5E3B"/>
              <w:right w:val="single" w:sz="2" w:space="0" w:color="1B5E3B"/>
            </w:tcBorders>
            <w:shd w:val="clear" w:color="auto" w:fill="1B5E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44220" w14:textId="77777777" w:rsidR="007E2431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優化行動</w:t>
            </w:r>
          </w:p>
        </w:tc>
      </w:tr>
      <w:tr w:rsidR="007E2431" w14:paraId="7A39234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B5D7D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/en/reccpedia/re100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E51CF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RE100 explained, RE100 companies Asia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56464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擴充亞太會員名單 + 加 FAQ</w:t>
            </w:r>
          </w:p>
        </w:tc>
      </w:tr>
      <w:tr w:rsidR="007E2431" w14:paraId="6A0C82B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B1130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/en/reccpedia/i-rec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F59B2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I-REC explained, I-REC price Asia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0D3DB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加價格趨勢表 + FAQ</w:t>
            </w:r>
          </w:p>
        </w:tc>
      </w:tr>
      <w:tr w:rsidR="007E2431" w14:paraId="6C893EF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FF14F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/en/reccpedia/list/renewable-energy-certificate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95871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renewable energy certificate types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29A61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擴充各國 REC 比較 + 連結回 Hub</w:t>
            </w:r>
          </w:p>
        </w:tc>
      </w:tr>
      <w:tr w:rsidR="007E2431" w14:paraId="6195DEA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CF14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/en/insight/renewable-energy-market-trend-procurement-options-Southeast-Asia-2023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2341E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RE procurement Southeast Asia, I-REC demand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6346C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更新 2025-2026 數據 + 加 FAQ</w:t>
            </w:r>
          </w:p>
        </w:tc>
      </w:tr>
      <w:tr w:rsidR="007E2431" w14:paraId="195BF95D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CDC67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/en/insight/liberalize-renewable-energy-southeast-asia-electricity-markets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04CC9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ASEAN electricity market liberalization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E8E0B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Key Takeaways + 比較表 + FAQ</w:t>
            </w:r>
          </w:p>
        </w:tc>
      </w:tr>
      <w:tr w:rsidR="007E2431" w14:paraId="404E6C10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A358E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/en/insight/unlocking-vietnams-renewable-energy-future-pdp8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58173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Vietnam renewable energy, PDP8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3CBCD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Key Takeaways + FAQ + 連結回 Hub</w:t>
            </w:r>
          </w:p>
        </w:tc>
      </w:tr>
      <w:tr w:rsidR="007E2431" w14:paraId="334837BE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46D91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/en/insight/nuclear-comeback-new-energy-path-for-southeast-asia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C1FA8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nuclear energy Southeast Asia, SMR ASEAN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72A8D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FAQ + 內部連結</w:t>
            </w:r>
          </w:p>
        </w:tc>
      </w:tr>
      <w:tr w:rsidR="007E2431" w14:paraId="6243DD8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F49AA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/en/insight/decarbonizing-power-supply-for-asean-data-centers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9F033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data center power Southeast Asia, green data center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0AE83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Key Takeaways + FAQ</w:t>
            </w:r>
          </w:p>
        </w:tc>
      </w:tr>
      <w:tr w:rsidR="007E2431" w14:paraId="0ACAEFD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7AE75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/en/insight/the-evolving-role-of-bess-how-market-design-can-drive-next-energy-transition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CB3D8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energy storage BESS Asia, battery market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C2A2E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FAQ + 連結回 Hub</w:t>
            </w:r>
          </w:p>
        </w:tc>
      </w:tr>
      <w:tr w:rsidR="007E2431" w14:paraId="674CE186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FEFBC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/en/news/thailand-dppa-ugt2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CD6F6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Thailand DPPA, corporate renewable energy Thailand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8923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FAQ + 內部連結</w:t>
            </w:r>
          </w:p>
        </w:tc>
      </w:tr>
      <w:tr w:rsidR="007E2431" w14:paraId="0B45E830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4BB68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/en/news/thai-vietnam-partnership-accelerates-green-industrial-parks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64393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Vietnam solar industrial park, green factory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B1A1E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Key Takeaways + 連結</w:t>
            </w:r>
          </w:p>
        </w:tc>
      </w:tr>
      <w:tr w:rsidR="007E2431" w14:paraId="03EB7E1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93383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/en/buyertoolkit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9D34C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RE buyer guide Asia, green power procurement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BF8FB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確保部分內容可見 + 加 FAQ</w:t>
            </w:r>
          </w:p>
        </w:tc>
      </w:tr>
    </w:tbl>
    <w:p w14:paraId="7C510813" w14:textId="77777777" w:rsidR="007E2431" w:rsidRDefault="00000000">
      <w:r>
        <w:br w:type="page"/>
      </w:r>
    </w:p>
    <w:p w14:paraId="4BAFCB4B" w14:textId="77777777" w:rsidR="007E2431" w:rsidRDefault="00000000">
      <w:pPr>
        <w:pStyle w:val="2"/>
      </w:pPr>
      <w:r>
        <w:lastRenderedPageBreak/>
        <w:t>2.3 集群 C：CBAM 與亞洲貿易影響</w:t>
      </w:r>
    </w:p>
    <w:p w14:paraId="3216E8F8" w14:textId="77777777" w:rsidR="007E2431" w:rsidRDefault="00000000">
      <w:pPr>
        <w:spacing w:after="120"/>
      </w:pPr>
      <w:r>
        <w:rPr>
          <w:rFonts w:eastAsia="Arial"/>
          <w:b/>
          <w:bCs/>
        </w:rPr>
        <w:t>支柱頁：</w:t>
      </w:r>
    </w:p>
    <w:p w14:paraId="33F43B13" w14:textId="77777777" w:rsidR="007E2431" w:rsidRDefault="00000000">
      <w:pPr>
        <w:spacing w:after="40"/>
      </w:pPr>
      <w:r>
        <w:rPr>
          <w:rFonts w:ascii="Consolas" w:eastAsia="Consolas" w:hAnsi="Consolas" w:cs="Consolas"/>
          <w:color w:val="0D47A1"/>
          <w:sz w:val="17"/>
          <w:szCs w:val="17"/>
        </w:rPr>
        <w:t>/en/insight/how-carbon-border-adjustment-mechanism-affects-businesses</w:t>
      </w:r>
    </w:p>
    <w:p w14:paraId="3B8B1E98" w14:textId="77777777" w:rsidR="007E2431" w:rsidRDefault="00000000">
      <w:pPr>
        <w:spacing w:after="120"/>
      </w:pPr>
      <w:r>
        <w:rPr>
          <w:rFonts w:eastAsia="Arial"/>
        </w:rPr>
        <w:t>目標關鍵字：CBAM explained, CBAM Asia, carbon border adjustment mechanism</w:t>
      </w:r>
    </w:p>
    <w:p w14:paraId="63218D20" w14:textId="77777777" w:rsidR="007E2431" w:rsidRDefault="007E2431">
      <w:pPr>
        <w:spacing w:after="60"/>
      </w:pPr>
    </w:p>
    <w:p w14:paraId="192FF1A6" w14:textId="77777777" w:rsidR="007E2431" w:rsidRDefault="00000000">
      <w:pPr>
        <w:spacing w:after="120"/>
      </w:pPr>
      <w:r>
        <w:rPr>
          <w:rFonts w:eastAsia="Arial"/>
          <w:b/>
          <w:bCs/>
        </w:rPr>
        <w:t>輻條頁（均已存在）：</w:t>
      </w:r>
    </w:p>
    <w:p w14:paraId="5F562BCB" w14:textId="77777777" w:rsidR="007E2431" w:rsidRDefault="007E243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300"/>
        <w:gridCol w:w="2226"/>
      </w:tblGrid>
      <w:tr w:rsidR="007E2431" w14:paraId="2831354C" w14:textId="77777777">
        <w:tc>
          <w:tcPr>
            <w:tcW w:w="4500" w:type="dxa"/>
            <w:tcBorders>
              <w:top w:val="single" w:sz="2" w:space="0" w:color="1B5E3B"/>
              <w:left w:val="single" w:sz="2" w:space="0" w:color="1B5E3B"/>
              <w:bottom w:val="single" w:sz="2" w:space="0" w:color="1B5E3B"/>
              <w:right w:val="single" w:sz="2" w:space="0" w:color="1B5E3B"/>
            </w:tcBorders>
            <w:shd w:val="clear" w:color="auto" w:fill="1B5E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AF752" w14:textId="77777777" w:rsidR="007E2431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實際 URL</w:t>
            </w:r>
          </w:p>
        </w:tc>
        <w:tc>
          <w:tcPr>
            <w:tcW w:w="2300" w:type="dxa"/>
            <w:tcBorders>
              <w:top w:val="single" w:sz="2" w:space="0" w:color="1B5E3B"/>
              <w:left w:val="single" w:sz="2" w:space="0" w:color="1B5E3B"/>
              <w:bottom w:val="single" w:sz="2" w:space="0" w:color="1B5E3B"/>
              <w:right w:val="single" w:sz="2" w:space="0" w:color="1B5E3B"/>
            </w:tcBorders>
            <w:shd w:val="clear" w:color="auto" w:fill="1B5E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EBFD4" w14:textId="77777777" w:rsidR="007E2431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目標關鍵字</w:t>
            </w:r>
          </w:p>
        </w:tc>
        <w:tc>
          <w:tcPr>
            <w:tcW w:w="2226" w:type="dxa"/>
            <w:tcBorders>
              <w:top w:val="single" w:sz="2" w:space="0" w:color="1B5E3B"/>
              <w:left w:val="single" w:sz="2" w:space="0" w:color="1B5E3B"/>
              <w:bottom w:val="single" w:sz="2" w:space="0" w:color="1B5E3B"/>
              <w:right w:val="single" w:sz="2" w:space="0" w:color="1B5E3B"/>
            </w:tcBorders>
            <w:shd w:val="clear" w:color="auto" w:fill="1B5E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22D50" w14:textId="77777777" w:rsidR="007E2431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優化行動</w:t>
            </w:r>
          </w:p>
        </w:tc>
      </w:tr>
      <w:tr w:rsidR="007E2431" w14:paraId="305F04C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67948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/en/insight/cbam-asia-carbon-risks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7C5F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CBAM impact Asia steel, CBAM ASEAN exports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B31B7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確保前 3-4 段可見 + 加 FAQ</w:t>
            </w:r>
          </w:p>
        </w:tc>
      </w:tr>
      <w:tr w:rsidR="007E2431" w14:paraId="1C15DD0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75B8D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/en/reccpedia/eu-carbon-border-adjustment-mechanism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00377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CBAM explained, EU CBAM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1E4DD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擴充內容 + 加 FAQ + 內部連結</w:t>
            </w:r>
          </w:p>
        </w:tc>
      </w:tr>
      <w:tr w:rsidR="007E2431" w14:paraId="413EF637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E5C13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/en/news/th-regulation/EU-CBAM-approaching-Thailand-Carbon-Levy-Slated-5-5-USD-per-ton-next-year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EED4A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Thailand carbon tax, CBAM Thailand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2060E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Key Takeaways + 連結回支柱頁</w:t>
            </w:r>
          </w:p>
        </w:tc>
      </w:tr>
      <w:tr w:rsidR="007E2431" w14:paraId="551E02D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87F7D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/en/reccpedia/carbon-credit-index (碳足跡驗證部分)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F9A47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carbon footprint calculation, carbon footprint verification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E74A7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強化碳足跡計算步驟 + 加 FAQ</w:t>
            </w:r>
          </w:p>
        </w:tc>
      </w:tr>
    </w:tbl>
    <w:p w14:paraId="7B6083BE" w14:textId="77777777" w:rsidR="007E2431" w:rsidRDefault="007E2431">
      <w:pPr>
        <w:spacing w:after="60"/>
      </w:pPr>
    </w:p>
    <w:p w14:paraId="40AAF75A" w14:textId="77777777" w:rsidR="007E2431" w:rsidRDefault="00000000">
      <w:pPr>
        <w:pStyle w:val="2"/>
      </w:pPr>
      <w:r>
        <w:t>2.4 集群 D：ASEAN 國家市場動態</w:t>
      </w:r>
    </w:p>
    <w:p w14:paraId="79DFFDC0" w14:textId="77777777" w:rsidR="007E2431" w:rsidRDefault="00000000">
      <w:pPr>
        <w:spacing w:after="120"/>
      </w:pPr>
      <w:r>
        <w:rPr>
          <w:rFonts w:eastAsia="Arial"/>
          <w:b/>
          <w:bCs/>
        </w:rPr>
        <w:t>支柱頁：</w:t>
      </w:r>
    </w:p>
    <w:p w14:paraId="2116A896" w14:textId="77777777" w:rsidR="007E2431" w:rsidRDefault="00000000">
      <w:pPr>
        <w:spacing w:after="40"/>
      </w:pPr>
      <w:r>
        <w:rPr>
          <w:rFonts w:ascii="Consolas" w:eastAsia="Consolas" w:hAnsi="Consolas" w:cs="Consolas"/>
          <w:color w:val="0D47A1"/>
          <w:sz w:val="17"/>
          <w:szCs w:val="17"/>
        </w:rPr>
        <w:t>/en/news/2026-Sustainability-Trends</w:t>
      </w:r>
    </w:p>
    <w:p w14:paraId="7D4E434D" w14:textId="77777777" w:rsidR="007E2431" w:rsidRDefault="00000000">
      <w:pPr>
        <w:spacing w:after="120"/>
      </w:pPr>
      <w:r>
        <w:rPr>
          <w:rFonts w:eastAsia="Arial"/>
        </w:rPr>
        <w:t>目標關鍵字：ASEAN energy transition, Southeast Asia carbon market outlook 2026</w:t>
      </w:r>
    </w:p>
    <w:p w14:paraId="3E78E5BF" w14:textId="77777777" w:rsidR="007E2431" w:rsidRDefault="007E2431">
      <w:pPr>
        <w:spacing w:after="60"/>
      </w:pPr>
    </w:p>
    <w:p w14:paraId="3F12A522" w14:textId="77777777" w:rsidR="007E2431" w:rsidRDefault="00000000">
      <w:pPr>
        <w:spacing w:after="120"/>
      </w:pPr>
      <w:r>
        <w:rPr>
          <w:rFonts w:eastAsia="Arial"/>
          <w:b/>
          <w:bCs/>
        </w:rPr>
        <w:t>輻條頁（均已存在）：</w:t>
      </w:r>
    </w:p>
    <w:p w14:paraId="4955CD89" w14:textId="77777777" w:rsidR="007E2431" w:rsidRDefault="007E243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300"/>
        <w:gridCol w:w="2226"/>
      </w:tblGrid>
      <w:tr w:rsidR="007E2431" w14:paraId="28E85F10" w14:textId="77777777">
        <w:tc>
          <w:tcPr>
            <w:tcW w:w="4500" w:type="dxa"/>
            <w:tcBorders>
              <w:top w:val="single" w:sz="2" w:space="0" w:color="1B5E3B"/>
              <w:left w:val="single" w:sz="2" w:space="0" w:color="1B5E3B"/>
              <w:bottom w:val="single" w:sz="2" w:space="0" w:color="1B5E3B"/>
              <w:right w:val="single" w:sz="2" w:space="0" w:color="1B5E3B"/>
            </w:tcBorders>
            <w:shd w:val="clear" w:color="auto" w:fill="1B5E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AE5D8" w14:textId="77777777" w:rsidR="007E2431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實際 URL</w:t>
            </w:r>
          </w:p>
        </w:tc>
        <w:tc>
          <w:tcPr>
            <w:tcW w:w="2300" w:type="dxa"/>
            <w:tcBorders>
              <w:top w:val="single" w:sz="2" w:space="0" w:color="1B5E3B"/>
              <w:left w:val="single" w:sz="2" w:space="0" w:color="1B5E3B"/>
              <w:bottom w:val="single" w:sz="2" w:space="0" w:color="1B5E3B"/>
              <w:right w:val="single" w:sz="2" w:space="0" w:color="1B5E3B"/>
            </w:tcBorders>
            <w:shd w:val="clear" w:color="auto" w:fill="1B5E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090F2" w14:textId="77777777" w:rsidR="007E2431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目標關鍵字</w:t>
            </w:r>
          </w:p>
        </w:tc>
        <w:tc>
          <w:tcPr>
            <w:tcW w:w="2226" w:type="dxa"/>
            <w:tcBorders>
              <w:top w:val="single" w:sz="2" w:space="0" w:color="1B5E3B"/>
              <w:left w:val="single" w:sz="2" w:space="0" w:color="1B5E3B"/>
              <w:bottom w:val="single" w:sz="2" w:space="0" w:color="1B5E3B"/>
              <w:right w:val="single" w:sz="2" w:space="0" w:color="1B5E3B"/>
            </w:tcBorders>
            <w:shd w:val="clear" w:color="auto" w:fill="1B5E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568F5" w14:textId="77777777" w:rsidR="007E2431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優化行動</w:t>
            </w:r>
          </w:p>
        </w:tc>
      </w:tr>
      <w:tr w:rsidR="007E2431" w14:paraId="6EE992AA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3BD67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/en/insight/Vietnam-regulatory-storm-under-DPPA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61B65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Vietnam DPPA, Vietnam energy regulation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5B8A7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Key Takeaways + FAQ</w:t>
            </w:r>
          </w:p>
        </w:tc>
      </w:tr>
      <w:tr w:rsidR="007E2431" w14:paraId="129DCF62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C8636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/en/insight/unlocking-vietnams-renewable-energy-future-pdp8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5823C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Vietnam PDP8, Vietnam renewable energy future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20F9D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FAQ + 連結回 Hub</w:t>
            </w:r>
          </w:p>
        </w:tc>
      </w:tr>
      <w:tr w:rsidR="007E2431" w14:paraId="31BAEE6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991CE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/en/news/vietnam-approves-pilot-carbon-allowance-rules-targeting-nationwide-rollout-2028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B7650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Vietnam ETS pilot, Vietnam carbon market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692CF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Key Takeaways + 連結回 Hub A</w:t>
            </w:r>
          </w:p>
        </w:tc>
      </w:tr>
      <w:tr w:rsidR="007E2431" w14:paraId="612F0860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9ECFE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/en/news/thailand-dppa-ugt2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5AFDA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Thailand DPPA, Thailand renewable energy corporate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82778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FAQ + 連結</w:t>
            </w:r>
          </w:p>
        </w:tc>
      </w:tr>
      <w:tr w:rsidR="007E2431" w14:paraId="4CD97F6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12649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/en/news/th-regulation/EU-CBAM-approaching-Thailand-Carbon-Levy-Slated-5-5-USD-per-ton-next-year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6AF6F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Thailand carbon tax 2025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52B42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FAQ + 連結回 Hub C</w:t>
            </w:r>
          </w:p>
        </w:tc>
      </w:tr>
      <w:tr w:rsidR="007E2431" w14:paraId="6305D8CD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A93D9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/en/news/saf-cost-breakdown-asean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6D374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SAF sustainable aviation fuel Asia, biofuel ASEAN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B115C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Key Takeaways + FAQ</w:t>
            </w:r>
          </w:p>
        </w:tc>
      </w:tr>
      <w:tr w:rsidR="007E2431" w14:paraId="34611256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B1D44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/en/news/build-aseam-regional-emissions-trading-system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EB004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ASEAN regional ETS, unified carbon market SE Asia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35C1A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修正 URL aseam→asean + 加 FAQ</w:t>
            </w:r>
          </w:p>
        </w:tc>
      </w:tr>
      <w:tr w:rsidR="007E2431" w14:paraId="427ADE7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92C43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/en/insight/nuclear-comeback-new-energy-path-for-southeast-asia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3B099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nuclear energy ASEAN, SMR Southeast Asia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AC882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加 FAQ + 連結</w:t>
            </w:r>
          </w:p>
        </w:tc>
      </w:tr>
    </w:tbl>
    <w:p w14:paraId="7EB67B9C" w14:textId="77777777" w:rsidR="007E2431" w:rsidRDefault="00000000">
      <w:r>
        <w:br w:type="page"/>
      </w:r>
    </w:p>
    <w:p w14:paraId="39B108D5" w14:textId="77777777" w:rsidR="007E2431" w:rsidRDefault="00000000">
      <w:pPr>
        <w:pStyle w:val="2"/>
      </w:pPr>
      <w:r>
        <w:lastRenderedPageBreak/>
        <w:t>2.5 前 20 個目標關鍵字與實際頁面對應</w:t>
      </w:r>
    </w:p>
    <w:p w14:paraId="57ACA247" w14:textId="77777777" w:rsidR="007E2431" w:rsidRDefault="00000000">
      <w:pPr>
        <w:spacing w:after="120"/>
      </w:pPr>
      <w:r>
        <w:rPr>
          <w:rFonts w:eastAsia="Arial"/>
        </w:rPr>
        <w:t>以下每個關鍵字都對應一個已存在的實際頁面 URL：</w:t>
      </w:r>
    </w:p>
    <w:p w14:paraId="14DA61E6" w14:textId="77777777" w:rsidR="007E2431" w:rsidRDefault="007E243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"/>
        <w:gridCol w:w="1979"/>
        <w:gridCol w:w="3570"/>
        <w:gridCol w:w="791"/>
        <w:gridCol w:w="791"/>
        <w:gridCol w:w="1505"/>
      </w:tblGrid>
      <w:tr w:rsidR="007E2431" w14:paraId="629441D3" w14:textId="77777777">
        <w:tc>
          <w:tcPr>
            <w:tcW w:w="300" w:type="dxa"/>
            <w:tcBorders>
              <w:top w:val="single" w:sz="2" w:space="0" w:color="1B5E3B"/>
              <w:left w:val="single" w:sz="2" w:space="0" w:color="1B5E3B"/>
              <w:bottom w:val="single" w:sz="2" w:space="0" w:color="1B5E3B"/>
              <w:right w:val="single" w:sz="2" w:space="0" w:color="1B5E3B"/>
            </w:tcBorders>
            <w:shd w:val="clear" w:color="auto" w:fill="1B5E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A81CF" w14:textId="77777777" w:rsidR="007E2431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000" w:type="dxa"/>
            <w:tcBorders>
              <w:top w:val="single" w:sz="2" w:space="0" w:color="1B5E3B"/>
              <w:left w:val="single" w:sz="2" w:space="0" w:color="1B5E3B"/>
              <w:bottom w:val="single" w:sz="2" w:space="0" w:color="1B5E3B"/>
              <w:right w:val="single" w:sz="2" w:space="0" w:color="1B5E3B"/>
            </w:tcBorders>
            <w:shd w:val="clear" w:color="auto" w:fill="1B5E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2A016" w14:textId="77777777" w:rsidR="007E2431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關鍵字</w:t>
            </w:r>
          </w:p>
        </w:tc>
        <w:tc>
          <w:tcPr>
            <w:tcW w:w="3600" w:type="dxa"/>
            <w:tcBorders>
              <w:top w:val="single" w:sz="2" w:space="0" w:color="1B5E3B"/>
              <w:left w:val="single" w:sz="2" w:space="0" w:color="1B5E3B"/>
              <w:bottom w:val="single" w:sz="2" w:space="0" w:color="1B5E3B"/>
              <w:right w:val="single" w:sz="2" w:space="0" w:color="1B5E3B"/>
            </w:tcBorders>
            <w:shd w:val="clear" w:color="auto" w:fill="1B5E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46D8A" w14:textId="77777777" w:rsidR="007E2431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對應實際 URL</w:t>
            </w:r>
          </w:p>
        </w:tc>
        <w:tc>
          <w:tcPr>
            <w:tcW w:w="800" w:type="dxa"/>
            <w:tcBorders>
              <w:top w:val="single" w:sz="2" w:space="0" w:color="1B5E3B"/>
              <w:left w:val="single" w:sz="2" w:space="0" w:color="1B5E3B"/>
              <w:bottom w:val="single" w:sz="2" w:space="0" w:color="1B5E3B"/>
              <w:right w:val="single" w:sz="2" w:space="0" w:color="1B5E3B"/>
            </w:tcBorders>
            <w:shd w:val="clear" w:color="auto" w:fill="1B5E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B4996" w14:textId="77777777" w:rsidR="007E2431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難度</w:t>
            </w:r>
          </w:p>
        </w:tc>
        <w:tc>
          <w:tcPr>
            <w:tcW w:w="800" w:type="dxa"/>
            <w:tcBorders>
              <w:top w:val="single" w:sz="2" w:space="0" w:color="1B5E3B"/>
              <w:left w:val="single" w:sz="2" w:space="0" w:color="1B5E3B"/>
              <w:bottom w:val="single" w:sz="2" w:space="0" w:color="1B5E3B"/>
              <w:right w:val="single" w:sz="2" w:space="0" w:color="1B5E3B"/>
            </w:tcBorders>
            <w:shd w:val="clear" w:color="auto" w:fill="1B5E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2BC08" w14:textId="77777777" w:rsidR="007E2431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優先級</w:t>
            </w:r>
          </w:p>
        </w:tc>
        <w:tc>
          <w:tcPr>
            <w:tcW w:w="1526" w:type="dxa"/>
            <w:tcBorders>
              <w:top w:val="single" w:sz="2" w:space="0" w:color="1B5E3B"/>
              <w:left w:val="single" w:sz="2" w:space="0" w:color="1B5E3B"/>
              <w:bottom w:val="single" w:sz="2" w:space="0" w:color="1B5E3B"/>
              <w:right w:val="single" w:sz="2" w:space="0" w:color="1B5E3B"/>
            </w:tcBorders>
            <w:shd w:val="clear" w:color="auto" w:fill="1B5E3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4761F" w14:textId="77777777" w:rsidR="007E2431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集群</w:t>
            </w:r>
          </w:p>
        </w:tc>
      </w:tr>
      <w:tr w:rsidR="007E2431" w14:paraId="2DC09388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E2F30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4815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carbon credits explained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B5360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/en/reccpedia/carbon-credit-index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6C8F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中高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365F7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最高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BA187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A</w:t>
            </w:r>
          </w:p>
        </w:tc>
      </w:tr>
      <w:tr w:rsidR="007E2431" w14:paraId="1E19BF4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899ED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60AEA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ASEAN carbon market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D897A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/en/insight/global-carbon-market-highlights-2025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FD852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中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ABB2C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最高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B6AB8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A</w:t>
            </w:r>
          </w:p>
        </w:tc>
      </w:tr>
      <w:tr w:rsidR="007E2431" w14:paraId="0908E889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AF31C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D527C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CBAM explained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24CAA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/en/insight/how-carbon-border-adjustment-mechanism-affects-businesses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40C12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中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FE12F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最高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EAF53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C</w:t>
            </w:r>
          </w:p>
        </w:tc>
      </w:tr>
      <w:tr w:rsidR="007E2431" w14:paraId="1694003D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D7A08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F4978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carbon credit price Asia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23BC9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/en/carbon_price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C7AE3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低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353D1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最高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74C9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A</w:t>
            </w:r>
          </w:p>
        </w:tc>
      </w:tr>
      <w:tr w:rsidR="007E2431" w14:paraId="119A66E8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9E6FF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F9F60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CBAM impact Asia steel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1FE71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/en/insight/cbam-asia-carbon-risks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B0359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低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C666A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最高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1DEBA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C</w:t>
            </w:r>
          </w:p>
        </w:tc>
      </w:tr>
      <w:tr w:rsidR="007E2431" w14:paraId="50981BE7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A83E2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25861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RE Southeast Asia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57501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/en/reccpedia/rec-system-index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67344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中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0D19E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高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6730B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B</w:t>
            </w:r>
          </w:p>
        </w:tc>
      </w:tr>
      <w:tr w:rsidR="007E2431" w14:paraId="2333FA06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33B84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258C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I-REC explained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04998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/en/reccpedia/i-rec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42EFA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低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AEFBB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高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BBAA5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B</w:t>
            </w:r>
          </w:p>
        </w:tc>
      </w:tr>
      <w:tr w:rsidR="007E2431" w14:paraId="6D32CCFD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B86DB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14EC3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RE100 companies Asia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74217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/en/reccpedia/re100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F4F7D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低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93944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高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6AACA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B</w:t>
            </w:r>
          </w:p>
        </w:tc>
      </w:tr>
      <w:tr w:rsidR="007E2431" w14:paraId="1594DCD9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EFC4C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1C925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Vietnam renewable energy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E92F8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/en/insight/unlocking-vietnams-renewable-energy-future-pdp8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8F79A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中低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FC20A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高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3AD1C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D</w:t>
            </w:r>
          </w:p>
        </w:tc>
      </w:tr>
      <w:tr w:rsidR="007E2431" w14:paraId="18A64309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923DD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17D26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Thailand carbon tax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AE68F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/en/news/th-regulation/EU-CBAM-approaching-Thailand-...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BC7ED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低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1AFFB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高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904B4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C/D</w:t>
            </w:r>
          </w:p>
        </w:tc>
      </w:tr>
      <w:tr w:rsidR="007E2431" w14:paraId="42E7D07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67B59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6DF53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ASEAN energy transition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22C65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/en/news/2026-Sustainability-Trends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E1634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中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697F0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高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FC43A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D</w:t>
            </w:r>
          </w:p>
        </w:tc>
      </w:tr>
      <w:tr w:rsidR="007E2431" w14:paraId="2AF7376B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4640E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F413B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Article 6 carbon credits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64D98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/en/insight/asia-pushes-ahead-on-article-6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BC644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中低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1F6E6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高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98103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A</w:t>
            </w:r>
          </w:p>
        </w:tc>
      </w:tr>
      <w:tr w:rsidR="007E2431" w14:paraId="022CA62B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5C9DA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DA310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EU ETS explained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561BF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/en/reccpedia/emission-trading/eu-emissions-trading-system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3BA6C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中高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3997F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中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49C4B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A</w:t>
            </w:r>
          </w:p>
        </w:tc>
      </w:tr>
      <w:tr w:rsidR="007E2431" w14:paraId="450A059F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6696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F4D5A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voluntary carbon market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763C3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/en/insight/south-pole-and-verra-greenwashing...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AFB84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中低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FE252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中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A6F3C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A</w:t>
            </w:r>
          </w:p>
        </w:tc>
      </w:tr>
      <w:tr w:rsidR="007E2431" w14:paraId="3B2E49C4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680C6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707DE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Vietnam ETS pilot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5A49F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/en/news/vietnam-approves-pilot-carbon-allowance...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91A7D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低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A0620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中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9D5DD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D</w:t>
            </w:r>
          </w:p>
        </w:tc>
      </w:tr>
      <w:tr w:rsidR="007E2431" w14:paraId="16B3C3AB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0ACCE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25B69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data center power SE Asia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9BFA9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/en/insight/decarbonizing-power-supply-for-asean-data-centers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A7B2D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低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463CF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中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5DCC8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B</w:t>
            </w:r>
          </w:p>
        </w:tc>
      </w:tr>
      <w:tr w:rsidR="007E2431" w14:paraId="00319A86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636E4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46C0C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RECs vs carbon credits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1CA13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/en/insight/the-future-of-recs-and-carbon-markets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1F9D8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低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A9D20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中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9D4E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A/B</w:t>
            </w:r>
          </w:p>
        </w:tc>
      </w:tr>
      <w:tr w:rsidR="007E2431" w14:paraId="587D2369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1AA59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0DD7D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Vietnam DPPA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05BA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/en/insight/Vietnam-regulatory-storm-under-DPPA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E8EC0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低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76851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中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9BBF9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D</w:t>
            </w:r>
          </w:p>
        </w:tc>
      </w:tr>
      <w:tr w:rsidR="007E2431" w14:paraId="1E45E543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458D2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19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05CC9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nuclear energy ASEAN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6575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/en/insight/nuclear-comeback-new-energy-path-for-southeast-asia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51C90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低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578BC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中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59586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D</w:t>
            </w:r>
          </w:p>
        </w:tc>
      </w:tr>
      <w:tr w:rsidR="007E2431" w14:paraId="2C115D0E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8FBED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5A2F8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SAF aviation fuel Asia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BEE9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/en/news/saf-cost-breakdown-asean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DE10A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低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F01CB" w14:textId="77777777" w:rsidR="007E2431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中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49552" w14:textId="77777777" w:rsidR="007E2431" w:rsidRDefault="00000000">
            <w:r>
              <w:rPr>
                <w:rFonts w:eastAsia="Arial"/>
                <w:color w:val="333333"/>
                <w:sz w:val="17"/>
                <w:szCs w:val="17"/>
              </w:rPr>
              <w:t>D</w:t>
            </w:r>
          </w:p>
        </w:tc>
      </w:tr>
    </w:tbl>
    <w:p w14:paraId="312BBC13" w14:textId="77777777" w:rsidR="007E2431" w:rsidRDefault="007E243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2431" w14:paraId="7DC8AFB5" w14:textId="77777777">
        <w:tc>
          <w:tcPr>
            <w:tcW w:w="9026" w:type="dxa"/>
            <w:tcBorders>
              <w:top w:val="single" w:sz="2" w:space="0" w:color="1B7A3E"/>
              <w:left w:val="single" w:sz="2" w:space="0" w:color="1B7A3E"/>
              <w:bottom w:val="single" w:sz="2" w:space="0" w:color="1B7A3E"/>
              <w:right w:val="single" w:sz="2" w:space="0" w:color="1B7A3E"/>
            </w:tcBorders>
            <w:shd w:val="clear" w:color="auto" w:fill="E8F8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DB0482" w14:textId="77777777" w:rsidR="007E2431" w:rsidRDefault="00000000">
            <w:pPr>
              <w:spacing w:after="60"/>
            </w:pPr>
            <w:r>
              <w:rPr>
                <w:rFonts w:eastAsia="Arial"/>
                <w:b/>
                <w:bCs/>
                <w:color w:val="1B7A3E"/>
              </w:rPr>
              <w:t>內部連結操作原則</w:t>
            </w:r>
          </w:p>
          <w:p w14:paraId="6E48E6BC" w14:textId="77777777" w:rsidR="007E2431" w:rsidRDefault="00000000">
            <w:r>
              <w:rPr>
                <w:rFonts w:eastAsia="Arial"/>
                <w:color w:val="333333"/>
                <w:sz w:val="18"/>
                <w:szCs w:val="18"/>
              </w:rPr>
              <w:t>每篇輻條頁至少加 1 個連結回其所屬集群的支柱頁。例如：集群 A 的所有輻條頁都應在文中自然地連結到 /en/reccpedia/carbon-credit-index。同時，支柱頁也應加入所有輻條頁的連結。這就是 Hub-and-Spoke 架構的運作方式。</w:t>
            </w:r>
          </w:p>
        </w:tc>
      </w:tr>
    </w:tbl>
    <w:p w14:paraId="1709A4DF" w14:textId="77777777" w:rsidR="007E2431" w:rsidRDefault="00000000">
      <w:r>
        <w:br w:type="page"/>
      </w:r>
    </w:p>
    <w:p w14:paraId="6806CB10" w14:textId="77777777" w:rsidR="007E2431" w:rsidRDefault="00000000">
      <w:pPr>
        <w:pStyle w:val="1"/>
      </w:pPr>
      <w:r>
        <w:lastRenderedPageBreak/>
        <w:t>3. 文章 SEO 寫作指南</w:t>
      </w:r>
    </w:p>
    <w:p w14:paraId="67A90CA9" w14:textId="77777777" w:rsidR="007E2431" w:rsidRDefault="00000000">
      <w:pPr>
        <w:spacing w:after="120"/>
      </w:pPr>
      <w:r>
        <w:rPr>
          <w:rFonts w:eastAsia="Arial"/>
          <w:i/>
          <w:iCs/>
          <w:color w:val="666666"/>
        </w:rPr>
        <w:t>完整內容請參見前一版手冊第 3 章，此處僅列出核心要點。</w:t>
      </w:r>
    </w:p>
    <w:p w14:paraId="5B57A628" w14:textId="77777777" w:rsidR="007E2431" w:rsidRDefault="007E2431">
      <w:pPr>
        <w:spacing w:after="60"/>
      </w:pPr>
    </w:p>
    <w:p w14:paraId="4C8E228C" w14:textId="77777777" w:rsidR="007E2431" w:rsidRDefault="00000000">
      <w:pPr>
        <w:pStyle w:val="2"/>
      </w:pPr>
      <w:r>
        <w:t>3.1 Title Tag 規則</w:t>
      </w:r>
    </w:p>
    <w:p w14:paraId="03D042C8" w14:textId="77777777" w:rsidR="007E2431" w:rsidRDefault="00000000">
      <w:pPr>
        <w:spacing w:after="120"/>
      </w:pPr>
      <w:r>
        <w:rPr>
          <w:rFonts w:eastAsia="Arial"/>
        </w:rPr>
        <w:t>主關鍵字在前 60 字元 + 品牌名在後。格式：[主關鍵字]: [副標題] | RECCESSARY</w:t>
      </w:r>
    </w:p>
    <w:p w14:paraId="679EB80A" w14:textId="77777777" w:rsidR="007E2431" w:rsidRDefault="007E2431">
      <w:pPr>
        <w:spacing w:after="60"/>
      </w:pPr>
    </w:p>
    <w:p w14:paraId="4F07391D" w14:textId="77777777" w:rsidR="007E2431" w:rsidRDefault="00000000">
      <w:pPr>
        <w:pStyle w:val="2"/>
      </w:pPr>
      <w:r>
        <w:t>3.2 H2/H3 使用問題格式</w:t>
      </w:r>
    </w:p>
    <w:p w14:paraId="6855EAB9" w14:textId="522755F2" w:rsidR="007E2431" w:rsidRDefault="00B80DE9">
      <w:pPr>
        <w:spacing w:after="60"/>
      </w:pPr>
      <w:r>
        <w:t>優先以使用者意圖（</w:t>
      </w:r>
      <w:r>
        <w:t>User Intent</w:t>
      </w:r>
      <w:r>
        <w:t>）出發，在解釋機制、影響或定價的段落，強烈建議轉換為問題格式（如</w:t>
      </w:r>
      <w:r>
        <w:t xml:space="preserve"> How, What, Why</w:t>
      </w:r>
      <w:r>
        <w:t>）</w:t>
      </w:r>
    </w:p>
    <w:p w14:paraId="431AAFA5" w14:textId="77777777" w:rsidR="007E2431" w:rsidRDefault="00000000">
      <w:pPr>
        <w:pStyle w:val="2"/>
      </w:pPr>
      <w:r>
        <w:t>3.3 內部連結規則</w:t>
      </w:r>
    </w:p>
    <w:p w14:paraId="71D1311E" w14:textId="77777777" w:rsidR="007E2431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至少 1 個連結指向所屬 Hub 支柱頁</w:t>
      </w:r>
    </w:p>
    <w:p w14:paraId="0156467C" w14:textId="77777777" w:rsidR="007E2431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至少 1 個連結到同 Hub 兄弟輻條</w:t>
      </w:r>
    </w:p>
    <w:p w14:paraId="65DABCD1" w14:textId="77777777" w:rsidR="007E2431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至少 1 個連結到 Reccpedia 詞條</w:t>
      </w:r>
    </w:p>
    <w:p w14:paraId="138A797E" w14:textId="77777777" w:rsidR="007E2431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錨文字必須是描述性關鍵字，絕不用 click here</w:t>
      </w:r>
    </w:p>
    <w:p w14:paraId="4263945D" w14:textId="77777777" w:rsidR="007E2431" w:rsidRDefault="007E2431">
      <w:pPr>
        <w:spacing w:after="60"/>
      </w:pPr>
    </w:p>
    <w:p w14:paraId="013F9978" w14:textId="77777777" w:rsidR="007E2431" w:rsidRDefault="00000000">
      <w:pPr>
        <w:pStyle w:val="2"/>
      </w:pPr>
      <w:r>
        <w:t>3.4 文章結構模板</w:t>
      </w:r>
    </w:p>
    <w:p w14:paraId="7FEF305C" w14:textId="77777777" w:rsidR="007E2431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Key Takeaways 摘要框（文章最前面）</w:t>
      </w:r>
    </w:p>
    <w:p w14:paraId="161F3A3A" w14:textId="50CE9C19" w:rsidR="007E2431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H2 問題格式 → 前30~50</w:t>
      </w:r>
      <w:r>
        <w:rPr>
          <w:rFonts w:eastAsia="Arial" w:hint="eastAsia"/>
        </w:rPr>
        <w:t>字</w:t>
      </w:r>
      <w:r>
        <w:rPr>
          <w:rFonts w:ascii="Microsoft JhengHei" w:eastAsia="Microsoft JhengHei" w:hAnsi="Microsoft JhengHei" w:cs="Microsoft JhengHei" w:hint="eastAsia"/>
        </w:rPr>
        <w:t>內</w:t>
      </w:r>
      <w:r>
        <w:rPr>
          <w:rFonts w:eastAsia="Arial"/>
        </w:rPr>
        <w:t>直接答案 → 每 150-200 字一個統計</w:t>
      </w:r>
    </w:p>
    <w:p w14:paraId="47098B3A" w14:textId="77777777" w:rsidR="007E2431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比較表格（討論 2+ 國家/選項時）</w:t>
      </w:r>
    </w:p>
    <w:p w14:paraId="542F06D6" w14:textId="77777777" w:rsidR="007E2431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FAQ 區塊（底部，3-5 題最少）</w:t>
      </w:r>
    </w:p>
    <w:p w14:paraId="2B26269F" w14:textId="77777777" w:rsidR="007E2431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作者資訊 + 相關文章 + 訂閱 CTA</w:t>
      </w:r>
    </w:p>
    <w:p w14:paraId="71A4644C" w14:textId="77777777" w:rsidR="007E2431" w:rsidRDefault="00000000">
      <w:r>
        <w:br w:type="page"/>
      </w:r>
    </w:p>
    <w:p w14:paraId="227A40AA" w14:textId="77777777" w:rsidR="00CE7357" w:rsidRDefault="00CE7357" w:rsidP="00CE7357">
      <w:pPr>
        <w:pStyle w:val="1"/>
      </w:pPr>
      <w:r>
        <w:lastRenderedPageBreak/>
        <w:t>4. AI 引用最佳化（AEO）寫作指南</w:t>
      </w:r>
    </w:p>
    <w:p w14:paraId="470F72B5" w14:textId="77777777" w:rsidR="00CE7357" w:rsidRDefault="00CE7357" w:rsidP="00CE7357">
      <w:pPr>
        <w:spacing w:after="120"/>
      </w:pPr>
      <w:r>
        <w:rPr>
          <w:rFonts w:eastAsia="Arial"/>
          <w:i/>
          <w:iCs/>
          <w:color w:val="666666"/>
        </w:rPr>
        <w:t>目標：讓 ChatGPT、Perplexity、Google AI Overviews 在回答碳市場和再生能源問題時，引用 RECCESSARY 的內容。</w:t>
      </w:r>
    </w:p>
    <w:p w14:paraId="36B05608" w14:textId="77777777" w:rsidR="00CE7357" w:rsidRDefault="00CE7357" w:rsidP="00CE7357">
      <w:pPr>
        <w:spacing w:after="60"/>
      </w:pPr>
    </w:p>
    <w:p w14:paraId="25E1474D" w14:textId="77777777" w:rsidR="00CE7357" w:rsidRDefault="00CE7357" w:rsidP="00CE7357">
      <w:pPr>
        <w:pStyle w:val="2"/>
      </w:pPr>
      <w:r>
        <w:t>4.1 AI 引用的核心原理</w:t>
      </w:r>
    </w:p>
    <w:p w14:paraId="4E791902" w14:textId="671D8A4A" w:rsidR="00CE7357" w:rsidRDefault="00CE7357" w:rsidP="00CE7357">
      <w:pPr>
        <w:pStyle w:val="a4"/>
        <w:numPr>
          <w:ilvl w:val="0"/>
          <w:numId w:val="6"/>
        </w:numPr>
        <w:spacing w:after="60"/>
      </w:pPr>
      <w:r>
        <w:rPr>
          <w:rFonts w:eastAsia="Arial"/>
        </w:rPr>
        <w:t xml:space="preserve">第一句就給直接答案（30-50 </w:t>
      </w:r>
      <w:r>
        <w:rPr>
          <w:rFonts w:ascii="Microsoft JhengHei" w:eastAsia="Microsoft JhengHei" w:hAnsi="Microsoft JhengHei" w:cs="Microsoft JhengHei" w:hint="eastAsia"/>
        </w:rPr>
        <w:t>字以內</w:t>
      </w:r>
      <w:r>
        <w:rPr>
          <w:rFonts w:eastAsia="Arial"/>
        </w:rPr>
        <w:t>）— AI 從標題後第一句提取答案</w:t>
      </w:r>
    </w:p>
    <w:p w14:paraId="16C138DF" w14:textId="77777777" w:rsidR="00CE7357" w:rsidRDefault="00CE7357" w:rsidP="00CE7357">
      <w:pPr>
        <w:pStyle w:val="a4"/>
        <w:numPr>
          <w:ilvl w:val="0"/>
          <w:numId w:val="6"/>
        </w:numPr>
        <w:spacing w:after="60"/>
      </w:pPr>
      <w:r>
        <w:rPr>
          <w:rFonts w:eastAsia="Arial"/>
        </w:rPr>
        <w:t>統計數據密度高（每 150-200 字一個）— 含數據內容 AI 引用率高 41%</w:t>
      </w:r>
    </w:p>
    <w:p w14:paraId="0DAF8002" w14:textId="77777777" w:rsidR="00CE7357" w:rsidRDefault="00CE7357" w:rsidP="00CE7357">
      <w:pPr>
        <w:pStyle w:val="a4"/>
        <w:numPr>
          <w:ilvl w:val="0"/>
          <w:numId w:val="6"/>
        </w:numPr>
        <w:spacing w:after="60"/>
      </w:pPr>
      <w:r>
        <w:rPr>
          <w:rFonts w:eastAsia="Arial"/>
        </w:rPr>
        <w:t>問答格式（FAQ）— FAQ 內容被引用機率高 40%</w:t>
      </w:r>
    </w:p>
    <w:p w14:paraId="20CE7AA9" w14:textId="77777777" w:rsidR="00CE7357" w:rsidRDefault="00CE7357" w:rsidP="00CE7357">
      <w:pPr>
        <w:pStyle w:val="a4"/>
        <w:numPr>
          <w:ilvl w:val="0"/>
          <w:numId w:val="6"/>
        </w:numPr>
        <w:spacing w:after="60"/>
      </w:pPr>
      <w:r>
        <w:rPr>
          <w:rFonts w:eastAsia="Arial"/>
        </w:rPr>
        <w:t>比較表格 — 含表格內容被引用頻率高 2.5 倍</w:t>
      </w:r>
    </w:p>
    <w:p w14:paraId="2C446622" w14:textId="77777777" w:rsidR="00CE7357" w:rsidRDefault="00CE7357" w:rsidP="00CE7357">
      <w:pPr>
        <w:pStyle w:val="a4"/>
        <w:numPr>
          <w:ilvl w:val="0"/>
          <w:numId w:val="6"/>
        </w:numPr>
        <w:spacing w:after="60"/>
      </w:pPr>
      <w:r>
        <w:rPr>
          <w:rFonts w:eastAsia="Arial"/>
        </w:rPr>
        <w:t>定期更新（30 天內）— Perplexity 引用率 82.5%</w:t>
      </w:r>
    </w:p>
    <w:p w14:paraId="570EFDCB" w14:textId="77777777" w:rsidR="00CE7357" w:rsidRDefault="00CE7357" w:rsidP="00CE7357">
      <w:pPr>
        <w:pStyle w:val="a4"/>
        <w:numPr>
          <w:ilvl w:val="0"/>
          <w:numId w:val="6"/>
        </w:numPr>
        <w:spacing w:after="60"/>
      </w:pPr>
      <w:r>
        <w:rPr>
          <w:rFonts w:eastAsia="Arial"/>
        </w:rPr>
        <w:t>權威標記（作者資歷、引用 .gov/.edu 來源）— 96% Google AI Overview 引用來自高 E-E-A-T 來源</w:t>
      </w:r>
    </w:p>
    <w:p w14:paraId="752B2D9C" w14:textId="77777777" w:rsidR="00CE7357" w:rsidRDefault="00CE7357" w:rsidP="00CE7357">
      <w:pPr>
        <w:spacing w:after="60"/>
      </w:pPr>
    </w:p>
    <w:p w14:paraId="1481A3D9" w14:textId="77777777" w:rsidR="00CE7357" w:rsidRDefault="00CE7357" w:rsidP="00CE7357">
      <w:pPr>
        <w:pStyle w:val="2"/>
      </w:pPr>
      <w:r>
        <w:t>4.2 實際案例：Reccpedia I-REC 頁面改造</w:t>
      </w:r>
    </w:p>
    <w:p w14:paraId="4C777E25" w14:textId="77777777" w:rsidR="00CE7357" w:rsidRDefault="00CE7357" w:rsidP="00CE7357">
      <w:pPr>
        <w:spacing w:after="60"/>
      </w:pPr>
    </w:p>
    <w:p w14:paraId="1F2F21C4" w14:textId="77777777" w:rsidR="00CE7357" w:rsidRDefault="00CE7357" w:rsidP="00CE7357">
      <w:pPr>
        <w:spacing w:before="200" w:after="100"/>
      </w:pPr>
      <w:r>
        <w:rPr>
          <w:rFonts w:eastAsia="Arial"/>
          <w:b/>
          <w:bCs/>
          <w:color w:val="1B5E3B"/>
          <w:sz w:val="22"/>
          <w:szCs w:val="22"/>
        </w:rPr>
        <w:t>BEFORE（目前 /en/reccpedia/i-rec 寫法）</w:t>
      </w:r>
    </w:p>
    <w:p w14:paraId="6E2F2B40" w14:textId="77777777" w:rsidR="00CE7357" w:rsidRDefault="00CE7357" w:rsidP="00CE7357">
      <w:pPr>
        <w:spacing w:after="120"/>
      </w:pPr>
      <w:r>
        <w:rPr>
          <w:rFonts w:eastAsia="Arial"/>
          <w:i/>
          <w:iCs/>
          <w:color w:val="666666"/>
        </w:rPr>
        <w:t>"The I-REC is an Energy Attribute Certificate (EAC) issued under the governance of the International REC Standard (I-REC Standard), a non-profit organization established in the Netherlands..."</w:t>
      </w:r>
    </w:p>
    <w:p w14:paraId="229B284B" w14:textId="77777777" w:rsidR="00CE7357" w:rsidRDefault="00CE7357" w:rsidP="00CE7357">
      <w:pPr>
        <w:spacing w:after="120"/>
      </w:pPr>
      <w:r>
        <w:rPr>
          <w:rFonts w:eastAsia="Arial"/>
        </w:rPr>
        <w:t>問題：第一句 45 字太長；沒有直接回答「What is I-REC?」</w:t>
      </w:r>
    </w:p>
    <w:p w14:paraId="35658A42" w14:textId="77777777" w:rsidR="00CE7357" w:rsidRDefault="00CE7357" w:rsidP="00CE7357">
      <w:pPr>
        <w:spacing w:after="60"/>
      </w:pPr>
    </w:p>
    <w:p w14:paraId="1375C49F" w14:textId="77777777" w:rsidR="00CE7357" w:rsidRDefault="00CE7357" w:rsidP="00CE7357">
      <w:pPr>
        <w:spacing w:before="200" w:after="100"/>
      </w:pPr>
      <w:r>
        <w:rPr>
          <w:rFonts w:eastAsia="Arial"/>
          <w:b/>
          <w:bCs/>
          <w:color w:val="1B5E3B"/>
          <w:sz w:val="22"/>
          <w:szCs w:val="22"/>
        </w:rPr>
        <w:t>AFTER（AI 最佳化版本）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E7357" w14:paraId="66632913" w14:textId="77777777" w:rsidTr="0057627A">
        <w:tc>
          <w:tcPr>
            <w:tcW w:w="9026" w:type="dxa"/>
            <w:tcBorders>
              <w:top w:val="single" w:sz="2" w:space="0" w:color="1B7A3E"/>
              <w:left w:val="single" w:sz="2" w:space="0" w:color="1B7A3E"/>
              <w:bottom w:val="single" w:sz="2" w:space="0" w:color="1B7A3E"/>
              <w:right w:val="single" w:sz="2" w:space="0" w:color="1B7A3E"/>
            </w:tcBorders>
            <w:shd w:val="clear" w:color="auto" w:fill="E8F8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04B58B" w14:textId="77777777" w:rsidR="00CE7357" w:rsidRDefault="00CE7357" w:rsidP="0057627A">
            <w:pPr>
              <w:spacing w:after="60"/>
            </w:pPr>
            <w:r>
              <w:rPr>
                <w:rFonts w:eastAsia="Arial"/>
                <w:b/>
                <w:bCs/>
                <w:color w:val="1B7A3E"/>
              </w:rPr>
              <w:t>✅ AI 可引用的開場</w:t>
            </w:r>
          </w:p>
          <w:p w14:paraId="57B56EA9" w14:textId="77777777" w:rsidR="00CE7357" w:rsidRDefault="00CE7357" w:rsidP="0057627A">
            <w:r>
              <w:rPr>
                <w:rFonts w:eastAsia="Arial"/>
                <w:color w:val="333333"/>
                <w:sz w:val="18"/>
                <w:szCs w:val="18"/>
              </w:rPr>
              <w:t>I-REC is an internationally recognized renewable energy certificate that tracks and verifies clean electricity generation across 50+ countries. Issued under the I-REC Standard — a Netherlands-based nonprofit — each certificate represents 1 MWh of renewable electricity. As of late 2024, approximately 270 million I-RECs were issued in a single year, with a cumulative total of 889 million certificates globally.</w:t>
            </w:r>
          </w:p>
        </w:tc>
      </w:tr>
    </w:tbl>
    <w:p w14:paraId="052BBC63" w14:textId="77777777" w:rsidR="00CE7357" w:rsidRDefault="00CE7357" w:rsidP="00CE7357">
      <w:pPr>
        <w:spacing w:after="60"/>
      </w:pPr>
    </w:p>
    <w:p w14:paraId="79E6C674" w14:textId="77777777" w:rsidR="00CE7357" w:rsidRDefault="00CE7357" w:rsidP="00CE7357">
      <w:pPr>
        <w:spacing w:after="120"/>
      </w:pPr>
      <w:r>
        <w:rPr>
          <w:rFonts w:eastAsia="Arial"/>
          <w:b/>
          <w:bCs/>
        </w:rPr>
        <w:t>為什麼這個版本會被 AI 引用：</w:t>
      </w:r>
    </w:p>
    <w:p w14:paraId="25583B97" w14:textId="77777777" w:rsidR="00CE7357" w:rsidRDefault="00CE7357" w:rsidP="00CE7357">
      <w:pPr>
        <w:pStyle w:val="a4"/>
        <w:numPr>
          <w:ilvl w:val="0"/>
          <w:numId w:val="5"/>
        </w:numPr>
        <w:spacing w:after="60"/>
      </w:pPr>
      <w:r>
        <w:rPr>
          <w:rFonts w:eastAsia="Arial"/>
        </w:rPr>
        <w:t>第一句粗體定義僅 22 字 — AI 可直接提取為答案片段</w:t>
      </w:r>
    </w:p>
    <w:p w14:paraId="44F2D577" w14:textId="77777777" w:rsidR="00CE7357" w:rsidRDefault="00CE7357" w:rsidP="00CE7357">
      <w:pPr>
        <w:pStyle w:val="a4"/>
        <w:numPr>
          <w:ilvl w:val="0"/>
          <w:numId w:val="5"/>
        </w:numPr>
        <w:spacing w:after="60"/>
      </w:pPr>
      <w:r>
        <w:rPr>
          <w:rFonts w:eastAsia="Arial"/>
        </w:rPr>
        <w:t>第一段含具體數據（270M 張、889M 累計）— 提供可引用事實</w:t>
      </w:r>
    </w:p>
    <w:p w14:paraId="32F40641" w14:textId="77777777" w:rsidR="00CE7357" w:rsidRDefault="00CE7357" w:rsidP="00CE7357">
      <w:pPr>
        <w:pStyle w:val="a4"/>
        <w:numPr>
          <w:ilvl w:val="0"/>
          <w:numId w:val="5"/>
        </w:numPr>
        <w:spacing w:after="60"/>
      </w:pPr>
      <w:r>
        <w:rPr>
          <w:rFonts w:eastAsia="Arial"/>
        </w:rPr>
        <w:t>H2 用問題格式 — 匹配自然語言查詢</w:t>
      </w:r>
    </w:p>
    <w:p w14:paraId="56A0C527" w14:textId="77777777" w:rsidR="00CE7357" w:rsidRDefault="00CE7357" w:rsidP="00CE7357">
      <w:pPr>
        <w:pStyle w:val="a4"/>
        <w:numPr>
          <w:ilvl w:val="0"/>
          <w:numId w:val="5"/>
        </w:numPr>
        <w:spacing w:after="60"/>
      </w:pPr>
      <w:r>
        <w:rPr>
          <w:rFonts w:eastAsia="Arial"/>
        </w:rPr>
        <w:t>價格比較表格 — 表格被引用率 2.5 倍</w:t>
      </w:r>
    </w:p>
    <w:p w14:paraId="70B84554" w14:textId="77777777" w:rsidR="00CE7357" w:rsidRDefault="00CE7357" w:rsidP="00CE7357">
      <w:pPr>
        <w:pStyle w:val="a4"/>
        <w:numPr>
          <w:ilvl w:val="0"/>
          <w:numId w:val="5"/>
        </w:numPr>
        <w:spacing w:after="60"/>
      </w:pPr>
      <w:r>
        <w:rPr>
          <w:rFonts w:eastAsia="Arial"/>
        </w:rPr>
        <w:t>FAQ 區塊 — 對應 AI Q&amp;A 擷取模式</w:t>
      </w:r>
    </w:p>
    <w:p w14:paraId="68489163" w14:textId="77777777" w:rsidR="00CE7357" w:rsidRDefault="00CE7357" w:rsidP="00CE7357">
      <w:pPr>
        <w:pStyle w:val="a4"/>
        <w:numPr>
          <w:ilvl w:val="0"/>
          <w:numId w:val="5"/>
        </w:numPr>
        <w:spacing w:after="60"/>
      </w:pPr>
      <w:r>
        <w:rPr>
          <w:rFonts w:eastAsia="Arial"/>
        </w:rPr>
        <w:t>含更新日期 — Perplexity 偏好 30 天內更新內容</w:t>
      </w:r>
    </w:p>
    <w:p w14:paraId="42FE7621" w14:textId="77777777" w:rsidR="00CE7357" w:rsidRDefault="00CE7357" w:rsidP="00CE7357">
      <w:pPr>
        <w:spacing w:after="60"/>
      </w:pPr>
    </w:p>
    <w:p w14:paraId="3706B0CC" w14:textId="77777777" w:rsidR="00CE7357" w:rsidRDefault="00CE7357" w:rsidP="00CE7357">
      <w:pPr>
        <w:pStyle w:val="2"/>
      </w:pPr>
      <w:r>
        <w:t>4.3 實際案例：ASEAN Weekly 新聞改造</w:t>
      </w:r>
    </w:p>
    <w:p w14:paraId="16B94FAA" w14:textId="77777777" w:rsidR="00CE7357" w:rsidRDefault="00CE7357" w:rsidP="00CE7357">
      <w:pPr>
        <w:spacing w:after="60"/>
      </w:pPr>
    </w:p>
    <w:p w14:paraId="5E31E028" w14:textId="77777777" w:rsidR="00CE7357" w:rsidRDefault="00CE7357" w:rsidP="00CE7357">
      <w:pPr>
        <w:spacing w:before="200" w:after="100"/>
      </w:pPr>
      <w:r>
        <w:rPr>
          <w:rFonts w:eastAsia="Arial"/>
          <w:b/>
          <w:bCs/>
          <w:color w:val="1B5E3B"/>
          <w:sz w:val="22"/>
          <w:szCs w:val="22"/>
        </w:rPr>
        <w:t>BEFORE</w:t>
      </w:r>
    </w:p>
    <w:p w14:paraId="3A714F99" w14:textId="77777777" w:rsidR="00CE7357" w:rsidRDefault="00CE7357" w:rsidP="00CE7357">
      <w:pPr>
        <w:spacing w:after="120"/>
      </w:pPr>
      <w:r>
        <w:rPr>
          <w:rFonts w:eastAsia="Arial"/>
          <w:i/>
          <w:iCs/>
          <w:color w:val="666666"/>
        </w:rPr>
        <w:lastRenderedPageBreak/>
        <w:t>"This week in ASEAN, sustainability developments are shaped by shifting energy policies and accelerating low-carbon transitions..."</w:t>
      </w:r>
    </w:p>
    <w:p w14:paraId="28077E18" w14:textId="77777777" w:rsidR="00CE7357" w:rsidRDefault="00CE7357" w:rsidP="00CE7357">
      <w:pPr>
        <w:spacing w:after="120"/>
      </w:pPr>
      <w:r>
        <w:rPr>
          <w:rFonts w:eastAsia="Arial"/>
        </w:rPr>
        <w:t>問題：開頭太泛，無可被 AI 提取的具體答案</w:t>
      </w:r>
    </w:p>
    <w:p w14:paraId="427D2C92" w14:textId="77777777" w:rsidR="00CE7357" w:rsidRDefault="00CE7357" w:rsidP="00CE7357">
      <w:pPr>
        <w:spacing w:after="60"/>
      </w:pPr>
    </w:p>
    <w:p w14:paraId="5723AC50" w14:textId="77777777" w:rsidR="00CE7357" w:rsidRDefault="00CE7357" w:rsidP="00CE7357">
      <w:pPr>
        <w:spacing w:before="200" w:after="100"/>
      </w:pPr>
      <w:r>
        <w:rPr>
          <w:rFonts w:eastAsia="Arial"/>
          <w:b/>
          <w:bCs/>
          <w:color w:val="1B5E3B"/>
          <w:sz w:val="22"/>
          <w:szCs w:val="22"/>
        </w:rPr>
        <w:t>AFTER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E7357" w14:paraId="672A6967" w14:textId="77777777" w:rsidTr="0057627A">
        <w:tc>
          <w:tcPr>
            <w:tcW w:w="9026" w:type="dxa"/>
            <w:tcBorders>
              <w:top w:val="single" w:sz="2" w:space="0" w:color="1B7A3E"/>
              <w:left w:val="single" w:sz="2" w:space="0" w:color="1B7A3E"/>
              <w:bottom w:val="single" w:sz="2" w:space="0" w:color="1B7A3E"/>
              <w:right w:val="single" w:sz="2" w:space="0" w:color="1B7A3E"/>
            </w:tcBorders>
            <w:shd w:val="clear" w:color="auto" w:fill="E8F8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9659A6" w14:textId="77777777" w:rsidR="00CE7357" w:rsidRDefault="00CE7357" w:rsidP="0057627A">
            <w:pPr>
              <w:spacing w:after="60"/>
            </w:pPr>
            <w:r>
              <w:rPr>
                <w:rFonts w:eastAsia="Arial"/>
                <w:b/>
                <w:bCs/>
                <w:color w:val="1B7A3E"/>
              </w:rPr>
              <w:t>✅ AI 可引用的開場</w:t>
            </w:r>
          </w:p>
          <w:p w14:paraId="38F9EDF4" w14:textId="77777777" w:rsidR="00CE7357" w:rsidRDefault="00CE7357" w:rsidP="0057627A">
            <w:r>
              <w:rPr>
                <w:rFonts w:eastAsia="Arial"/>
                <w:color w:val="333333"/>
                <w:sz w:val="18"/>
                <w:szCs w:val="18"/>
              </w:rPr>
              <w:t>Indonesia delayed its B50 biodiesel mandate, Thailand advanced CBAM compliance, and Vietnam's draft NDC flagged $15B+ in climate investment needs. Here are the top ASEAN energy and carbon stories from Jan. 12-18, 2026.</w:t>
            </w:r>
          </w:p>
        </w:tc>
      </w:tr>
    </w:tbl>
    <w:p w14:paraId="611A845C" w14:textId="77777777" w:rsidR="00CE7357" w:rsidRDefault="00CE7357" w:rsidP="00CE7357">
      <w:pPr>
        <w:spacing w:after="60"/>
      </w:pPr>
    </w:p>
    <w:p w14:paraId="5154A57F" w14:textId="77777777" w:rsidR="00CE7357" w:rsidRDefault="00CE7357" w:rsidP="00CE7357">
      <w:pPr>
        <w:spacing w:after="120"/>
      </w:pPr>
      <w:r>
        <w:rPr>
          <w:rFonts w:eastAsia="Arial"/>
        </w:rPr>
        <w:t>改進：粗體開場句含 3 個具體、可引用的事實和數字。AI 可提取其中任何一個作為答案片段。</w:t>
      </w:r>
    </w:p>
    <w:p w14:paraId="375DDE71" w14:textId="77777777" w:rsidR="00CE7357" w:rsidRDefault="00CE7357" w:rsidP="00CE7357">
      <w:pPr>
        <w:spacing w:after="60"/>
      </w:pPr>
    </w:p>
    <w:p w14:paraId="272B5EB5" w14:textId="77777777" w:rsidR="00CE7357" w:rsidRDefault="00CE7357" w:rsidP="00CE7357">
      <w:pPr>
        <w:spacing w:after="120"/>
      </w:pPr>
      <w:r>
        <w:rPr>
          <w:rFonts w:eastAsia="Arial"/>
          <w:b/>
          <w:bCs/>
        </w:rPr>
        <w:t>在文章底部加入「Key Data Points」框：</w:t>
      </w:r>
    </w:p>
    <w:p w14:paraId="45DD0E6F" w14:textId="77777777" w:rsidR="00CE7357" w:rsidRDefault="00CE7357" w:rsidP="00CE7357">
      <w:pPr>
        <w:pStyle w:val="a4"/>
        <w:numPr>
          <w:ilvl w:val="0"/>
          <w:numId w:val="5"/>
        </w:numPr>
        <w:spacing w:after="60"/>
      </w:pPr>
      <w:r>
        <w:rPr>
          <w:rFonts w:eastAsia="Arial"/>
        </w:rPr>
        <w:t>Indonesia B50 delay: B40 maintained through 2026</w:t>
      </w:r>
    </w:p>
    <w:p w14:paraId="4C7F9981" w14:textId="77777777" w:rsidR="00CE7357" w:rsidRDefault="00CE7357" w:rsidP="00CE7357">
      <w:pPr>
        <w:pStyle w:val="a4"/>
        <w:numPr>
          <w:ilvl w:val="0"/>
          <w:numId w:val="5"/>
        </w:numPr>
        <w:spacing w:after="60"/>
      </w:pPr>
      <w:r>
        <w:rPr>
          <w:rFonts w:eastAsia="Arial"/>
        </w:rPr>
        <w:t>Thailand CBAM exposure: steel and aluminum sectors first impacted</w:t>
      </w:r>
    </w:p>
    <w:p w14:paraId="5630DA41" w14:textId="77777777" w:rsidR="00CE7357" w:rsidRDefault="00CE7357" w:rsidP="00CE7357">
      <w:pPr>
        <w:pStyle w:val="a4"/>
        <w:numPr>
          <w:ilvl w:val="0"/>
          <w:numId w:val="5"/>
        </w:numPr>
        <w:spacing w:after="60"/>
      </w:pPr>
      <w:r>
        <w:rPr>
          <w:rFonts w:eastAsia="Arial"/>
        </w:rPr>
        <w:t>Vietnam NDC financing: $15B+ estimated investment need</w:t>
      </w:r>
    </w:p>
    <w:p w14:paraId="2B31DB23" w14:textId="77777777" w:rsidR="00CE7357" w:rsidRDefault="00CE7357" w:rsidP="00CE7357">
      <w:pPr>
        <w:pStyle w:val="a4"/>
        <w:numPr>
          <w:ilvl w:val="0"/>
          <w:numId w:val="5"/>
        </w:numPr>
        <w:spacing w:after="60"/>
      </w:pPr>
      <w:r>
        <w:rPr>
          <w:rFonts w:eastAsia="Arial"/>
        </w:rPr>
        <w:t>Malaysia carbon tax: effective 2026, steel and energy sectors first</w:t>
      </w:r>
    </w:p>
    <w:p w14:paraId="5CFA6404" w14:textId="4DBBDAB4" w:rsidR="007E2431" w:rsidRDefault="00CE7357" w:rsidP="00CE7357">
      <w:r>
        <w:br w:type="page"/>
      </w:r>
    </w:p>
    <w:p w14:paraId="0CDBCFC3" w14:textId="77777777" w:rsidR="007E2431" w:rsidRDefault="00000000">
      <w:pPr>
        <w:pStyle w:val="1"/>
      </w:pPr>
      <w:r>
        <w:lastRenderedPageBreak/>
        <w:t>5. 發稿前快速檢查表</w:t>
      </w:r>
    </w:p>
    <w:p w14:paraId="67BE2B4D" w14:textId="77777777" w:rsidR="007E2431" w:rsidRDefault="007E2431">
      <w:pPr>
        <w:spacing w:after="60"/>
      </w:pPr>
    </w:p>
    <w:p w14:paraId="05902369" w14:textId="77777777" w:rsidR="007E2431" w:rsidRDefault="00000000">
      <w:pPr>
        <w:spacing w:before="200" w:after="100"/>
      </w:pPr>
      <w:r>
        <w:rPr>
          <w:rFonts w:eastAsia="Arial"/>
          <w:b/>
          <w:bCs/>
          <w:color w:val="1B5E3B"/>
          <w:sz w:val="22"/>
          <w:szCs w:val="22"/>
        </w:rPr>
        <w:t>SEO</w:t>
      </w:r>
    </w:p>
    <w:p w14:paraId="05AB1EFB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Title Tag &lt; 60 字元，主關鍵字在最前</w:t>
      </w:r>
    </w:p>
    <w:p w14:paraId="10D040A1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Meta Description 120-155 字元，含數據 + CTA</w:t>
      </w:r>
    </w:p>
    <w:p w14:paraId="204C11DE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H1 含主關鍵字，每頁僅一個</w:t>
      </w:r>
    </w:p>
    <w:p w14:paraId="21564007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至少 50% H2 用問題格式</w:t>
      </w:r>
    </w:p>
    <w:p w14:paraId="04E2FFDF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URL slug 3-5 字，含關鍵字，無拼寫錯誤</w:t>
      </w:r>
    </w:p>
    <w:p w14:paraId="137ED1C0" w14:textId="77777777" w:rsidR="007E2431" w:rsidRDefault="007E2431">
      <w:pPr>
        <w:spacing w:after="60"/>
      </w:pPr>
    </w:p>
    <w:p w14:paraId="03416E06" w14:textId="77777777" w:rsidR="007E2431" w:rsidRDefault="00000000">
      <w:pPr>
        <w:spacing w:before="200" w:after="100"/>
      </w:pPr>
      <w:r>
        <w:rPr>
          <w:rFonts w:eastAsia="Arial"/>
          <w:b/>
          <w:bCs/>
          <w:color w:val="1B5E3B"/>
          <w:sz w:val="22"/>
          <w:szCs w:val="22"/>
        </w:rPr>
        <w:t>AEO</w:t>
      </w:r>
    </w:p>
    <w:p w14:paraId="0026834C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H1 後前 40 字含直接答案</w:t>
      </w:r>
    </w:p>
    <w:p w14:paraId="6087A70B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Key Takeaways 摘要框在最前面</w:t>
      </w:r>
    </w:p>
    <w:p w14:paraId="4F2036D1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每 150-200 字一個統計數據</w:t>
      </w:r>
    </w:p>
    <w:p w14:paraId="21E3DA1A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至少一個比較表格</w:t>
      </w:r>
    </w:p>
    <w:p w14:paraId="3D32D9AF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底部 FAQ（3+ 題）</w:t>
      </w:r>
    </w:p>
    <w:p w14:paraId="62D5D7ED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dateModified 已更新</w:t>
      </w:r>
    </w:p>
    <w:p w14:paraId="40C998A2" w14:textId="77777777" w:rsidR="007E2431" w:rsidRDefault="007E2431">
      <w:pPr>
        <w:spacing w:after="60"/>
      </w:pPr>
    </w:p>
    <w:p w14:paraId="10F14A28" w14:textId="77777777" w:rsidR="007E2431" w:rsidRDefault="00000000">
      <w:pPr>
        <w:spacing w:before="200" w:after="100"/>
      </w:pPr>
      <w:r>
        <w:rPr>
          <w:rFonts w:eastAsia="Arial"/>
          <w:b/>
          <w:bCs/>
          <w:color w:val="1B5E3B"/>
          <w:sz w:val="22"/>
          <w:szCs w:val="22"/>
        </w:rPr>
        <w:t>內部連結</w:t>
      </w:r>
    </w:p>
    <w:p w14:paraId="13B6A911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至少 1 個連結到母 Hub 支柱頁</w:t>
      </w:r>
    </w:p>
    <w:p w14:paraId="61809E0E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至少 1 個連結到同 Hub 兄弟輻條</w:t>
      </w:r>
    </w:p>
    <w:p w14:paraId="1E3C77B9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至少 1 個連結到 Reccpedia</w:t>
      </w:r>
    </w:p>
    <w:p w14:paraId="10C9B89F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錨文字是描述性關鍵字</w:t>
      </w:r>
    </w:p>
    <w:p w14:paraId="3A000001" w14:textId="77777777" w:rsidR="007E2431" w:rsidRDefault="007E2431">
      <w:pPr>
        <w:spacing w:after="60"/>
      </w:pPr>
    </w:p>
    <w:p w14:paraId="3A000002" w14:textId="77777777" w:rsidR="007E2431" w:rsidRDefault="00000000">
      <w:pPr>
        <w:pStyle w:val="1"/>
      </w:pPr>
      <w:r>
        <w:t>6. Paywall 上方內容結構優化（SEO + AEO）</w:t>
      </w:r>
    </w:p>
    <w:p w14:paraId="3A000003" w14:textId="77777777" w:rsidR="007E2431" w:rsidRDefault="00000000">
      <w:pPr>
        <w:spacing w:after="120"/>
      </w:pPr>
      <w:r>
        <w:rPr>
          <w:rFonts w:eastAsia="Arial"/>
          <w:i/>
          <w:iCs/>
        </w:rPr>
        <w:t>RECCESSARY 的付費文章在「This is exclusive content for subscribed members.」之上的免費可見區域，是搜尋引擎、AI 模型和讀者的第一接觸點。這個區域必須同時滿足三個目標：提供足夠的 SEO 信號、讓 AI 可擷取的結構化答案、以及足夠的價值感來驅動訂閱轉換。</w:t>
      </w:r>
    </w:p>
    <w:p w14:paraId="3A000004" w14:textId="77777777" w:rsidR="007E2431" w:rsidRDefault="007E2431">
      <w:pPr>
        <w:spacing w:after="60"/>
      </w:pPr>
    </w:p>
    <w:p w14:paraId="3A000005" w14:textId="77777777" w:rsidR="007E2431" w:rsidRDefault="00000000">
      <w:pPr>
        <w:pStyle w:val="2"/>
      </w:pPr>
      <w:r>
        <w:t>6.1 為什麼 Paywall 上方內容對 SEO/AEO 至關重要？</w:t>
      </w:r>
    </w:p>
    <w:p w14:paraId="3A000006" w14:textId="77777777" w:rsidR="007E2431" w:rsidRDefault="00000000">
      <w:pPr>
        <w:spacing w:after="120"/>
      </w:pPr>
      <w:r>
        <w:rPr>
          <w:rFonts w:eastAsia="Arial"/>
        </w:rPr>
        <w:t>Google 和 AI 模型（ChatGPT、Perplexity、Google AI Overviews）在爬取付費內容時，只能看到 paywall 上方的免費區域。這意味著：</w:t>
      </w:r>
    </w:p>
    <w:p w14:paraId="3A000007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b/>
          <w:bCs/>
        </w:rPr>
        <w:t>SEO 排名依據：</w:t>
      </w:r>
      <w:r>
        <w:rPr>
          <w:rFonts w:eastAsia="Arial"/>
        </w:rPr>
        <w:t>Google 會根據可爬取內容判斷頁面相關性。如果 paywall 上方只有一段模糊的導言，總體關鍵字密度和語義覆蓋率將大幅下降。</w:t>
      </w:r>
    </w:p>
    <w:p w14:paraId="3A000008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b/>
          <w:bCs/>
        </w:rPr>
        <w:t>AI 引用來源：</w:t>
      </w:r>
      <w:r>
        <w:rPr>
          <w:rFonts w:eastAsia="Arial"/>
        </w:rPr>
        <w:t>AI 模型只能擷取它能讀到的內容。如果第一可見段落沒有直接答案和數據，AI 將跳過你的文章，改引用競爭對手的免費內容。</w:t>
      </w:r>
    </w:p>
    <w:p w14:paraId="3A000009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b/>
          <w:bCs/>
        </w:rPr>
        <w:t>訂閱轉換引擎：</w:t>
      </w:r>
      <w:r>
        <w:rPr>
          <w:rFonts w:eastAsia="Arial"/>
        </w:rPr>
        <w:t>讀者必須在免費區域就感受到「這篇內容很有價值，我想看完整版」，才會點擊訂閱。</w:t>
      </w:r>
    </w:p>
    <w:p w14:paraId="3A000010" w14:textId="77777777" w:rsidR="007E2431" w:rsidRDefault="007E2431">
      <w:pPr>
        <w:spacing w:after="60"/>
      </w:pPr>
    </w:p>
    <w:p w14:paraId="3A000011" w14:textId="77777777" w:rsidR="007E2431" w:rsidRDefault="00000000">
      <w:pPr>
        <w:pStyle w:val="2"/>
      </w:pPr>
      <w:r>
        <w:t>6.2 Paywall 上方內容結構模板（建議標準）</w:t>
      </w:r>
    </w:p>
    <w:p w14:paraId="3A000012" w14:textId="77777777" w:rsidR="007E2431" w:rsidRDefault="00000000">
      <w:pPr>
        <w:spacing w:after="120"/>
      </w:pPr>
      <w:r>
        <w:rPr>
          <w:rFonts w:eastAsia="Arial"/>
        </w:rPr>
        <w:t>以下是建議的 paywall 上方內容區塊，依由上而下的順序排列：</w:t>
      </w:r>
    </w:p>
    <w:p w14:paraId="3A000013" w14:textId="77777777" w:rsidR="007E2431" w:rsidRDefault="007E2431">
      <w:pPr>
        <w:spacing w:after="60"/>
      </w:pPr>
    </w:p>
    <w:p w14:paraId="3A000014" w14:textId="77777777" w:rsidR="007E2431" w:rsidRDefault="00000000">
      <w:pPr>
        <w:spacing w:before="100" w:after="60"/>
      </w:pPr>
      <w:r>
        <w:rPr>
          <w:rFonts w:eastAsia="Arial"/>
          <w:b/>
          <w:bCs/>
          <w:color w:val="1B5E3B"/>
          <w:sz w:val="22"/>
          <w:szCs w:val="22"/>
        </w:rPr>
        <w:t>① H1 標題（Title Tag）</w:t>
      </w:r>
    </w:p>
    <w:p w14:paraId="3A000015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主關鍵字置前，60 字元內，用問題格式或陳述句式</w:t>
      </w:r>
    </w:p>
    <w:p w14:paraId="3A000016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範例：「Execution over incentives: Thailand and Vietnam’s structural investment shift」</w:t>
      </w:r>
    </w:p>
    <w:p w14:paraId="3A000017" w14:textId="77777777" w:rsidR="007E2431" w:rsidRDefault="007E2431">
      <w:pPr>
        <w:spacing w:after="60"/>
      </w:pPr>
    </w:p>
    <w:p w14:paraId="3A000018" w14:textId="77777777" w:rsidR="007E2431" w:rsidRDefault="00000000">
      <w:pPr>
        <w:spacing w:before="100" w:after="60"/>
      </w:pPr>
      <w:r>
        <w:rPr>
          <w:rFonts w:eastAsia="Arial"/>
          <w:b/>
          <w:bCs/>
          <w:color w:val="1B5E3B"/>
          <w:sz w:val="22"/>
          <w:szCs w:val="22"/>
        </w:rPr>
        <w:t>② 作者 / 分類 / 日期（網站自動產生）</w:t>
      </w:r>
    </w:p>
    <w:p w14:paraId="3A000019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確保作者名稱可點擊連結到作者頁（已支援 E-E-A-T）</w:t>
      </w:r>
    </w:p>
    <w:p w14:paraId="3A000020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datePublished 和 dateModified 的 schema 標記應正確輸出</w:t>
      </w:r>
    </w:p>
    <w:p w14:paraId="3A000021" w14:textId="77777777" w:rsidR="007E2431" w:rsidRDefault="007E2431">
      <w:pPr>
        <w:spacing w:after="60"/>
      </w:pPr>
    </w:p>
    <w:p w14:paraId="3A000022" w14:textId="77777777" w:rsidR="007E2431" w:rsidRDefault="00000000">
      <w:pPr>
        <w:spacing w:before="100" w:after="60"/>
      </w:pPr>
      <w:r>
        <w:rPr>
          <w:rFonts w:eastAsia="Arial"/>
          <w:b/>
          <w:bCs/>
          <w:color w:val="1B5E3B"/>
          <w:sz w:val="22"/>
          <w:szCs w:val="22"/>
        </w:rPr>
        <w:t>③ 主圖（Hero Image）+ 圖說</w:t>
      </w:r>
    </w:p>
    <w:p w14:paraId="3A000023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圖說（caption / alt text）必須含主關鍵字，並以問題句式引導讀者</w:t>
      </w:r>
    </w:p>
    <w:p w14:paraId="3A000024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範例：「Are structural factors, rather than incentives, now defining the Thailand–Vietnam investment divide?」</w:t>
      </w:r>
    </w:p>
    <w:p w14:paraId="3A000025" w14:textId="77777777" w:rsidR="007E2431" w:rsidRDefault="007E2431">
      <w:pPr>
        <w:spacing w:after="60"/>
      </w:pPr>
    </w:p>
    <w:p w14:paraId="3A000026" w14:textId="77777777" w:rsidR="007E2431" w:rsidRDefault="00000000">
      <w:pPr>
        <w:spacing w:before="100" w:after="60"/>
      </w:pPr>
      <w:r>
        <w:rPr>
          <w:rFonts w:eastAsia="Arial"/>
          <w:b/>
          <w:bCs/>
          <w:color w:val="1B5E3B"/>
          <w:sz w:val="22"/>
          <w:szCs w:val="22"/>
        </w:rPr>
        <w:t>④ 「即時答案」開場段落（★ 最關鍵）</w:t>
      </w:r>
    </w:p>
    <w:p w14:paraId="3A000027" w14:textId="77777777" w:rsidR="007E2431" w:rsidRDefault="00000000">
      <w:pPr>
        <w:spacing w:after="80"/>
      </w:pPr>
      <w:r>
        <w:rPr>
          <w:rFonts w:eastAsia="Arial"/>
        </w:rPr>
        <w:t>這是整個 paywall 上方區域最重要的區塊。目前的寫法通常只有一句模糊的情境式導言，必須改為：</w:t>
      </w:r>
    </w:p>
    <w:p w14:paraId="3A000028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b/>
          <w:bCs/>
        </w:rPr>
        <w:t>前 2-3 句（40-60 字元內）就給出文章核心答案，</w:t>
      </w:r>
      <w:r>
        <w:rPr>
          <w:rFonts w:eastAsia="Arial"/>
        </w:rPr>
        <w:t>讓 AI 可直接擷取為答案片段（answer snippet）</w:t>
      </w:r>
    </w:p>
    <w:p w14:paraId="3A000029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b/>
          <w:bCs/>
        </w:rPr>
        <w:t>至少含 1 個統計數據或具體事實，</w:t>
      </w:r>
      <w:r>
        <w:rPr>
          <w:rFonts w:eastAsia="Arial"/>
        </w:rPr>
        <w:t>提高 AI 引用的機率（含數據內容引用率高 41%）</w:t>
      </w:r>
    </w:p>
    <w:p w14:paraId="3A000030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b/>
          <w:bCs/>
        </w:rPr>
        <w:t>自然嵌入主關鍵字和相關詞，</w:t>
      </w:r>
      <w:r>
        <w:rPr>
          <w:rFonts w:eastAsia="Arial"/>
        </w:rPr>
        <w:t>確保 Google 可判斷頁面相關性</w:t>
      </w:r>
    </w:p>
    <w:p w14:paraId="3A000031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b/>
          <w:bCs/>
        </w:rPr>
        <w:t>提供情境脈絡，</w:t>
      </w:r>
      <w:r>
        <w:rPr>
          <w:rFonts w:eastAsia="Arial"/>
        </w:rPr>
        <w:t>讓讀者立即理解「這篇文章在談什麼」並產生繼續閱讀的動機</w:t>
      </w:r>
    </w:p>
    <w:p w14:paraId="3A000032" w14:textId="77777777" w:rsidR="007E2431" w:rsidRDefault="007E2431">
      <w:pPr>
        <w:spacing w:after="60"/>
      </w:pPr>
    </w:p>
    <w:p w14:paraId="3A000033" w14:textId="77777777" w:rsidR="007E2431" w:rsidRDefault="00000000">
      <w:pPr>
        <w:spacing w:before="100" w:after="60"/>
      </w:pPr>
      <w:r>
        <w:rPr>
          <w:rFonts w:eastAsia="Arial"/>
          <w:b/>
          <w:bCs/>
          <w:color w:val="1B5E3B"/>
          <w:sz w:val="22"/>
          <w:szCs w:val="22"/>
        </w:rPr>
        <w:t>⑤ Key Takeaways 摘要框（★ 重要）</w:t>
      </w:r>
    </w:p>
    <w:p w14:paraId="3A000034" w14:textId="77777777" w:rsidR="007E2431" w:rsidRDefault="00000000">
      <w:pPr>
        <w:spacing w:after="80"/>
      </w:pPr>
      <w:r>
        <w:rPr>
          <w:rFonts w:eastAsia="Arial"/>
        </w:rPr>
        <w:t>目前網站已有「Unlock the full article to explore three key takeaways」的結構，這個框架很好，但需要優化：</w:t>
      </w:r>
    </w:p>
    <w:p w14:paraId="3A000035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每條 takeaway 必須含具體數據或事實，不能只是模糊的趨勢描述</w:t>
      </w:r>
    </w:p>
    <w:p w14:paraId="3A000036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用「結論先行」的寫法：先說結果，再提示完整分析在文中</w:t>
      </w:r>
    </w:p>
    <w:p w14:paraId="3A000037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3-5 條最佳，每條 1-2 句，可被 AI 模型直接擷取為列點式答案</w:t>
      </w:r>
    </w:p>
    <w:p w14:paraId="3A000038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每條都應獨立有意義（不需要閱讀全文就能理解），同時製造「想知道更多」的懸念</w:t>
      </w:r>
    </w:p>
    <w:p w14:paraId="3A000039" w14:textId="77777777" w:rsidR="007E2431" w:rsidRDefault="007E2431">
      <w:pPr>
        <w:spacing w:after="60"/>
      </w:pPr>
    </w:p>
    <w:p w14:paraId="3A000040" w14:textId="77777777" w:rsidR="007E2431" w:rsidRDefault="00000000">
      <w:pPr>
        <w:spacing w:before="100" w:after="60"/>
      </w:pPr>
      <w:r>
        <w:rPr>
          <w:rFonts w:eastAsia="Arial"/>
          <w:b/>
          <w:bCs/>
          <w:color w:val="1B5E3B"/>
          <w:sz w:val="22"/>
          <w:szCs w:val="22"/>
        </w:rPr>
        <w:t>⑥ 訂閱 CTA 區塊（Paywall 線）</w:t>
      </w:r>
    </w:p>
    <w:p w14:paraId="3A000041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「This is exclusive content for subscribed members.」</w:t>
      </w:r>
    </w:p>
    <w:p w14:paraId="3A000042" w14:textId="77777777" w:rsidR="007E2431" w:rsidRDefault="007E2431">
      <w:pPr>
        <w:spacing w:after="60"/>
      </w:pPr>
    </w:p>
    <w:p w14:paraId="3A000043" w14:textId="77777777" w:rsidR="007E2431" w:rsidRDefault="00000000">
      <w:pPr>
        <w:pStyle w:val="2"/>
      </w:pPr>
      <w:r>
        <w:t>6.3 實際案例：Paywall 上方內容改造（BEFORE vs AFTER）</w:t>
      </w:r>
    </w:p>
    <w:p w14:paraId="3A000044" w14:textId="77777777" w:rsidR="007E2431" w:rsidRDefault="00000000">
      <w:pPr>
        <w:spacing w:after="100"/>
      </w:pPr>
      <w:r>
        <w:rPr>
          <w:rFonts w:eastAsia="Arial"/>
        </w:rPr>
        <w:t>以 /en/news/vietnam-thailand-investment-expert 為例：</w:t>
      </w:r>
    </w:p>
    <w:p w14:paraId="3A000045" w14:textId="77777777" w:rsidR="007E2431" w:rsidRDefault="007E2431">
      <w:pPr>
        <w:spacing w:after="60"/>
      </w:pPr>
    </w:p>
    <w:p w14:paraId="3A000046" w14:textId="77777777" w:rsidR="007E2431" w:rsidRDefault="00000000">
      <w:pPr>
        <w:spacing w:before="100" w:after="60"/>
      </w:pPr>
      <w:r>
        <w:rPr>
          <w:rFonts w:eastAsia="Arial"/>
          <w:b/>
          <w:bCs/>
          <w:color w:val="C0392B"/>
        </w:rPr>
        <w:lastRenderedPageBreak/>
        <w:t>BEFORE（目前寫法）</w:t>
      </w:r>
    </w:p>
    <w:p w14:paraId="3A000047" w14:textId="77777777" w:rsidR="007E2431" w:rsidRDefault="00000000">
      <w:pPr>
        <w:pBdr>
          <w:left w:val="single" w:sz="12" w:space="8" w:color="CCCCCC"/>
        </w:pBdr>
        <w:spacing w:after="80"/>
      </w:pPr>
      <w:r>
        <w:rPr>
          <w:rFonts w:eastAsia="Arial"/>
          <w:i/>
          <w:iCs/>
        </w:rPr>
        <w:t>「To better understand how companies are navigating a more demanding investment environment, RECCESSARY spoke with advisors in Vietnam and Thailand about emerging constraints, evolving risk strategies, and where opportunities remain.」</w:t>
      </w:r>
    </w:p>
    <w:p w14:paraId="3A000048" w14:textId="77777777" w:rsidR="007E2431" w:rsidRDefault="00000000">
      <w:pPr>
        <w:spacing w:after="80"/>
      </w:pPr>
      <w:r>
        <w:rPr>
          <w:rFonts w:eastAsia="Arial"/>
          <w:color w:val="C0392B"/>
        </w:rPr>
        <w:t>問題：整段導言零數據、零關鍵字密度，AI 無法擷取任何可用的答案片段。Google 也無法判斷文章具體的內容辨識度。</w:t>
      </w:r>
    </w:p>
    <w:p w14:paraId="3A000049" w14:textId="77777777" w:rsidR="007E2431" w:rsidRDefault="007E2431">
      <w:pPr>
        <w:spacing w:after="60"/>
      </w:pPr>
    </w:p>
    <w:p w14:paraId="3A000050" w14:textId="77777777" w:rsidR="007E2431" w:rsidRDefault="00000000">
      <w:pPr>
        <w:spacing w:before="100" w:after="60"/>
      </w:pPr>
      <w:r>
        <w:rPr>
          <w:rFonts w:eastAsia="Arial"/>
          <w:b/>
          <w:bCs/>
          <w:color w:val="1B5E3B"/>
        </w:rPr>
        <w:t>AFTER（優化寫法）</w:t>
      </w:r>
    </w:p>
    <w:p w14:paraId="3A000051" w14:textId="77777777" w:rsidR="007E2431" w:rsidRDefault="00000000">
      <w:pPr>
        <w:pBdr>
          <w:left w:val="single" w:sz="12" w:space="8" w:color="1B5E3B"/>
        </w:pBdr>
        <w:spacing w:after="60"/>
      </w:pPr>
      <w:r>
        <w:rPr>
          <w:rFonts w:eastAsia="Arial"/>
          <w:b/>
          <w:bCs/>
        </w:rPr>
        <w:t>Thailand and Vietnam are entering a new phase of foreign investment competition where execution capacity—not tax incentives—is becoming the deciding factor.</w:t>
      </w:r>
      <w:r>
        <w:rPr>
          <w:rFonts w:eastAsia="Arial"/>
        </w:rPr>
        <w:t xml:space="preserve"> According to advisors interviewed by RECCESSARY, investors are now prioritizing infrastructure reliability, regulatory predictability, and ESG readiness over traditional cost advantages. Vietnam’s manufacturing wages rose 6–8% annually in 2024–2025, while Thailand faces growing shortages of skilled labor in high-value manufacturing.</w:t>
      </w:r>
    </w:p>
    <w:p w14:paraId="3A000052" w14:textId="77777777" w:rsidR="007E2431" w:rsidRDefault="007E2431">
      <w:pPr>
        <w:spacing w:after="60"/>
      </w:pPr>
    </w:p>
    <w:p w14:paraId="3A000053" w14:textId="77777777" w:rsidR="007E2431" w:rsidRDefault="00000000">
      <w:pPr>
        <w:spacing w:after="80"/>
      </w:pPr>
      <w:r>
        <w:rPr>
          <w:rFonts w:eastAsia="Arial"/>
          <w:color w:val="1B5E3B"/>
        </w:rPr>
        <w:t>為什麼這個版本更好：</w:t>
      </w:r>
    </w:p>
    <w:p w14:paraId="3A000054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第一句粗體定義僅 23 字——AI 可直接擷取為答案片段</w:t>
      </w:r>
    </w:p>
    <w:p w14:paraId="3A000055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含具體數據（6–8% 工資漲幅）——提高 AI 引用率</w:t>
      </w:r>
    </w:p>
    <w:p w14:paraId="3A000056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自然嵌入關鍵字（Thailand, Vietnam, investment, ESG readiness, manufacturing）——強化 SEO 相關性</w:t>
      </w:r>
    </w:p>
    <w:p w14:paraId="3A000057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讀者看完會想知道「具體是哪些執行能力？」——驅動訂閱</w:t>
      </w:r>
    </w:p>
    <w:p w14:paraId="3A000058" w14:textId="77777777" w:rsidR="007E2431" w:rsidRDefault="007E2431">
      <w:pPr>
        <w:spacing w:after="60"/>
      </w:pPr>
    </w:p>
    <w:p w14:paraId="3A000059" w14:textId="77777777" w:rsidR="007E2431" w:rsidRDefault="00000000">
      <w:pPr>
        <w:pStyle w:val="2"/>
      </w:pPr>
      <w:r>
        <w:t>6.4 編輯團隊執行流程與詳述</w:t>
      </w:r>
    </w:p>
    <w:p w14:paraId="3A000060" w14:textId="77777777" w:rsidR="007E2431" w:rsidRDefault="00000000">
      <w:pPr>
        <w:spacing w:after="120"/>
      </w:pPr>
      <w:r>
        <w:rPr>
          <w:rFonts w:eastAsia="Arial"/>
        </w:rPr>
        <w:t>以下是編輯團隊在每篇付費文章發稿前應執行的具體步驟：</w:t>
      </w:r>
    </w:p>
    <w:p w14:paraId="3A000061" w14:textId="77777777" w:rsidR="007E2431" w:rsidRDefault="007E2431">
      <w:pPr>
        <w:spacing w:after="60"/>
      </w:pPr>
    </w:p>
    <w:p w14:paraId="3A000062" w14:textId="77777777" w:rsidR="007E2431" w:rsidRDefault="00000000">
      <w:pPr>
        <w:spacing w:before="100" w:after="60"/>
      </w:pPr>
      <w:r>
        <w:rPr>
          <w:rFonts w:eastAsia="Arial"/>
          <w:b/>
          <w:bCs/>
          <w:color w:val="1B5E3B"/>
          <w:sz w:val="22"/>
          <w:szCs w:val="22"/>
        </w:rPr>
        <w:t>Step 1：撰寫「即時答案」開場段落</w:t>
      </w:r>
    </w:p>
    <w:p w14:paraId="3A000063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完成全文寫作後，回頭寫開場段。問自己：「如果讀者只能看到這一段，他能得到什麼核心答案？」</w:t>
      </w:r>
    </w:p>
    <w:p w14:paraId="3A000064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第一句粗體，40-60 字元內，直接回答標題問題</w:t>
      </w:r>
    </w:p>
    <w:p w14:paraId="3A000065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第二句起補充具體數據或來源（如「According to advisors interviewed by RECCESSARY」）</w:t>
      </w:r>
    </w:p>
    <w:p w14:paraId="3A000066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確保自然嵌入主關鍵字和相關詞，但不能甍塞（keyword stuffing）</w:t>
      </w:r>
    </w:p>
    <w:p w14:paraId="3A000067" w14:textId="77777777" w:rsidR="007E2431" w:rsidRDefault="007E2431">
      <w:pPr>
        <w:spacing w:after="60"/>
      </w:pPr>
    </w:p>
    <w:p w14:paraId="3A000068" w14:textId="77777777" w:rsidR="007E2431" w:rsidRDefault="00000000">
      <w:pPr>
        <w:spacing w:before="100" w:after="60"/>
      </w:pPr>
      <w:r>
        <w:rPr>
          <w:rFonts w:eastAsia="Arial"/>
          <w:b/>
          <w:bCs/>
          <w:color w:val="1B5E3B"/>
          <w:sz w:val="22"/>
          <w:szCs w:val="22"/>
        </w:rPr>
        <w:t>Step 2：撰寫 Key Takeaways</w:t>
      </w:r>
    </w:p>
    <w:p w14:paraId="3A000069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從全文中提取 3-5 個最重要的結論，每個 1-2 句</w:t>
      </w:r>
    </w:p>
    <w:p w14:paraId="3A000070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每條必須含至少一個具體數據或事實（如「6–8% annual wage growth」、「$15B+ investment needs」）</w:t>
      </w:r>
    </w:p>
    <w:p w14:paraId="3A000071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使用「Unlock the full article to explore key takeaways:」作為框架引導語</w:t>
      </w:r>
    </w:p>
    <w:p w14:paraId="3A000072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「結論先行」——先說結果，再提示完整分析在文中，製造「想知道更多」的懸念</w:t>
      </w:r>
    </w:p>
    <w:p w14:paraId="3A000073" w14:textId="77777777" w:rsidR="007E2431" w:rsidRDefault="007E2431">
      <w:pPr>
        <w:spacing w:after="60"/>
      </w:pPr>
    </w:p>
    <w:p w14:paraId="3A000074" w14:textId="77777777" w:rsidR="007E2431" w:rsidRDefault="00000000">
      <w:pPr>
        <w:spacing w:before="100" w:after="60"/>
      </w:pPr>
      <w:r>
        <w:rPr>
          <w:rFonts w:eastAsia="Arial"/>
          <w:b/>
          <w:bCs/>
          <w:color w:val="1B5E3B"/>
          <w:sz w:val="22"/>
          <w:szCs w:val="22"/>
        </w:rPr>
        <w:t>Step 3：交叉檢查</w:t>
      </w:r>
    </w:p>
    <w:p w14:paraId="3A000075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將 paywall 上方內容單獨貼到空白頁面閱讀，問自己：「只看這些內容，我能知道文章在談什麼嗎？」</w:t>
      </w:r>
    </w:p>
    <w:p w14:paraId="3A000076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檢查主關鍵字是否自然出現在開場段落中（不需要每句都有，但前 3 句內至少出現一次）</w:t>
      </w:r>
    </w:p>
    <w:p w14:paraId="3A000077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lastRenderedPageBreak/>
        <w:t>確認 Key Takeaways 每條都含具體數據，不是模糊描述</w:t>
      </w:r>
    </w:p>
    <w:p w14:paraId="3A000078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用 ChatGPT 或 Perplexity 測試：輸入文章相關問題，看 AI 是否會引用你的開場內容</w:t>
      </w:r>
    </w:p>
    <w:p w14:paraId="3A000079" w14:textId="77777777" w:rsidR="007E2431" w:rsidRDefault="007E2431">
      <w:pPr>
        <w:spacing w:after="60"/>
      </w:pPr>
    </w:p>
    <w:p w14:paraId="3A000080" w14:textId="77777777" w:rsidR="007E2431" w:rsidRDefault="00000000">
      <w:pPr>
        <w:pStyle w:val="2"/>
      </w:pPr>
      <w:r>
        <w:t>6.5 Paywall 上方內容快速檢查表</w:t>
      </w:r>
    </w:p>
    <w:p w14:paraId="3A000081" w14:textId="77777777" w:rsidR="007E2431" w:rsidRDefault="007E2431">
      <w:pPr>
        <w:spacing w:after="60"/>
      </w:pPr>
    </w:p>
    <w:p w14:paraId="3A000082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開場段落前 2-3 句含直接答案（40-60 字元）</w:t>
      </w:r>
    </w:p>
    <w:p w14:paraId="3A000083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開場段落含至少 1 個具體數據或事實</w:t>
      </w:r>
    </w:p>
    <w:p w14:paraId="3A000084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主關鍵字在前 3 句內自然出現</w:t>
      </w:r>
    </w:p>
    <w:p w14:paraId="3A000085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Key Takeaways 每條含具體數據（不是模糊趨勢描述）</w:t>
      </w:r>
    </w:p>
    <w:p w14:paraId="3A000086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Key Takeaways 3-5 條，每條 1-2 句</w:t>
      </w:r>
    </w:p>
    <w:p w14:paraId="3A000087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圖說（alt text）含主關鍵字</w:t>
      </w:r>
    </w:p>
    <w:p w14:paraId="3A000088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作者連結指向作者頁（E-E-A-T）</w:t>
      </w:r>
    </w:p>
    <w:p w14:paraId="3A000089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Paywall 上方可見內容在 150-250 字之間（不含標題）</w:t>
      </w:r>
    </w:p>
    <w:p w14:paraId="3A000090" w14:textId="77777777" w:rsidR="007E2431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用 ChatGPT / Perplexity 測試相關問題，確認 AI 可引用開場內容</w:t>
      </w:r>
    </w:p>
    <w:p w14:paraId="3A000091" w14:textId="77777777" w:rsidR="007E2431" w:rsidRDefault="007E2431">
      <w:pPr>
        <w:spacing w:after="60"/>
      </w:pPr>
    </w:p>
    <w:sectPr w:rsidR="007E243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99993" w14:textId="77777777" w:rsidR="00712CB9" w:rsidRDefault="00712CB9">
      <w:r>
        <w:separator/>
      </w:r>
    </w:p>
  </w:endnote>
  <w:endnote w:type="continuationSeparator" w:id="0">
    <w:p w14:paraId="48B69188" w14:textId="77777777" w:rsidR="00712CB9" w:rsidRDefault="00712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630D6" w14:textId="77777777" w:rsidR="007E2431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D02437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1320C" w14:textId="77777777" w:rsidR="00712CB9" w:rsidRDefault="00712CB9">
      <w:r>
        <w:separator/>
      </w:r>
    </w:p>
  </w:footnote>
  <w:footnote w:type="continuationSeparator" w:id="0">
    <w:p w14:paraId="7E9AB122" w14:textId="77777777" w:rsidR="00712CB9" w:rsidRDefault="00712C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0C200" w14:textId="77777777" w:rsidR="007E2431" w:rsidRDefault="00000000">
    <w:pPr>
      <w:jc w:val="right"/>
    </w:pPr>
    <w:r>
      <w:rPr>
        <w:rFonts w:eastAsia="Arial"/>
        <w:color w:val="999999"/>
        <w:sz w:val="16"/>
        <w:szCs w:val="16"/>
      </w:rPr>
      <w:t>RECCESSARY SEO/AEO 手冊（編輯版·修正）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54A5B"/>
    <w:multiLevelType w:val="hybridMultilevel"/>
    <w:tmpl w:val="6FEE9E74"/>
    <w:lvl w:ilvl="0" w:tplc="7586F11C">
      <w:start w:val="1"/>
      <w:numFmt w:val="decimal"/>
      <w:lvlText w:val="%1."/>
      <w:lvlJc w:val="left"/>
      <w:pPr>
        <w:ind w:left="720" w:hanging="360"/>
      </w:pPr>
    </w:lvl>
    <w:lvl w:ilvl="1" w:tplc="44083C80">
      <w:numFmt w:val="decimal"/>
      <w:lvlText w:val=""/>
      <w:lvlJc w:val="left"/>
    </w:lvl>
    <w:lvl w:ilvl="2" w:tplc="6226CF78">
      <w:numFmt w:val="decimal"/>
      <w:lvlText w:val=""/>
      <w:lvlJc w:val="left"/>
    </w:lvl>
    <w:lvl w:ilvl="3" w:tplc="C31A6A08">
      <w:numFmt w:val="decimal"/>
      <w:lvlText w:val=""/>
      <w:lvlJc w:val="left"/>
    </w:lvl>
    <w:lvl w:ilvl="4" w:tplc="544E86F4">
      <w:numFmt w:val="decimal"/>
      <w:lvlText w:val=""/>
      <w:lvlJc w:val="left"/>
    </w:lvl>
    <w:lvl w:ilvl="5" w:tplc="CB8AF20A">
      <w:numFmt w:val="decimal"/>
      <w:lvlText w:val=""/>
      <w:lvlJc w:val="left"/>
    </w:lvl>
    <w:lvl w:ilvl="6" w:tplc="320AEF9A">
      <w:numFmt w:val="decimal"/>
      <w:lvlText w:val=""/>
      <w:lvlJc w:val="left"/>
    </w:lvl>
    <w:lvl w:ilvl="7" w:tplc="768A03B0">
      <w:numFmt w:val="decimal"/>
      <w:lvlText w:val=""/>
      <w:lvlJc w:val="left"/>
    </w:lvl>
    <w:lvl w:ilvl="8" w:tplc="BF606098">
      <w:numFmt w:val="decimal"/>
      <w:lvlText w:val=""/>
      <w:lvlJc w:val="left"/>
    </w:lvl>
  </w:abstractNum>
  <w:abstractNum w:abstractNumId="1" w15:restartNumberingAfterBreak="0">
    <w:nsid w:val="29D63CCC"/>
    <w:multiLevelType w:val="hybridMultilevel"/>
    <w:tmpl w:val="5BD43A98"/>
    <w:lvl w:ilvl="0" w:tplc="58A064AA">
      <w:start w:val="1"/>
      <w:numFmt w:val="decimal"/>
      <w:lvlText w:val="%1."/>
      <w:lvlJc w:val="left"/>
      <w:pPr>
        <w:ind w:left="720" w:hanging="360"/>
      </w:pPr>
    </w:lvl>
    <w:lvl w:ilvl="1" w:tplc="4FBEAD62">
      <w:numFmt w:val="decimal"/>
      <w:lvlText w:val=""/>
      <w:lvlJc w:val="left"/>
    </w:lvl>
    <w:lvl w:ilvl="2" w:tplc="FE2A513E">
      <w:numFmt w:val="decimal"/>
      <w:lvlText w:val=""/>
      <w:lvlJc w:val="left"/>
    </w:lvl>
    <w:lvl w:ilvl="3" w:tplc="1412556C">
      <w:numFmt w:val="decimal"/>
      <w:lvlText w:val=""/>
      <w:lvlJc w:val="left"/>
    </w:lvl>
    <w:lvl w:ilvl="4" w:tplc="989C03D2">
      <w:numFmt w:val="decimal"/>
      <w:lvlText w:val=""/>
      <w:lvlJc w:val="left"/>
    </w:lvl>
    <w:lvl w:ilvl="5" w:tplc="FC12D47E">
      <w:numFmt w:val="decimal"/>
      <w:lvlText w:val=""/>
      <w:lvlJc w:val="left"/>
    </w:lvl>
    <w:lvl w:ilvl="6" w:tplc="9F782512">
      <w:numFmt w:val="decimal"/>
      <w:lvlText w:val=""/>
      <w:lvlJc w:val="left"/>
    </w:lvl>
    <w:lvl w:ilvl="7" w:tplc="9B92D0E6">
      <w:numFmt w:val="decimal"/>
      <w:lvlText w:val=""/>
      <w:lvlJc w:val="left"/>
    </w:lvl>
    <w:lvl w:ilvl="8" w:tplc="A05EBC20">
      <w:numFmt w:val="decimal"/>
      <w:lvlText w:val=""/>
      <w:lvlJc w:val="left"/>
    </w:lvl>
  </w:abstractNum>
  <w:abstractNum w:abstractNumId="2" w15:restartNumberingAfterBreak="0">
    <w:nsid w:val="3353317C"/>
    <w:multiLevelType w:val="hybridMultilevel"/>
    <w:tmpl w:val="318085D8"/>
    <w:lvl w:ilvl="0" w:tplc="5A52717C">
      <w:start w:val="1"/>
      <w:numFmt w:val="bullet"/>
      <w:lvlText w:val="☐"/>
      <w:lvlJc w:val="left"/>
      <w:pPr>
        <w:ind w:left="720" w:hanging="360"/>
      </w:pPr>
    </w:lvl>
    <w:lvl w:ilvl="1" w:tplc="143CAA78">
      <w:numFmt w:val="decimal"/>
      <w:lvlText w:val=""/>
      <w:lvlJc w:val="left"/>
    </w:lvl>
    <w:lvl w:ilvl="2" w:tplc="647C4246">
      <w:numFmt w:val="decimal"/>
      <w:lvlText w:val=""/>
      <w:lvlJc w:val="left"/>
    </w:lvl>
    <w:lvl w:ilvl="3" w:tplc="FA7E4E1C">
      <w:numFmt w:val="decimal"/>
      <w:lvlText w:val=""/>
      <w:lvlJc w:val="left"/>
    </w:lvl>
    <w:lvl w:ilvl="4" w:tplc="F4364864">
      <w:numFmt w:val="decimal"/>
      <w:lvlText w:val=""/>
      <w:lvlJc w:val="left"/>
    </w:lvl>
    <w:lvl w:ilvl="5" w:tplc="B1FED2BC">
      <w:numFmt w:val="decimal"/>
      <w:lvlText w:val=""/>
      <w:lvlJc w:val="left"/>
    </w:lvl>
    <w:lvl w:ilvl="6" w:tplc="31447AE8">
      <w:numFmt w:val="decimal"/>
      <w:lvlText w:val=""/>
      <w:lvlJc w:val="left"/>
    </w:lvl>
    <w:lvl w:ilvl="7" w:tplc="AD1EDCE2">
      <w:numFmt w:val="decimal"/>
      <w:lvlText w:val=""/>
      <w:lvlJc w:val="left"/>
    </w:lvl>
    <w:lvl w:ilvl="8" w:tplc="7834F242">
      <w:numFmt w:val="decimal"/>
      <w:lvlText w:val=""/>
      <w:lvlJc w:val="left"/>
    </w:lvl>
  </w:abstractNum>
  <w:abstractNum w:abstractNumId="3" w15:restartNumberingAfterBreak="0">
    <w:nsid w:val="37574234"/>
    <w:multiLevelType w:val="hybridMultilevel"/>
    <w:tmpl w:val="F154B398"/>
    <w:lvl w:ilvl="0" w:tplc="6550456E">
      <w:start w:val="1"/>
      <w:numFmt w:val="decimal"/>
      <w:lvlText w:val="%1."/>
      <w:lvlJc w:val="left"/>
      <w:pPr>
        <w:ind w:left="720" w:hanging="360"/>
      </w:pPr>
    </w:lvl>
    <w:lvl w:ilvl="1" w:tplc="E50A39BA">
      <w:numFmt w:val="decimal"/>
      <w:lvlText w:val=""/>
      <w:lvlJc w:val="left"/>
    </w:lvl>
    <w:lvl w:ilvl="2" w:tplc="E8C2F548">
      <w:numFmt w:val="decimal"/>
      <w:lvlText w:val=""/>
      <w:lvlJc w:val="left"/>
    </w:lvl>
    <w:lvl w:ilvl="3" w:tplc="642EA332">
      <w:numFmt w:val="decimal"/>
      <w:lvlText w:val=""/>
      <w:lvlJc w:val="left"/>
    </w:lvl>
    <w:lvl w:ilvl="4" w:tplc="554A4EE8">
      <w:numFmt w:val="decimal"/>
      <w:lvlText w:val=""/>
      <w:lvlJc w:val="left"/>
    </w:lvl>
    <w:lvl w:ilvl="5" w:tplc="9E3AAE66">
      <w:numFmt w:val="decimal"/>
      <w:lvlText w:val=""/>
      <w:lvlJc w:val="left"/>
    </w:lvl>
    <w:lvl w:ilvl="6" w:tplc="00981C52">
      <w:numFmt w:val="decimal"/>
      <w:lvlText w:val=""/>
      <w:lvlJc w:val="left"/>
    </w:lvl>
    <w:lvl w:ilvl="7" w:tplc="EB887786">
      <w:numFmt w:val="decimal"/>
      <w:lvlText w:val=""/>
      <w:lvlJc w:val="left"/>
    </w:lvl>
    <w:lvl w:ilvl="8" w:tplc="BA3C42C0">
      <w:numFmt w:val="decimal"/>
      <w:lvlText w:val=""/>
      <w:lvlJc w:val="left"/>
    </w:lvl>
  </w:abstractNum>
  <w:abstractNum w:abstractNumId="4" w15:restartNumberingAfterBreak="0">
    <w:nsid w:val="46A5610B"/>
    <w:multiLevelType w:val="hybridMultilevel"/>
    <w:tmpl w:val="520E6D5A"/>
    <w:lvl w:ilvl="0" w:tplc="82E072BA">
      <w:start w:val="1"/>
      <w:numFmt w:val="bullet"/>
      <w:lvlText w:val="•"/>
      <w:lvlJc w:val="left"/>
      <w:pPr>
        <w:ind w:left="720" w:hanging="360"/>
      </w:pPr>
    </w:lvl>
    <w:lvl w:ilvl="1" w:tplc="B350A754">
      <w:numFmt w:val="decimal"/>
      <w:lvlText w:val=""/>
      <w:lvlJc w:val="left"/>
    </w:lvl>
    <w:lvl w:ilvl="2" w:tplc="C0BA3FF8">
      <w:numFmt w:val="decimal"/>
      <w:lvlText w:val=""/>
      <w:lvlJc w:val="left"/>
    </w:lvl>
    <w:lvl w:ilvl="3" w:tplc="7B62DE14">
      <w:numFmt w:val="decimal"/>
      <w:lvlText w:val=""/>
      <w:lvlJc w:val="left"/>
    </w:lvl>
    <w:lvl w:ilvl="4" w:tplc="5FFE2F82">
      <w:numFmt w:val="decimal"/>
      <w:lvlText w:val=""/>
      <w:lvlJc w:val="left"/>
    </w:lvl>
    <w:lvl w:ilvl="5" w:tplc="F98C176A">
      <w:numFmt w:val="decimal"/>
      <w:lvlText w:val=""/>
      <w:lvlJc w:val="left"/>
    </w:lvl>
    <w:lvl w:ilvl="6" w:tplc="836084B4">
      <w:numFmt w:val="decimal"/>
      <w:lvlText w:val=""/>
      <w:lvlJc w:val="left"/>
    </w:lvl>
    <w:lvl w:ilvl="7" w:tplc="6868BBA4">
      <w:numFmt w:val="decimal"/>
      <w:lvlText w:val=""/>
      <w:lvlJc w:val="left"/>
    </w:lvl>
    <w:lvl w:ilvl="8" w:tplc="3C26E8DA">
      <w:numFmt w:val="decimal"/>
      <w:lvlText w:val=""/>
      <w:lvlJc w:val="left"/>
    </w:lvl>
  </w:abstractNum>
  <w:abstractNum w:abstractNumId="5" w15:restartNumberingAfterBreak="0">
    <w:nsid w:val="66CA31CB"/>
    <w:multiLevelType w:val="hybridMultilevel"/>
    <w:tmpl w:val="080C245E"/>
    <w:lvl w:ilvl="0" w:tplc="93CCA25A">
      <w:start w:val="1"/>
      <w:numFmt w:val="bullet"/>
      <w:lvlText w:val="●"/>
      <w:lvlJc w:val="left"/>
      <w:pPr>
        <w:ind w:left="720" w:hanging="360"/>
      </w:pPr>
    </w:lvl>
    <w:lvl w:ilvl="1" w:tplc="E570B7F0">
      <w:start w:val="1"/>
      <w:numFmt w:val="bullet"/>
      <w:lvlText w:val="○"/>
      <w:lvlJc w:val="left"/>
      <w:pPr>
        <w:ind w:left="1440" w:hanging="360"/>
      </w:pPr>
    </w:lvl>
    <w:lvl w:ilvl="2" w:tplc="143E08D2">
      <w:start w:val="1"/>
      <w:numFmt w:val="bullet"/>
      <w:lvlText w:val="■"/>
      <w:lvlJc w:val="left"/>
      <w:pPr>
        <w:ind w:left="2160" w:hanging="360"/>
      </w:pPr>
    </w:lvl>
    <w:lvl w:ilvl="3" w:tplc="E50ECD4A">
      <w:start w:val="1"/>
      <w:numFmt w:val="bullet"/>
      <w:lvlText w:val="●"/>
      <w:lvlJc w:val="left"/>
      <w:pPr>
        <w:ind w:left="2880" w:hanging="360"/>
      </w:pPr>
    </w:lvl>
    <w:lvl w:ilvl="4" w:tplc="2C2277E0">
      <w:start w:val="1"/>
      <w:numFmt w:val="bullet"/>
      <w:lvlText w:val="○"/>
      <w:lvlJc w:val="left"/>
      <w:pPr>
        <w:ind w:left="3600" w:hanging="360"/>
      </w:pPr>
    </w:lvl>
    <w:lvl w:ilvl="5" w:tplc="71E2715C">
      <w:start w:val="1"/>
      <w:numFmt w:val="bullet"/>
      <w:lvlText w:val="■"/>
      <w:lvlJc w:val="left"/>
      <w:pPr>
        <w:ind w:left="4320" w:hanging="360"/>
      </w:pPr>
    </w:lvl>
    <w:lvl w:ilvl="6" w:tplc="622C960C">
      <w:start w:val="1"/>
      <w:numFmt w:val="bullet"/>
      <w:lvlText w:val="●"/>
      <w:lvlJc w:val="left"/>
      <w:pPr>
        <w:ind w:left="5040" w:hanging="360"/>
      </w:pPr>
    </w:lvl>
    <w:lvl w:ilvl="7" w:tplc="DFC089FE">
      <w:start w:val="1"/>
      <w:numFmt w:val="bullet"/>
      <w:lvlText w:val="●"/>
      <w:lvlJc w:val="left"/>
      <w:pPr>
        <w:ind w:left="5760" w:hanging="360"/>
      </w:pPr>
    </w:lvl>
    <w:lvl w:ilvl="8" w:tplc="5976870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6307442"/>
    <w:multiLevelType w:val="hybridMultilevel"/>
    <w:tmpl w:val="9F786BF8"/>
    <w:lvl w:ilvl="0" w:tplc="ABA20794">
      <w:start w:val="1"/>
      <w:numFmt w:val="bullet"/>
      <w:lvlText w:val="•"/>
      <w:lvlJc w:val="left"/>
      <w:pPr>
        <w:ind w:left="720" w:hanging="360"/>
      </w:pPr>
    </w:lvl>
    <w:lvl w:ilvl="1" w:tplc="3BB850B0">
      <w:numFmt w:val="decimal"/>
      <w:lvlText w:val=""/>
      <w:lvlJc w:val="left"/>
    </w:lvl>
    <w:lvl w:ilvl="2" w:tplc="E494A94E">
      <w:numFmt w:val="decimal"/>
      <w:lvlText w:val=""/>
      <w:lvlJc w:val="left"/>
    </w:lvl>
    <w:lvl w:ilvl="3" w:tplc="C5AC0D0A">
      <w:numFmt w:val="decimal"/>
      <w:lvlText w:val=""/>
      <w:lvlJc w:val="left"/>
    </w:lvl>
    <w:lvl w:ilvl="4" w:tplc="9AB0DD4C">
      <w:numFmt w:val="decimal"/>
      <w:lvlText w:val=""/>
      <w:lvlJc w:val="left"/>
    </w:lvl>
    <w:lvl w:ilvl="5" w:tplc="68980D5E">
      <w:numFmt w:val="decimal"/>
      <w:lvlText w:val=""/>
      <w:lvlJc w:val="left"/>
    </w:lvl>
    <w:lvl w:ilvl="6" w:tplc="4746B7F8">
      <w:numFmt w:val="decimal"/>
      <w:lvlText w:val=""/>
      <w:lvlJc w:val="left"/>
    </w:lvl>
    <w:lvl w:ilvl="7" w:tplc="3FA4C66E">
      <w:numFmt w:val="decimal"/>
      <w:lvlText w:val=""/>
      <w:lvlJc w:val="left"/>
    </w:lvl>
    <w:lvl w:ilvl="8" w:tplc="EF982BDA">
      <w:numFmt w:val="decimal"/>
      <w:lvlText w:val=""/>
      <w:lvlJc w:val="left"/>
    </w:lvl>
  </w:abstractNum>
  <w:num w:numId="1" w16cid:durableId="1524125944">
    <w:abstractNumId w:val="5"/>
    <w:lvlOverride w:ilvl="0">
      <w:startOverride w:val="1"/>
    </w:lvlOverride>
  </w:num>
  <w:num w:numId="2" w16cid:durableId="1769110239">
    <w:abstractNumId w:val="6"/>
    <w:lvlOverride w:ilvl="0">
      <w:startOverride w:val="1"/>
    </w:lvlOverride>
  </w:num>
  <w:num w:numId="3" w16cid:durableId="668874017">
    <w:abstractNumId w:val="0"/>
    <w:lvlOverride w:ilvl="0">
      <w:startOverride w:val="1"/>
    </w:lvlOverride>
  </w:num>
  <w:num w:numId="4" w16cid:durableId="1200818525">
    <w:abstractNumId w:val="2"/>
    <w:lvlOverride w:ilvl="0">
      <w:startOverride w:val="1"/>
    </w:lvlOverride>
  </w:num>
  <w:num w:numId="5" w16cid:durableId="2103717713">
    <w:abstractNumId w:val="4"/>
    <w:lvlOverride w:ilvl="0">
      <w:startOverride w:val="1"/>
    </w:lvlOverride>
  </w:num>
  <w:num w:numId="6" w16cid:durableId="136000665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431"/>
    <w:rsid w:val="000B5A79"/>
    <w:rsid w:val="006C1845"/>
    <w:rsid w:val="00712CB9"/>
    <w:rsid w:val="007E2431"/>
    <w:rsid w:val="00A36A14"/>
    <w:rsid w:val="00B80DE9"/>
    <w:rsid w:val="00CE7357"/>
    <w:rsid w:val="00D0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7B04EF"/>
  <w15:docId w15:val="{53665677-358B-724B-B06C-41039BD7B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5E3B"/>
      <w:sz w:val="34"/>
      <w:szCs w:val="34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2E7D4F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4378</Words>
  <Characters>12247</Characters>
  <Application>Microsoft Office Word</Application>
  <DocSecurity>0</DocSecurity>
  <Lines>639</Lines>
  <Paragraphs>445</Paragraphs>
  <ScaleCrop>false</ScaleCrop>
  <Company/>
  <LinksUpToDate>false</LinksUpToDate>
  <CharactersWithSpaces>13461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Jimmy.Lo</cp:lastModifiedBy>
  <cp:revision>4</cp:revision>
  <dcterms:created xsi:type="dcterms:W3CDTF">2026-03-25T10:29:00Z</dcterms:created>
  <dcterms:modified xsi:type="dcterms:W3CDTF">2026-03-25T11:02:00Z</dcterms:modified>
</cp:coreProperties>
</file>