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E9907C" w14:textId="0410B2C3" w:rsidR="005F5AFA" w:rsidRPr="0047404C" w:rsidRDefault="0047404C" w:rsidP="00D574E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7404C">
        <w:rPr>
          <w:rFonts w:ascii="Arial" w:hAnsi="Arial" w:cs="Arial"/>
          <w:b/>
          <w:bCs/>
          <w:sz w:val="44"/>
          <w:szCs w:val="44"/>
        </w:rPr>
        <w:t xml:space="preserve">Instituto Tecnológico Superior de Comalcalco </w:t>
      </w:r>
    </w:p>
    <w:p w14:paraId="0FA6A741" w14:textId="076B15E0" w:rsidR="0047404C" w:rsidRPr="0047404C" w:rsidRDefault="0047404C" w:rsidP="00D574E3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3232DAC3" w14:textId="1D1DFD5D" w:rsidR="0047404C" w:rsidRPr="0047404C" w:rsidRDefault="0047404C" w:rsidP="00D574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7404C">
        <w:rPr>
          <w:rFonts w:ascii="Arial" w:hAnsi="Arial" w:cs="Arial"/>
          <w:b/>
          <w:bCs/>
          <w:sz w:val="36"/>
          <w:szCs w:val="36"/>
        </w:rPr>
        <w:t xml:space="preserve">División de ingeniería en sistemas computacionales </w:t>
      </w:r>
    </w:p>
    <w:p w14:paraId="228D8778" w14:textId="2A92C04A" w:rsidR="0047404C" w:rsidRPr="0047404C" w:rsidRDefault="0047404C" w:rsidP="00D574E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AE7AB7A" w14:textId="3B70DD73" w:rsidR="0047404C" w:rsidRPr="0047404C" w:rsidRDefault="0047404C" w:rsidP="00D574E3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47404C">
        <w:rPr>
          <w:rFonts w:ascii="Arial" w:hAnsi="Arial" w:cs="Arial"/>
          <w:b/>
          <w:bCs/>
          <w:sz w:val="36"/>
          <w:szCs w:val="36"/>
        </w:rPr>
        <w:t>Informe de residencia profesional</w:t>
      </w:r>
    </w:p>
    <w:p w14:paraId="73EC577F" w14:textId="77777777" w:rsidR="0047404C" w:rsidRPr="0047404C" w:rsidRDefault="0047404C" w:rsidP="00D574E3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1C5A0BA" w14:textId="4CE5A85C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Nombre del proyecto:</w:t>
      </w:r>
    </w:p>
    <w:p w14:paraId="2178A9C4" w14:textId="26772E32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7404C">
        <w:rPr>
          <w:rFonts w:ascii="Arial" w:hAnsi="Arial" w:cs="Arial"/>
          <w:b/>
          <w:bCs/>
          <w:sz w:val="30"/>
          <w:szCs w:val="30"/>
        </w:rPr>
        <w:t>“Desarrollo de un Sistema de Información para el Control y Gestión de Bienes del Instituto Tecnológico Superior de Comalcalco”</w:t>
      </w:r>
    </w:p>
    <w:p w14:paraId="453402B0" w14:textId="7758018F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0640D32C" w14:textId="0018772D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Empresa de residencia:</w:t>
      </w:r>
    </w:p>
    <w:p w14:paraId="4DCC88AA" w14:textId="77777777" w:rsidR="0047404C" w:rsidRPr="0047404C" w:rsidRDefault="0047404C" w:rsidP="0047404C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7404C">
        <w:rPr>
          <w:rFonts w:ascii="Arial" w:hAnsi="Arial" w:cs="Arial"/>
          <w:b/>
          <w:bCs/>
          <w:sz w:val="30"/>
          <w:szCs w:val="30"/>
        </w:rPr>
        <w:t xml:space="preserve">Instituto Tecnológico Superior de Comalcalco </w:t>
      </w:r>
    </w:p>
    <w:p w14:paraId="45A0B777" w14:textId="3AA3B946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36079244" w14:textId="21E1A681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Residente:</w:t>
      </w:r>
    </w:p>
    <w:p w14:paraId="68BD6134" w14:textId="6D0DCC01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7404C">
        <w:rPr>
          <w:rFonts w:ascii="Arial" w:hAnsi="Arial" w:cs="Arial"/>
          <w:b/>
          <w:bCs/>
          <w:sz w:val="30"/>
          <w:szCs w:val="30"/>
        </w:rPr>
        <w:t>Karla Guadalupe Herrera de la Cruz (TE210631)</w:t>
      </w:r>
    </w:p>
    <w:p w14:paraId="455843EA" w14:textId="66324418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</w:p>
    <w:p w14:paraId="316B2FA0" w14:textId="21B20CED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Asesor interno:</w:t>
      </w:r>
    </w:p>
    <w:p w14:paraId="46A6B105" w14:textId="03E1ED41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</w:p>
    <w:p w14:paraId="0D578153" w14:textId="71091528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</w:p>
    <w:p w14:paraId="047D8EBB" w14:textId="48BF5EA5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Asesor externo:</w:t>
      </w:r>
    </w:p>
    <w:p w14:paraId="709EAF4A" w14:textId="7F971C1C" w:rsidR="0047404C" w:rsidRPr="007376D2" w:rsidRDefault="007376D2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Dr. </w:t>
      </w:r>
      <w:r w:rsidRPr="007376D2">
        <w:rPr>
          <w:rFonts w:ascii="Arial" w:hAnsi="Arial" w:cs="Arial"/>
          <w:b/>
          <w:bCs/>
          <w:sz w:val="30"/>
          <w:szCs w:val="30"/>
        </w:rPr>
        <w:t>Ramon Izquierdo Córdova</w:t>
      </w:r>
    </w:p>
    <w:p w14:paraId="27532A5D" w14:textId="3C8CFFDC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</w:p>
    <w:p w14:paraId="08407F1B" w14:textId="458C87BF" w:rsidR="0047404C" w:rsidRPr="0047404C" w:rsidRDefault="0047404C" w:rsidP="00D574E3">
      <w:pPr>
        <w:jc w:val="center"/>
        <w:rPr>
          <w:rFonts w:ascii="Arial" w:hAnsi="Arial" w:cs="Arial"/>
          <w:sz w:val="30"/>
          <w:szCs w:val="30"/>
        </w:rPr>
      </w:pPr>
      <w:r w:rsidRPr="0047404C">
        <w:rPr>
          <w:rFonts w:ascii="Arial" w:hAnsi="Arial" w:cs="Arial"/>
          <w:sz w:val="30"/>
          <w:szCs w:val="30"/>
        </w:rPr>
        <w:t>Periodo:</w:t>
      </w:r>
    </w:p>
    <w:p w14:paraId="3B409473" w14:textId="7186B3D4" w:rsidR="0047404C" w:rsidRPr="0047404C" w:rsidRDefault="0047404C" w:rsidP="00D574E3">
      <w:pPr>
        <w:jc w:val="center"/>
        <w:rPr>
          <w:rFonts w:ascii="Arial" w:hAnsi="Arial" w:cs="Arial"/>
          <w:b/>
          <w:bCs/>
          <w:sz w:val="30"/>
          <w:szCs w:val="30"/>
        </w:rPr>
      </w:pPr>
      <w:r w:rsidRPr="0047404C">
        <w:rPr>
          <w:rFonts w:ascii="Arial" w:hAnsi="Arial" w:cs="Arial"/>
          <w:b/>
          <w:bCs/>
          <w:sz w:val="30"/>
          <w:szCs w:val="30"/>
        </w:rPr>
        <w:t>2025-B</w:t>
      </w:r>
    </w:p>
    <w:p w14:paraId="57ADADDF" w14:textId="3CF4268B" w:rsidR="0047404C" w:rsidRDefault="0047404C" w:rsidP="00D574E3">
      <w:pPr>
        <w:jc w:val="center"/>
      </w:pPr>
    </w:p>
    <w:p w14:paraId="7D7776DD" w14:textId="34C7DA6D" w:rsidR="0047404C" w:rsidRDefault="0047404C" w:rsidP="00D574E3">
      <w:pPr>
        <w:jc w:val="center"/>
      </w:pPr>
    </w:p>
    <w:p w14:paraId="72134ABB" w14:textId="6926DE8B" w:rsidR="0047404C" w:rsidRDefault="0047404C" w:rsidP="00D574E3">
      <w:pPr>
        <w:jc w:val="center"/>
      </w:pPr>
    </w:p>
    <w:p w14:paraId="4723F4C0" w14:textId="497152CD" w:rsidR="0047404C" w:rsidRDefault="0047404C" w:rsidP="00D574E3">
      <w:pPr>
        <w:jc w:val="center"/>
      </w:pPr>
    </w:p>
    <w:p w14:paraId="1B824F47" w14:textId="7128113C" w:rsidR="0047404C" w:rsidRDefault="0047404C" w:rsidP="00D574E3">
      <w:pPr>
        <w:jc w:val="center"/>
      </w:pPr>
    </w:p>
    <w:p w14:paraId="292A1EB6" w14:textId="4FE905F5" w:rsidR="0047404C" w:rsidRDefault="0047404C" w:rsidP="00D574E3">
      <w:pPr>
        <w:jc w:val="center"/>
      </w:pPr>
    </w:p>
    <w:p w14:paraId="399659AD" w14:textId="57FB1B3C" w:rsidR="0047404C" w:rsidRDefault="0047404C" w:rsidP="00D574E3">
      <w:pPr>
        <w:jc w:val="center"/>
      </w:pPr>
    </w:p>
    <w:p w14:paraId="5750C162" w14:textId="5017BEB7" w:rsidR="0047404C" w:rsidRDefault="0047404C" w:rsidP="00D574E3">
      <w:pPr>
        <w:jc w:val="center"/>
      </w:pPr>
    </w:p>
    <w:p w14:paraId="39FC64D2" w14:textId="22B4AD2C" w:rsidR="0047404C" w:rsidRDefault="0047404C" w:rsidP="00D574E3">
      <w:pPr>
        <w:jc w:val="center"/>
      </w:pPr>
    </w:p>
    <w:p w14:paraId="08644582" w14:textId="09CB3B83" w:rsidR="0047404C" w:rsidRDefault="0047404C" w:rsidP="00D574E3">
      <w:pPr>
        <w:jc w:val="center"/>
      </w:pPr>
    </w:p>
    <w:p w14:paraId="54B6B54E" w14:textId="00564B54" w:rsidR="0047404C" w:rsidRDefault="0047404C" w:rsidP="00D574E3">
      <w:pPr>
        <w:jc w:val="center"/>
      </w:pPr>
    </w:p>
    <w:p w14:paraId="24D47E9F" w14:textId="6E7E461A" w:rsidR="00FE12EF" w:rsidRDefault="00FE12EF"/>
    <w:p w14:paraId="3A6BF487" w14:textId="54B865DD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4128AC1F" w14:textId="505FFD20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0D7E82A1" w14:textId="49661156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6BB3E895" w14:textId="6FEE7BE2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2B1392B3" w14:textId="28EFB1C6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0E83BD1E" w14:textId="6EFAE69C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2A6DF026" w14:textId="77777777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79FB0B56" w14:textId="77777777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1ABD4068" w14:textId="7D5435D3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22A1CC86" w14:textId="5B184874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4DA0707E" w14:textId="7B14995C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604C6A3D" w14:textId="77777777" w:rsidR="00FE12EF" w:rsidRDefault="00FE12EF" w:rsidP="00D574E3">
      <w:pPr>
        <w:jc w:val="center"/>
        <w:rPr>
          <w:rFonts w:ascii="Arial" w:hAnsi="Arial" w:cs="Arial"/>
          <w:sz w:val="116"/>
          <w:szCs w:val="116"/>
        </w:rPr>
      </w:pPr>
    </w:p>
    <w:p w14:paraId="09948EC4" w14:textId="2EEED063" w:rsidR="0047404C" w:rsidRPr="00FE12EF" w:rsidRDefault="000B090E" w:rsidP="00FE12EF">
      <w:pPr>
        <w:pStyle w:val="Ttulo1"/>
      </w:pPr>
      <w:bookmarkStart w:id="0" w:name="_Toc206761701"/>
      <w:r w:rsidRPr="00FE12EF">
        <w:t>Capítulo</w:t>
      </w:r>
      <w:r w:rsidR="0047404C" w:rsidRPr="00FE12EF">
        <w:t xml:space="preserve"> 1:</w:t>
      </w:r>
      <w:bookmarkEnd w:id="0"/>
    </w:p>
    <w:p w14:paraId="01952B51" w14:textId="695C9279" w:rsidR="0047404C" w:rsidRPr="00FE12EF" w:rsidRDefault="000B090E" w:rsidP="00FE12EF">
      <w:pPr>
        <w:pStyle w:val="Ttulo1"/>
      </w:pPr>
      <w:bookmarkStart w:id="1" w:name="_Toc206761702"/>
      <w:r w:rsidRPr="00FE12EF">
        <w:t>Generalidades del proyecto</w:t>
      </w:r>
      <w:bookmarkEnd w:id="1"/>
    </w:p>
    <w:p w14:paraId="1F6C0ABE" w14:textId="0EE4EC40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7F4802D3" w14:textId="08A165F9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32D1A4C0" w14:textId="2FAA226F" w:rsidR="000B090E" w:rsidRDefault="000B090E" w:rsidP="00D574E3">
      <w:pPr>
        <w:jc w:val="center"/>
        <w:rPr>
          <w:rFonts w:ascii="Arial" w:hAnsi="Arial" w:cs="Arial"/>
          <w:sz w:val="116"/>
          <w:szCs w:val="116"/>
        </w:rPr>
      </w:pPr>
    </w:p>
    <w:p w14:paraId="2CF7B725" w14:textId="3639D079" w:rsidR="000B090E" w:rsidRDefault="000B090E" w:rsidP="00D574E3">
      <w:pPr>
        <w:jc w:val="center"/>
        <w:rPr>
          <w:rFonts w:ascii="Arial" w:hAnsi="Arial" w:cs="Arial"/>
          <w:sz w:val="24"/>
          <w:szCs w:val="24"/>
        </w:rPr>
      </w:pPr>
    </w:p>
    <w:p w14:paraId="576545A8" w14:textId="0C21C409" w:rsidR="000B090E" w:rsidRDefault="000B090E" w:rsidP="00FE12EF">
      <w:pPr>
        <w:pStyle w:val="Ttulo3"/>
        <w:numPr>
          <w:ilvl w:val="0"/>
          <w:numId w:val="0"/>
        </w:numPr>
      </w:pPr>
      <w:bookmarkStart w:id="2" w:name="_Toc206761703"/>
      <w:bookmarkEnd w:id="2"/>
    </w:p>
    <w:p w14:paraId="14F4E7BE" w14:textId="3D3931B9" w:rsidR="000B090E" w:rsidRPr="006631B3" w:rsidRDefault="002200E5" w:rsidP="006631B3">
      <w:pPr>
        <w:pStyle w:val="Ttulo2"/>
      </w:pPr>
      <w:bookmarkStart w:id="3" w:name="_Toc206761704"/>
      <w:r>
        <w:lastRenderedPageBreak/>
        <w:t>D</w:t>
      </w:r>
      <w:r w:rsidR="000B090E" w:rsidRPr="006631B3">
        <w:t>escripción de la empresa</w:t>
      </w:r>
      <w:bookmarkEnd w:id="3"/>
    </w:p>
    <w:p w14:paraId="1CEE2311" w14:textId="77777777" w:rsidR="007376D2" w:rsidRDefault="007376D2" w:rsidP="007376D2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>El Instituto Tecnológico Superior de Comalcalco fue creado el 3 de noviembre de 1994 mediante un decreto publicado el 24 de abril de 1997 en el Periódico Oficial del Gobierno del Estado de Tabasco.</w:t>
      </w:r>
    </w:p>
    <w:p w14:paraId="76C3FFA4" w14:textId="77777777" w:rsidR="007376D2" w:rsidRDefault="007376D2" w:rsidP="007376D2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>El </w:t>
      </w:r>
      <w:r>
        <w:rPr>
          <w:rStyle w:val="purple"/>
          <w:rFonts w:ascii="Calibri" w:eastAsia="Arial" w:hAnsi="Calibri" w:cs="Calibri"/>
          <w:color w:val="550D2D"/>
        </w:rPr>
        <w:t>5 de septiembre de 1994</w:t>
      </w:r>
      <w:r>
        <w:rPr>
          <w:rFonts w:ascii="Calibri" w:hAnsi="Calibri" w:cs="Calibri"/>
          <w:color w:val="212529"/>
        </w:rPr>
        <w:t> abrió sus puertas a los primeros 241 alumnos, en aquel entonces ofreciendo tres carreras: Ingeniería en Sistemas Computacionales, Ingeniería Electrónica y Licenciatura en Contaduría.</w:t>
      </w:r>
    </w:p>
    <w:p w14:paraId="583326D2" w14:textId="77777777" w:rsidR="007376D2" w:rsidRDefault="007376D2" w:rsidP="007376D2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 xml:space="preserve">Inició sus actividades académicas provisionalmente en instalaciones prestadas pertenecientes a la escuela secundaria “Andrés </w:t>
      </w:r>
      <w:proofErr w:type="spellStart"/>
      <w:r>
        <w:rPr>
          <w:rFonts w:ascii="Calibri" w:hAnsi="Calibri" w:cs="Calibri"/>
          <w:color w:val="212529"/>
        </w:rPr>
        <w:t>Iduarte</w:t>
      </w:r>
      <w:proofErr w:type="spellEnd"/>
      <w:r>
        <w:rPr>
          <w:rFonts w:ascii="Calibri" w:hAnsi="Calibri" w:cs="Calibri"/>
          <w:color w:val="212529"/>
        </w:rPr>
        <w:t>” y a lo largo de dos años se impartieron clases únicamente en el turno vespertino.</w:t>
      </w:r>
    </w:p>
    <w:p w14:paraId="3D652406" w14:textId="69CDAB67" w:rsidR="007376D2" w:rsidRDefault="007376D2" w:rsidP="007376D2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 xml:space="preserve">En el mes de agosto de 1996 estuvieron listas las primeras instalaciones propias, que </w:t>
      </w:r>
      <w:r w:rsidR="002200E5">
        <w:rPr>
          <w:rFonts w:ascii="Calibri" w:hAnsi="Calibri" w:cs="Calibri"/>
          <w:color w:val="212529"/>
        </w:rPr>
        <w:t>consistían</w:t>
      </w:r>
      <w:r>
        <w:rPr>
          <w:rFonts w:ascii="Calibri" w:hAnsi="Calibri" w:cs="Calibri"/>
          <w:color w:val="212529"/>
        </w:rPr>
        <w:t xml:space="preserve"> en una unidad académica departamental tipo “A”, donde también se trasladaron las oficinas administrativas.</w:t>
      </w:r>
    </w:p>
    <w:p w14:paraId="6C23DCEF" w14:textId="7B5363FB" w:rsidR="007376D2" w:rsidRDefault="007376D2" w:rsidP="007376D2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>Actualmente, a 22 años de su fundación, en el semestre Agosto - diciembre de 2016 la matrícula es de tres mil 723 estudiantes y la oferta académica es de diez carreras, de las cuales ocho son Ingenierías: Ambiental, Electrónica, Gestión Empresarial, Industrial, Industrias Alimentarias, Mecatrónica, Sistemas Computacionales y Logística; y dos Licenciaturas: Contador Público y Gastronomía.</w:t>
      </w:r>
    </w:p>
    <w:p w14:paraId="22DF1C9B" w14:textId="1235755F" w:rsidR="000B090E" w:rsidRPr="002200E5" w:rsidRDefault="007376D2" w:rsidP="002200E5">
      <w:pPr>
        <w:pStyle w:val="NormalWeb"/>
        <w:shd w:val="clear" w:color="auto" w:fill="FFFFFF"/>
        <w:spacing w:before="0" w:beforeAutospacing="0"/>
        <w:jc w:val="both"/>
        <w:rPr>
          <w:rFonts w:ascii="Calibri" w:hAnsi="Calibri" w:cs="Calibri"/>
          <w:color w:val="212529"/>
        </w:rPr>
      </w:pPr>
      <w:r>
        <w:rPr>
          <w:rFonts w:ascii="Calibri" w:hAnsi="Calibri" w:cs="Calibri"/>
          <w:color w:val="212529"/>
        </w:rPr>
        <w:t xml:space="preserve">El perfil académico del personal docente incluye </w:t>
      </w:r>
      <w:proofErr w:type="gramStart"/>
      <w:r>
        <w:rPr>
          <w:rFonts w:ascii="Calibri" w:hAnsi="Calibri" w:cs="Calibri"/>
          <w:color w:val="212529"/>
        </w:rPr>
        <w:t>a  cuatro</w:t>
      </w:r>
      <w:proofErr w:type="gramEnd"/>
      <w:r>
        <w:rPr>
          <w:rFonts w:ascii="Calibri" w:hAnsi="Calibri" w:cs="Calibri"/>
          <w:color w:val="212529"/>
        </w:rPr>
        <w:t xml:space="preserve"> profesores con doctorado, 53 con maestría y 48 con licenciatura, para un total de 105 catedráticos altamente calificados y en constante capacitación</w:t>
      </w:r>
    </w:p>
    <w:p w14:paraId="600A114D" w14:textId="560C1C8D" w:rsidR="000B090E" w:rsidRDefault="002200E5" w:rsidP="006631B3">
      <w:pPr>
        <w:pStyle w:val="Ttulo3"/>
      </w:pPr>
      <w:bookmarkStart w:id="4" w:name="_Toc206761705"/>
      <w:r>
        <w:t>G</w:t>
      </w:r>
      <w:r w:rsidR="000B090E" w:rsidRPr="006631B3">
        <w:t>iro de la empresa</w:t>
      </w:r>
      <w:bookmarkEnd w:id="4"/>
      <w:r w:rsidR="000B090E" w:rsidRPr="006631B3">
        <w:t xml:space="preserve"> </w:t>
      </w:r>
    </w:p>
    <w:p w14:paraId="31C42B77" w14:textId="129CA376" w:rsidR="007376D2" w:rsidRPr="007376D2" w:rsidRDefault="007376D2" w:rsidP="007376D2">
      <w:pPr>
        <w:pStyle w:val="Ttulo3"/>
        <w:numPr>
          <w:ilvl w:val="0"/>
          <w:numId w:val="0"/>
        </w:numPr>
        <w:jc w:val="both"/>
        <w:rPr>
          <w:b w:val="0"/>
          <w:bCs w:val="0"/>
        </w:rPr>
      </w:pPr>
      <w:r w:rsidRPr="007376D2">
        <w:rPr>
          <w:rStyle w:val="svelte-1sntxl4"/>
          <w:b w:val="0"/>
          <w:bCs w:val="0"/>
          <w:color w:val="46464A"/>
          <w:shd w:val="clear" w:color="auto" w:fill="FFFFFF"/>
        </w:rPr>
        <w:t>El Instituto Tecnológico Superior de Comalcalco (ITSC) es una institución de educación superior que forma profesionistas en diversas áreas técnicas y científicas, con un enfoque en la formación integral y la responsabilidad social.</w:t>
      </w:r>
      <w:r w:rsidRPr="007376D2">
        <w:rPr>
          <w:b w:val="0"/>
          <w:bCs w:val="0"/>
          <w:color w:val="46464A"/>
          <w:shd w:val="clear" w:color="auto" w:fill="FFFFFF"/>
        </w:rPr>
        <w:t> </w:t>
      </w:r>
      <w:r w:rsidRPr="007376D2">
        <w:rPr>
          <w:rStyle w:val="svelte-1sntxl4"/>
          <w:b w:val="0"/>
          <w:bCs w:val="0"/>
          <w:color w:val="46464A"/>
          <w:shd w:val="clear" w:color="auto" w:fill="FFFFFF"/>
        </w:rPr>
        <w:t>Su giro principal se centra en la educación superior tecnológica, ofreciendo carreras en ingeniería, administración y ciencias aplicadas, con el objetivo de formar profesionales con competencias científicas, humanísticas y tecnológicas para contribuir al desarrollo regional y nacional.</w:t>
      </w:r>
    </w:p>
    <w:p w14:paraId="670010F3" w14:textId="67CB8BFB" w:rsidR="000B090E" w:rsidRPr="006631B3" w:rsidRDefault="002200E5" w:rsidP="006631B3">
      <w:pPr>
        <w:pStyle w:val="Ttulo3"/>
      </w:pPr>
      <w:bookmarkStart w:id="5" w:name="_Toc206761706"/>
      <w:r>
        <w:t>D</w:t>
      </w:r>
      <w:r w:rsidR="000B090E" w:rsidRPr="006631B3">
        <w:t>atos de contacto</w:t>
      </w:r>
      <w:bookmarkEnd w:id="5"/>
      <w:r w:rsidR="000B090E" w:rsidRPr="006631B3">
        <w:t xml:space="preserve"> </w:t>
      </w:r>
    </w:p>
    <w:p w14:paraId="7E8C84F1" w14:textId="68D56375" w:rsidR="006631B3" w:rsidRDefault="006631B3" w:rsidP="006631B3">
      <w:r>
        <w:t xml:space="preserve">Teléfono: </w:t>
      </w:r>
      <w:r w:rsidR="00EC2829">
        <w:t>+52 (933) 334 9090</w:t>
      </w:r>
    </w:p>
    <w:p w14:paraId="17BB6828" w14:textId="049994C1" w:rsidR="006631B3" w:rsidRDefault="006631B3" w:rsidP="006631B3">
      <w:r>
        <w:t>Correo:</w:t>
      </w:r>
      <w:r w:rsidR="00EC2829">
        <w:t xml:space="preserve"> tec@comalcalco.tecnm.mx</w:t>
      </w:r>
    </w:p>
    <w:p w14:paraId="3745256E" w14:textId="2EBBA5B3" w:rsidR="006631B3" w:rsidRPr="00EC2829" w:rsidRDefault="006631B3" w:rsidP="006631B3">
      <w:pPr>
        <w:rPr>
          <w:lang w:val="en-US"/>
        </w:rPr>
      </w:pPr>
      <w:r w:rsidRPr="00EC2829">
        <w:rPr>
          <w:lang w:val="en-US"/>
        </w:rPr>
        <w:t>Sitio web:</w:t>
      </w:r>
      <w:r w:rsidR="00EC2829" w:rsidRPr="00EC2829">
        <w:rPr>
          <w:lang w:val="en-US"/>
        </w:rPr>
        <w:t xml:space="preserve"> </w:t>
      </w:r>
      <w:hyperlink r:id="rId6" w:history="1">
        <w:r w:rsidR="00EC2829" w:rsidRPr="008A1DA6">
          <w:rPr>
            <w:rStyle w:val="Hipervnculo"/>
            <w:lang w:val="en-US"/>
          </w:rPr>
          <w:t>https://comalcalco.tecnm.mx/index.php</w:t>
        </w:r>
      </w:hyperlink>
      <w:r w:rsidR="00EC2829">
        <w:rPr>
          <w:lang w:val="en-US"/>
        </w:rPr>
        <w:t xml:space="preserve"> </w:t>
      </w:r>
    </w:p>
    <w:p w14:paraId="245A6F44" w14:textId="77777777" w:rsidR="006631B3" w:rsidRPr="00EC2829" w:rsidRDefault="006631B3" w:rsidP="006631B3">
      <w:pPr>
        <w:rPr>
          <w:lang w:val="en-US"/>
        </w:rPr>
      </w:pPr>
    </w:p>
    <w:p w14:paraId="00670444" w14:textId="75310231" w:rsidR="000B090E" w:rsidRDefault="002200E5" w:rsidP="006631B3">
      <w:pPr>
        <w:pStyle w:val="Ttulo3"/>
      </w:pPr>
      <w:bookmarkStart w:id="6" w:name="_Toc206761707"/>
      <w:r>
        <w:t>U</w:t>
      </w:r>
      <w:r w:rsidR="000B090E" w:rsidRPr="006631B3">
        <w:t>bicación</w:t>
      </w:r>
      <w:bookmarkEnd w:id="6"/>
      <w:r w:rsidR="000B090E" w:rsidRPr="006631B3">
        <w:t xml:space="preserve"> </w:t>
      </w:r>
    </w:p>
    <w:p w14:paraId="49684425" w14:textId="0DD40387" w:rsidR="00EC2829" w:rsidRDefault="00EC2829" w:rsidP="00EC2829">
      <w:r w:rsidRPr="00EC2829">
        <w:t xml:space="preserve">Carretera vecinal, </w:t>
      </w:r>
      <w:proofErr w:type="spellStart"/>
      <w:r w:rsidRPr="00EC2829">
        <w:t>Paraiso</w:t>
      </w:r>
      <w:proofErr w:type="spellEnd"/>
      <w:r w:rsidRPr="00EC2829">
        <w:t xml:space="preserve"> - Comalcalco KM 2, RA Occidente 3ra sección, 86650 Comalcalco, </w:t>
      </w:r>
      <w:proofErr w:type="spellStart"/>
      <w:r w:rsidRPr="00EC2829">
        <w:t>Tab</w:t>
      </w:r>
      <w:proofErr w:type="spellEnd"/>
      <w:r w:rsidRPr="00EC2829">
        <w:t>.</w:t>
      </w:r>
    </w:p>
    <w:p w14:paraId="199812EF" w14:textId="768E2B4E" w:rsidR="00EC2829" w:rsidRDefault="00EC2829" w:rsidP="00EC2829"/>
    <w:p w14:paraId="47204F2A" w14:textId="06A9FEC9" w:rsidR="002200E5" w:rsidRPr="006631B3" w:rsidRDefault="00626084" w:rsidP="00EC2829">
      <w:r>
        <w:rPr>
          <w:noProof/>
        </w:rPr>
        <w:lastRenderedPageBreak/>
        <w:drawing>
          <wp:inline distT="0" distB="0" distL="0" distR="0" wp14:anchorId="51D4404F" wp14:editId="4F5855BF">
            <wp:extent cx="5612130" cy="4513580"/>
            <wp:effectExtent l="0" t="0" r="7620" b="1270"/>
            <wp:docPr id="1948180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99035" w14:textId="3D89DEFE" w:rsidR="007376D2" w:rsidRDefault="000B090E" w:rsidP="007376D2">
      <w:pPr>
        <w:pStyle w:val="Ttulo2"/>
      </w:pPr>
      <w:bookmarkStart w:id="7" w:name="_Toc206761708"/>
      <w:r>
        <w:t>Organigrama</w:t>
      </w:r>
      <w:bookmarkEnd w:id="7"/>
    </w:p>
    <w:p w14:paraId="6D3C7CDA" w14:textId="77777777" w:rsidR="002200E5" w:rsidRDefault="002200E5" w:rsidP="002200E5">
      <w:pPr>
        <w:rPr>
          <w:lang w:val="en-US"/>
        </w:rPr>
      </w:pPr>
    </w:p>
    <w:p w14:paraId="2743AFB7" w14:textId="7BBF9584" w:rsidR="00892206" w:rsidRDefault="00892206" w:rsidP="00892206">
      <w:pPr>
        <w:rPr>
          <w:bCs/>
        </w:rPr>
      </w:pPr>
      <w:r w:rsidRPr="00892206">
        <w:rPr>
          <w:bCs/>
        </w:rPr>
        <w:t xml:space="preserve">En </w:t>
      </w:r>
      <w:r>
        <w:rPr>
          <w:bCs/>
        </w:rPr>
        <w:t xml:space="preserve">este </w:t>
      </w:r>
      <w:r w:rsidRPr="00892206">
        <w:rPr>
          <w:bCs/>
        </w:rPr>
        <w:t xml:space="preserve">organigrama de la Figura </w:t>
      </w:r>
      <w:r>
        <w:rPr>
          <w:bCs/>
        </w:rPr>
        <w:t>que se</w:t>
      </w:r>
      <w:r w:rsidRPr="00892206">
        <w:rPr>
          <w:bCs/>
        </w:rPr>
        <w:t xml:space="preserve"> observa</w:t>
      </w:r>
      <w:r>
        <w:rPr>
          <w:bCs/>
        </w:rPr>
        <w:t xml:space="preserve"> hay</w:t>
      </w:r>
      <w:r w:rsidRPr="00892206">
        <w:rPr>
          <w:bCs/>
        </w:rPr>
        <w:t xml:space="preserve"> una visión general de la estructura organizacional </w:t>
      </w:r>
      <w:r>
        <w:rPr>
          <w:bCs/>
        </w:rPr>
        <w:t>del área.</w:t>
      </w:r>
    </w:p>
    <w:p w14:paraId="6037E819" w14:textId="1912B58A" w:rsidR="00892206" w:rsidRPr="00892206" w:rsidRDefault="00892206" w:rsidP="00892206">
      <w:pPr>
        <w:rPr>
          <w:bCs/>
        </w:rPr>
      </w:pPr>
      <w:r>
        <w:rPr>
          <w:bCs/>
        </w:rPr>
        <w:t>N</w:t>
      </w:r>
      <w:r w:rsidRPr="00892206">
        <w:rPr>
          <w:bCs/>
        </w:rPr>
        <w:t>os permite identificar rápidamente a los líderes, las áreas de trabajo y las relaciones entre los empleados.</w:t>
      </w:r>
    </w:p>
    <w:p w14:paraId="6E12BFFD" w14:textId="77777777" w:rsidR="00892206" w:rsidRPr="004E2A82" w:rsidRDefault="00892206" w:rsidP="002200E5">
      <w:pPr>
        <w:rPr>
          <w:lang w:val="en-US"/>
        </w:rPr>
      </w:pPr>
    </w:p>
    <w:p w14:paraId="54F9C1E1" w14:textId="35AC7C9C" w:rsidR="000B090E" w:rsidRDefault="000B090E" w:rsidP="006631B3">
      <w:pPr>
        <w:pStyle w:val="Ttulo2"/>
      </w:pPr>
      <w:bookmarkStart w:id="8" w:name="_Toc206761709"/>
      <w:r>
        <w:t>Descripción del puesto o área de trabajo del estudiante</w:t>
      </w:r>
      <w:bookmarkEnd w:id="8"/>
      <w:r>
        <w:t xml:space="preserve"> </w:t>
      </w:r>
    </w:p>
    <w:p w14:paraId="7734B2BC" w14:textId="77777777" w:rsidR="00892206" w:rsidRDefault="00892206" w:rsidP="00892206"/>
    <w:p w14:paraId="7A67408B" w14:textId="74981F15" w:rsidR="00EB616B" w:rsidRPr="00EB616B" w:rsidRDefault="00892206" w:rsidP="00EB616B">
      <w:pPr>
        <w:rPr>
          <w:bCs/>
        </w:rPr>
      </w:pPr>
      <w:r>
        <w:t xml:space="preserve">El Instituto </w:t>
      </w:r>
      <w:r w:rsidR="00EB616B">
        <w:t>Tecnológico</w:t>
      </w:r>
      <w:r>
        <w:t xml:space="preserve"> Superior De Comalcalco</w:t>
      </w:r>
      <w:r w:rsidR="00EB616B">
        <w:t xml:space="preserve"> tiene un</w:t>
      </w:r>
      <w:r w:rsidR="00EB616B" w:rsidRPr="00EB616B">
        <w:rPr>
          <w:bCs/>
        </w:rPr>
        <w:t xml:space="preserve"> área de Tecnología de información (</w:t>
      </w:r>
      <w:r w:rsidR="00EB616B" w:rsidRPr="00EB616B">
        <w:rPr>
          <w:bCs/>
        </w:rPr>
        <w:t>TI)</w:t>
      </w:r>
      <w:r w:rsidR="00EB616B">
        <w:rPr>
          <w:bCs/>
        </w:rPr>
        <w:t xml:space="preserve"> </w:t>
      </w:r>
      <w:r w:rsidR="00EB616B" w:rsidRPr="00EB616B">
        <w:rPr>
          <w:bCs/>
        </w:rPr>
        <w:t>queda</w:t>
      </w:r>
      <w:r w:rsidR="00EB616B" w:rsidRPr="00EB616B">
        <w:rPr>
          <w:bCs/>
        </w:rPr>
        <w:t xml:space="preserve"> en el edificio </w:t>
      </w:r>
      <w:r w:rsidR="00EB616B">
        <w:rPr>
          <w:bCs/>
        </w:rPr>
        <w:t>(</w:t>
      </w:r>
      <w:r w:rsidR="00EB616B" w:rsidRPr="00EB616B">
        <w:rPr>
          <w:bCs/>
        </w:rPr>
        <w:t>I</w:t>
      </w:r>
      <w:r w:rsidR="00EB616B">
        <w:rPr>
          <w:bCs/>
        </w:rPr>
        <w:t>)</w:t>
      </w:r>
      <w:r w:rsidR="00EB616B" w:rsidRPr="00EB616B">
        <w:rPr>
          <w:bCs/>
        </w:rPr>
        <w:t xml:space="preserve"> planta alta y alado está el </w:t>
      </w:r>
      <w:r w:rsidR="00EB616B">
        <w:rPr>
          <w:bCs/>
        </w:rPr>
        <w:t>aula</w:t>
      </w:r>
      <w:r w:rsidR="00EB616B" w:rsidRPr="00EB616B">
        <w:rPr>
          <w:bCs/>
        </w:rPr>
        <w:t xml:space="preserve"> </w:t>
      </w:r>
      <w:r w:rsidR="00EB616B">
        <w:rPr>
          <w:bCs/>
        </w:rPr>
        <w:t>especialmente para maestros</w:t>
      </w:r>
      <w:r w:rsidR="00EB616B" w:rsidRPr="00EB616B">
        <w:rPr>
          <w:bCs/>
        </w:rPr>
        <w:t xml:space="preserve"> de ingeniería sistemas computacionales,</w:t>
      </w:r>
      <w:r w:rsidR="00EB616B">
        <w:rPr>
          <w:bCs/>
        </w:rPr>
        <w:t xml:space="preserve"> </w:t>
      </w:r>
      <w:r w:rsidR="00EB616B" w:rsidRPr="00EB616B">
        <w:rPr>
          <w:bCs/>
        </w:rPr>
        <w:t>hay</w:t>
      </w:r>
      <w:r w:rsidR="00EB616B" w:rsidRPr="00EB616B">
        <w:rPr>
          <w:bCs/>
        </w:rPr>
        <w:t xml:space="preserve"> </w:t>
      </w:r>
      <w:r w:rsidR="00EB616B">
        <w:rPr>
          <w:bCs/>
        </w:rPr>
        <w:t>aulas que son</w:t>
      </w:r>
      <w:r w:rsidR="00EB616B" w:rsidRPr="00EB616B">
        <w:rPr>
          <w:bCs/>
        </w:rPr>
        <w:t xml:space="preserve"> computacionales para los alumnos del instituto, el Doc. Ramon </w:t>
      </w:r>
      <w:r w:rsidR="00EB616B" w:rsidRPr="00EB616B">
        <w:rPr>
          <w:bCs/>
        </w:rPr>
        <w:t>Izquierdo</w:t>
      </w:r>
      <w:r w:rsidR="00EB616B" w:rsidRPr="00EB616B">
        <w:rPr>
          <w:bCs/>
        </w:rPr>
        <w:t xml:space="preserve"> </w:t>
      </w:r>
      <w:r w:rsidR="00EB616B" w:rsidRPr="00EB616B">
        <w:rPr>
          <w:bCs/>
        </w:rPr>
        <w:t>Córdoba</w:t>
      </w:r>
      <w:r w:rsidR="00EB616B" w:rsidRPr="00EB616B">
        <w:rPr>
          <w:bCs/>
        </w:rPr>
        <w:t xml:space="preserve"> es el encargado de TI el cual también participa como asesor externo </w:t>
      </w:r>
    </w:p>
    <w:p w14:paraId="61C8D0DE" w14:textId="66242122" w:rsidR="00892206" w:rsidRPr="00892206" w:rsidRDefault="00892206" w:rsidP="00892206"/>
    <w:p w14:paraId="41CEDD9E" w14:textId="19A4F016" w:rsidR="000B090E" w:rsidRDefault="000B090E" w:rsidP="006631B3">
      <w:pPr>
        <w:pStyle w:val="Ttulo2"/>
      </w:pPr>
      <w:bookmarkStart w:id="9" w:name="_Toc206761710"/>
      <w:proofErr w:type="gramStart"/>
      <w:r>
        <w:t>Problemáticas a resolver</w:t>
      </w:r>
      <w:bookmarkEnd w:id="9"/>
      <w:proofErr w:type="gramEnd"/>
    </w:p>
    <w:p w14:paraId="56FAA009" w14:textId="77777777" w:rsidR="00EB616B" w:rsidRDefault="00EB616B" w:rsidP="00EB616B"/>
    <w:p w14:paraId="3C76F912" w14:textId="374131EB" w:rsidR="00EB616B" w:rsidRDefault="00EB616B" w:rsidP="00EB616B">
      <w:pPr>
        <w:rPr>
          <w:bCs/>
        </w:rPr>
      </w:pPr>
      <w:r>
        <w:t>El Instituto Tecnológico Superior De Comalcalco tiene un</w:t>
      </w:r>
      <w:r w:rsidRPr="00EB616B">
        <w:rPr>
          <w:bCs/>
        </w:rPr>
        <w:t xml:space="preserve"> área de Tecnología de información (TI)</w:t>
      </w:r>
      <w:r>
        <w:rPr>
          <w:bCs/>
        </w:rPr>
        <w:t>, a</w:t>
      </w:r>
      <w:r w:rsidRPr="00EB616B">
        <w:rPr>
          <w:bCs/>
        </w:rPr>
        <w:t xml:space="preserve">ctualmente, el control de los bienes del Instituto se realiza de manera manual o a través de herramientas poco integradas, lo que genera inconsistencias en los registros, pérdida de tiempo en la búsqueda de información y dificultad para realizar </w:t>
      </w:r>
      <w:r w:rsidRPr="00EB616B">
        <w:rPr>
          <w:bCs/>
        </w:rPr>
        <w:lastRenderedPageBreak/>
        <w:t>auditorías efectivas. La falta de un sistema centralizado incrementa el riesgo de extravío o mal uso de los activos, afectando la eficiencia operativa y la confiabilidad de los informes patrimoniales. El desarrollo de este sistema se justifica como una solución tecnológica integral que optimizará los procesos, reducirá los errores humanos y proporcionará una visión en tiempo real del inventario, lo que se traducirá en un ahorro de recursos y una gestión más robusta y segura del patrimonio institucional.</w:t>
      </w:r>
    </w:p>
    <w:p w14:paraId="116EDA97" w14:textId="77777777" w:rsidR="00813863" w:rsidRPr="00EB616B" w:rsidRDefault="00813863" w:rsidP="00EB616B"/>
    <w:p w14:paraId="567D512B" w14:textId="631E5A54" w:rsidR="000B090E" w:rsidRDefault="000B090E" w:rsidP="006631B3">
      <w:pPr>
        <w:pStyle w:val="Ttulo3"/>
        <w:numPr>
          <w:ilvl w:val="2"/>
          <w:numId w:val="2"/>
        </w:numPr>
      </w:pPr>
      <w:bookmarkStart w:id="10" w:name="_Toc206761712"/>
      <w:r>
        <w:t>Misión</w:t>
      </w:r>
      <w:bookmarkEnd w:id="10"/>
      <w:r>
        <w:t xml:space="preserve"> </w:t>
      </w:r>
    </w:p>
    <w:p w14:paraId="1E7C219C" w14:textId="7A9C52A3" w:rsidR="007376D2" w:rsidRDefault="007376D2" w:rsidP="007376D2">
      <w:pPr>
        <w:jc w:val="both"/>
        <w:rPr>
          <w:rFonts w:ascii="Arial" w:hAnsi="Arial" w:cs="Arial"/>
          <w:sz w:val="24"/>
          <w:szCs w:val="24"/>
        </w:rPr>
      </w:pPr>
      <w:r w:rsidRPr="007376D2">
        <w:rPr>
          <w:rFonts w:ascii="Arial" w:hAnsi="Arial" w:cs="Arial"/>
          <w:sz w:val="24"/>
          <w:szCs w:val="24"/>
        </w:rPr>
        <w:t>Ofrecer educación superior tecnológica integral, que permita formar personas competentes con valores, mediante servicios educativos de calidad, para contribuir al desarrollo sostenible en un contexto global.</w:t>
      </w:r>
    </w:p>
    <w:p w14:paraId="774C6A4C" w14:textId="77777777" w:rsidR="00813863" w:rsidRPr="007376D2" w:rsidRDefault="00813863" w:rsidP="007376D2">
      <w:pPr>
        <w:jc w:val="both"/>
        <w:rPr>
          <w:rFonts w:ascii="Arial" w:hAnsi="Arial" w:cs="Arial"/>
          <w:sz w:val="24"/>
          <w:szCs w:val="24"/>
        </w:rPr>
      </w:pPr>
    </w:p>
    <w:p w14:paraId="2AC51ECB" w14:textId="1D3328F9" w:rsidR="000B090E" w:rsidRDefault="000B090E" w:rsidP="006631B3">
      <w:pPr>
        <w:pStyle w:val="Ttulo3"/>
        <w:numPr>
          <w:ilvl w:val="2"/>
          <w:numId w:val="2"/>
        </w:numPr>
      </w:pPr>
      <w:bookmarkStart w:id="11" w:name="_Toc206761713"/>
      <w:r>
        <w:t>Visión</w:t>
      </w:r>
      <w:bookmarkEnd w:id="11"/>
      <w:r>
        <w:t xml:space="preserve"> </w:t>
      </w:r>
    </w:p>
    <w:p w14:paraId="4EB79838" w14:textId="218A9C75" w:rsidR="007376D2" w:rsidRDefault="002200E5" w:rsidP="002200E5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2200E5">
        <w:rPr>
          <w:rFonts w:ascii="Arial" w:hAnsi="Arial" w:cs="Arial"/>
          <w:sz w:val="24"/>
          <w:szCs w:val="24"/>
          <w:shd w:val="clear" w:color="auto" w:fill="FFFFFF"/>
        </w:rPr>
        <w:t>Ser una institución educativa reconocida por su excelencia académica con programas educativos acreditados y servicios tecnológicos que propicien la creación de proyectos innovadores y de emprendimiento que contribuyan al desarrollo sostenible.</w:t>
      </w:r>
    </w:p>
    <w:p w14:paraId="449793AB" w14:textId="77777777" w:rsidR="00813863" w:rsidRPr="002200E5" w:rsidRDefault="00813863" w:rsidP="002200E5">
      <w:pPr>
        <w:jc w:val="both"/>
        <w:rPr>
          <w:rFonts w:ascii="Arial" w:hAnsi="Arial" w:cs="Arial"/>
          <w:sz w:val="24"/>
          <w:szCs w:val="24"/>
        </w:rPr>
      </w:pPr>
    </w:p>
    <w:p w14:paraId="37F70A0F" w14:textId="0EC8AC2B" w:rsidR="000B090E" w:rsidRDefault="000B090E" w:rsidP="006631B3">
      <w:pPr>
        <w:pStyle w:val="Ttulo2"/>
      </w:pPr>
      <w:bookmarkStart w:id="12" w:name="_Toc206761714"/>
      <w:r>
        <w:t>Objetivos</w:t>
      </w:r>
      <w:bookmarkEnd w:id="12"/>
      <w:r>
        <w:t xml:space="preserve"> </w:t>
      </w:r>
    </w:p>
    <w:p w14:paraId="46621668" w14:textId="77777777" w:rsidR="00813863" w:rsidRPr="00813863" w:rsidRDefault="00813863" w:rsidP="00813863"/>
    <w:p w14:paraId="2FD25646" w14:textId="452B7350" w:rsidR="00EB616B" w:rsidRPr="00EB616B" w:rsidRDefault="00813863" w:rsidP="00EB616B">
      <w:r>
        <w:t>D</w:t>
      </w:r>
      <w:r w:rsidRPr="00813863">
        <w:t>esarrollar un sistema informático que permita la gestión eficiente del inventario de bienes muebles e inmuebles del Instituto Tecnológico Superior de Comalcalco. Esto incluye la capacidad de registrar, clasificar, asignar, dar de baja y realizar seguimientos del estado y la ubicación de cada activo. La meta es crear una herramienta digital centralizada que mejore la transparencia, la precisión y la rapidez en la administración del patrimonio institucional, facilitando la toma de decisiones y el cumplimiento de las normativas de control interno.</w:t>
      </w:r>
    </w:p>
    <w:p w14:paraId="53C384C0" w14:textId="77278304" w:rsidR="000B090E" w:rsidRDefault="000B090E" w:rsidP="006631B3">
      <w:pPr>
        <w:pStyle w:val="Ttulo3"/>
        <w:numPr>
          <w:ilvl w:val="2"/>
          <w:numId w:val="2"/>
        </w:numPr>
      </w:pPr>
      <w:bookmarkStart w:id="13" w:name="_Toc206761715"/>
      <w:r>
        <w:t>Objetivos específicos</w:t>
      </w:r>
      <w:bookmarkEnd w:id="13"/>
      <w:r>
        <w:t xml:space="preserve"> </w:t>
      </w:r>
    </w:p>
    <w:p w14:paraId="64FFB5BB" w14:textId="77777777" w:rsidR="00813863" w:rsidRDefault="00813863" w:rsidP="00813863">
      <w:pPr>
        <w:pStyle w:val="Ttulo3"/>
        <w:numPr>
          <w:ilvl w:val="0"/>
          <w:numId w:val="0"/>
        </w:numPr>
      </w:pPr>
    </w:p>
    <w:p w14:paraId="778B96C4" w14:textId="751BE933" w:rsidR="00F12793" w:rsidRPr="00F12793" w:rsidRDefault="00F12793" w:rsidP="00F12793">
      <w:pPr>
        <w:pStyle w:val="Ttulo3"/>
        <w:rPr>
          <w:b w:val="0"/>
          <w:bCs w:val="0"/>
          <w:lang w:val="es-MX"/>
        </w:rPr>
      </w:pPr>
      <w:r w:rsidRPr="00F12793">
        <w:rPr>
          <w:b w:val="0"/>
          <w:bCs w:val="0"/>
          <w:lang w:val="es-MX"/>
        </w:rPr>
        <w:t>Diseñar la base de datos centralizada que permita almacenar de manera organizada la información de los bienes muebles e inmuebles del Instituto, garantizando integridad, consistencia y disponibilidad de los datos.</w:t>
      </w:r>
    </w:p>
    <w:p w14:paraId="4123E31A" w14:textId="2CD7FD44" w:rsidR="00F12793" w:rsidRPr="00F12793" w:rsidRDefault="00F12793" w:rsidP="00F12793">
      <w:pPr>
        <w:pStyle w:val="Ttulo3"/>
        <w:rPr>
          <w:b w:val="0"/>
          <w:bCs w:val="0"/>
          <w:lang w:val="es-MX"/>
        </w:rPr>
      </w:pPr>
      <w:r w:rsidRPr="00F12793">
        <w:rPr>
          <w:b w:val="0"/>
          <w:bCs w:val="0"/>
          <w:lang w:val="es-MX"/>
        </w:rPr>
        <w:t>Desarrollar un sistema web que facilite el registro, clasificación, asignación y baja de activos en tiempo real, mejorando la trazabilidad y reduciendo los errores manuales en el control de inventario.</w:t>
      </w:r>
    </w:p>
    <w:p w14:paraId="18CC26B4" w14:textId="630AB53E" w:rsidR="00F12793" w:rsidRPr="00F12793" w:rsidRDefault="00F12793" w:rsidP="00F12793">
      <w:pPr>
        <w:pStyle w:val="Ttulo3"/>
        <w:rPr>
          <w:b w:val="0"/>
          <w:bCs w:val="0"/>
          <w:lang w:val="es-MX"/>
        </w:rPr>
      </w:pPr>
      <w:r w:rsidRPr="00F12793">
        <w:rPr>
          <w:b w:val="0"/>
          <w:bCs w:val="0"/>
          <w:lang w:val="es-MX"/>
        </w:rPr>
        <w:t>Implementar módulos de reportes y auditoría, que generen informes automáticos y precisos sobre el estado, ubicación y uso de los bienes, para apoyar la toma de decisiones y el cumplimiento de normativas internas.</w:t>
      </w:r>
    </w:p>
    <w:p w14:paraId="6AF57B17" w14:textId="1100B41F" w:rsidR="00F12793" w:rsidRPr="00F12793" w:rsidRDefault="00F12793" w:rsidP="00F12793">
      <w:pPr>
        <w:pStyle w:val="Ttulo3"/>
        <w:rPr>
          <w:b w:val="0"/>
          <w:bCs w:val="0"/>
          <w:lang w:val="es-MX"/>
        </w:rPr>
      </w:pPr>
      <w:r w:rsidRPr="00F12793">
        <w:rPr>
          <w:b w:val="0"/>
          <w:bCs w:val="0"/>
          <w:lang w:val="es-MX"/>
        </w:rPr>
        <w:t>Capacitar al personal administrativo y de TI en el uso del sistema, asegurando su correcta adopción y fomentando la eficiencia en la gestión de los recursos institucionales.</w:t>
      </w:r>
    </w:p>
    <w:p w14:paraId="2F5D65BC" w14:textId="5BF79402" w:rsidR="00813863" w:rsidRDefault="00813863" w:rsidP="00813863">
      <w:pPr>
        <w:pStyle w:val="Ttulo3"/>
        <w:numPr>
          <w:ilvl w:val="0"/>
          <w:numId w:val="0"/>
        </w:numPr>
      </w:pPr>
    </w:p>
    <w:p w14:paraId="41DA36F3" w14:textId="5BF79402" w:rsidR="000B090E" w:rsidRDefault="000B090E" w:rsidP="006631B3">
      <w:pPr>
        <w:pStyle w:val="Ttulo2"/>
      </w:pPr>
      <w:bookmarkStart w:id="14" w:name="_Toc206761716"/>
      <w:r>
        <w:lastRenderedPageBreak/>
        <w:t>Justificación</w:t>
      </w:r>
      <w:bookmarkEnd w:id="14"/>
      <w:r>
        <w:t xml:space="preserve"> </w:t>
      </w:r>
    </w:p>
    <w:p w14:paraId="1066D56D" w14:textId="77777777" w:rsidR="00F12793" w:rsidRDefault="00F12793" w:rsidP="00F12793">
      <w:pPr>
        <w:rPr>
          <w:lang w:val="es-MX"/>
        </w:rPr>
      </w:pPr>
    </w:p>
    <w:p w14:paraId="5F33CE0D" w14:textId="0BE2A1D3" w:rsidR="00F12793" w:rsidRPr="00F12793" w:rsidRDefault="00F12793" w:rsidP="00F12793">
      <w:pPr>
        <w:rPr>
          <w:lang w:val="es-MX"/>
        </w:rPr>
      </w:pPr>
      <w:r w:rsidRPr="00F12793">
        <w:rPr>
          <w:lang w:val="es-MX"/>
        </w:rPr>
        <w:t>Actualmente, el control de los bienes se realiza de manera manual o mediante herramientas no integradas, lo que ocasiona pérdida de tiempo, inconsistencias en los registros, duplicidad de información y dificultad para generar reportes confiables.</w:t>
      </w:r>
    </w:p>
    <w:p w14:paraId="61749FCA" w14:textId="77777777" w:rsidR="00F12793" w:rsidRPr="00F12793" w:rsidRDefault="00F12793" w:rsidP="00F12793">
      <w:pPr>
        <w:rPr>
          <w:lang w:val="es-MX"/>
        </w:rPr>
      </w:pPr>
      <w:r w:rsidRPr="00F12793">
        <w:rPr>
          <w:lang w:val="es-MX"/>
        </w:rPr>
        <w:t>Con la implementación de un sistema centralizado, será posible contar con una plataforma que agilice el registro, clasificación, seguimiento y baja de los activos, garantizando un control más transparente, preciso y seguro. Este proyecto contribuirá a la reducción de errores humanos, a la mejora en la eficiencia operativa y a la disponibilidad inmediata de información actualizada para auditorías y toma de decisiones estratégicas.</w:t>
      </w:r>
    </w:p>
    <w:p w14:paraId="5222E4C5" w14:textId="77777777" w:rsidR="00F12793" w:rsidRDefault="00F12793" w:rsidP="00F12793">
      <w:pPr>
        <w:rPr>
          <w:lang w:val="es-MX"/>
        </w:rPr>
      </w:pPr>
      <w:r w:rsidRPr="00F12793">
        <w:rPr>
          <w:lang w:val="es-MX"/>
        </w:rPr>
        <w:t>Además, el sistema permitirá al Instituto cumplir de forma más efectiva con las normativas de control interno y rendición de cuentas, fortaleciendo la administración de los recursos públicos y generando un impacto positivo en la gestión institucional. Por lo tanto, este proyecto no solo representa una solución tecnológica, sino también una herramienta de apoyo clave para la mejora continua y la transparencia en la administración de los bienes del Instituto.</w:t>
      </w:r>
    </w:p>
    <w:p w14:paraId="1B3AFD22" w14:textId="77777777" w:rsidR="00626084" w:rsidRDefault="00626084" w:rsidP="00F12793">
      <w:pPr>
        <w:rPr>
          <w:lang w:val="es-MX"/>
        </w:rPr>
      </w:pPr>
    </w:p>
    <w:p w14:paraId="46F2EE46" w14:textId="77777777" w:rsidR="00626084" w:rsidRDefault="00626084" w:rsidP="00F12793">
      <w:pPr>
        <w:rPr>
          <w:lang w:val="es-MX"/>
        </w:rPr>
      </w:pPr>
    </w:p>
    <w:p w14:paraId="08117736" w14:textId="77777777" w:rsidR="00626084" w:rsidRDefault="00626084" w:rsidP="00F12793">
      <w:pPr>
        <w:rPr>
          <w:lang w:val="es-MX"/>
        </w:rPr>
      </w:pPr>
    </w:p>
    <w:p w14:paraId="0A49244B" w14:textId="77777777" w:rsidR="00626084" w:rsidRDefault="00626084" w:rsidP="00F12793">
      <w:pPr>
        <w:rPr>
          <w:lang w:val="es-MX"/>
        </w:rPr>
      </w:pPr>
    </w:p>
    <w:p w14:paraId="6EBE4769" w14:textId="77777777" w:rsidR="00626084" w:rsidRDefault="00626084" w:rsidP="00F12793">
      <w:pPr>
        <w:rPr>
          <w:lang w:val="es-MX"/>
        </w:rPr>
      </w:pPr>
    </w:p>
    <w:p w14:paraId="1FB62DE8" w14:textId="77777777" w:rsidR="00626084" w:rsidRDefault="00626084" w:rsidP="00F12793">
      <w:pPr>
        <w:rPr>
          <w:lang w:val="es-MX"/>
        </w:rPr>
      </w:pPr>
    </w:p>
    <w:p w14:paraId="04595A58" w14:textId="77777777" w:rsidR="00626084" w:rsidRDefault="00626084" w:rsidP="00F12793">
      <w:pPr>
        <w:rPr>
          <w:lang w:val="es-MX"/>
        </w:rPr>
      </w:pPr>
    </w:p>
    <w:p w14:paraId="52A5EA06" w14:textId="77777777" w:rsidR="00626084" w:rsidRDefault="00626084" w:rsidP="00F12793">
      <w:pPr>
        <w:rPr>
          <w:lang w:val="es-MX"/>
        </w:rPr>
      </w:pPr>
    </w:p>
    <w:p w14:paraId="750863A7" w14:textId="77777777" w:rsidR="00626084" w:rsidRDefault="00626084" w:rsidP="00F12793">
      <w:pPr>
        <w:rPr>
          <w:lang w:val="es-MX"/>
        </w:rPr>
      </w:pPr>
    </w:p>
    <w:p w14:paraId="0DFF6C3A" w14:textId="77777777" w:rsidR="00626084" w:rsidRDefault="00626084" w:rsidP="00F12793">
      <w:pPr>
        <w:rPr>
          <w:lang w:val="es-MX"/>
        </w:rPr>
      </w:pPr>
    </w:p>
    <w:p w14:paraId="462328B5" w14:textId="77777777" w:rsidR="00626084" w:rsidRDefault="00626084" w:rsidP="00F12793">
      <w:pPr>
        <w:rPr>
          <w:lang w:val="es-MX"/>
        </w:rPr>
      </w:pPr>
    </w:p>
    <w:p w14:paraId="47178680" w14:textId="77777777" w:rsidR="00626084" w:rsidRDefault="00626084" w:rsidP="00F12793">
      <w:pPr>
        <w:rPr>
          <w:lang w:val="es-MX"/>
        </w:rPr>
      </w:pPr>
    </w:p>
    <w:p w14:paraId="6180CBB2" w14:textId="77777777" w:rsidR="00626084" w:rsidRDefault="00626084" w:rsidP="00F12793">
      <w:pPr>
        <w:rPr>
          <w:lang w:val="es-MX"/>
        </w:rPr>
      </w:pPr>
    </w:p>
    <w:p w14:paraId="73748875" w14:textId="77777777" w:rsidR="00626084" w:rsidRPr="00F12793" w:rsidRDefault="00626084" w:rsidP="00F12793">
      <w:pPr>
        <w:rPr>
          <w:lang w:val="es-MX"/>
        </w:rPr>
      </w:pPr>
    </w:p>
    <w:p w14:paraId="3660DA9D" w14:textId="77777777" w:rsidR="00F12793" w:rsidRPr="00F12793" w:rsidRDefault="00F12793" w:rsidP="00F12793"/>
    <w:p w14:paraId="47FBEAF6" w14:textId="4BD08455" w:rsidR="000B090E" w:rsidRDefault="000B090E" w:rsidP="006631B3">
      <w:pPr>
        <w:pStyle w:val="Ttulo2"/>
      </w:pPr>
      <w:bookmarkStart w:id="15" w:name="_Toc206761717"/>
      <w:r>
        <w:t>Introducción</w:t>
      </w:r>
      <w:bookmarkEnd w:id="15"/>
      <w:r>
        <w:t xml:space="preserve"> </w:t>
      </w:r>
    </w:p>
    <w:p w14:paraId="197196C9" w14:textId="77777777" w:rsidR="000B090E" w:rsidRDefault="000B090E" w:rsidP="006631B3">
      <w:pPr>
        <w:pStyle w:val="Ttulo3"/>
        <w:numPr>
          <w:ilvl w:val="0"/>
          <w:numId w:val="0"/>
        </w:numPr>
        <w:ind w:left="396"/>
      </w:pPr>
    </w:p>
    <w:p w14:paraId="6E1993A7" w14:textId="40183471" w:rsidR="00626084" w:rsidRPr="00626084" w:rsidRDefault="00626084" w:rsidP="00626084">
      <w:pPr>
        <w:rPr>
          <w:rFonts w:ascii="Arial" w:hAnsi="Arial" w:cs="Arial"/>
          <w:sz w:val="24"/>
          <w:szCs w:val="24"/>
          <w:lang w:val="es-MX"/>
        </w:rPr>
      </w:pPr>
      <w:r w:rsidRPr="00626084">
        <w:rPr>
          <w:rFonts w:ascii="Arial" w:hAnsi="Arial" w:cs="Arial"/>
          <w:sz w:val="24"/>
          <w:szCs w:val="24"/>
          <w:lang w:val="es-MX"/>
        </w:rPr>
        <w:t xml:space="preserve">En la actualidad, las instituciones educativas enfrentan el reto de administrar de manera eficiente sus recursos materiales y financieros, garantizando </w:t>
      </w:r>
      <w:r>
        <w:rPr>
          <w:rFonts w:ascii="Arial" w:hAnsi="Arial" w:cs="Arial"/>
          <w:sz w:val="24"/>
          <w:szCs w:val="24"/>
          <w:lang w:val="es-MX"/>
        </w:rPr>
        <w:t>organización del Instituto.</w:t>
      </w:r>
    </w:p>
    <w:p w14:paraId="664265DA" w14:textId="141CADA7" w:rsidR="00626084" w:rsidRPr="00626084" w:rsidRDefault="00626084" w:rsidP="00626084">
      <w:pPr>
        <w:rPr>
          <w:rFonts w:ascii="Arial" w:hAnsi="Arial" w:cs="Arial"/>
          <w:sz w:val="24"/>
          <w:szCs w:val="24"/>
          <w:lang w:val="es-MX"/>
        </w:rPr>
      </w:pPr>
      <w:r w:rsidRPr="00626084">
        <w:rPr>
          <w:rFonts w:ascii="Arial" w:hAnsi="Arial" w:cs="Arial"/>
          <w:sz w:val="24"/>
          <w:szCs w:val="24"/>
          <w:lang w:val="es-MX"/>
        </w:rPr>
        <w:t xml:space="preserve">El control de los </w:t>
      </w:r>
      <w:r>
        <w:rPr>
          <w:rFonts w:ascii="Arial" w:hAnsi="Arial" w:cs="Arial"/>
          <w:sz w:val="24"/>
          <w:szCs w:val="24"/>
          <w:lang w:val="es-MX"/>
        </w:rPr>
        <w:t>activos</w:t>
      </w:r>
      <w:r w:rsidRPr="00626084">
        <w:rPr>
          <w:rFonts w:ascii="Arial" w:hAnsi="Arial" w:cs="Arial"/>
          <w:sz w:val="24"/>
          <w:szCs w:val="24"/>
          <w:lang w:val="es-MX"/>
        </w:rPr>
        <w:t xml:space="preserve"> institucionales se ha realizado de forma manual o mediante herramientas poco integradas, lo cual genera limitaciones como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  <w:r w:rsidRPr="00626084">
        <w:rPr>
          <w:rFonts w:ascii="Arial" w:hAnsi="Arial" w:cs="Arial"/>
          <w:sz w:val="24"/>
          <w:szCs w:val="24"/>
          <w:lang w:val="es-MX"/>
        </w:rPr>
        <w:t>en los registros, pérdida de información, procesos lentos y dificultades para realizar auditorías internas o externas. Estas problemáticas impactan negativamente en la eficiencia administrativa y en la toma de decisiones estratégicas.</w:t>
      </w:r>
    </w:p>
    <w:p w14:paraId="1C4A4386" w14:textId="77777777" w:rsidR="00626084" w:rsidRPr="00626084" w:rsidRDefault="00626084" w:rsidP="00626084">
      <w:pPr>
        <w:rPr>
          <w:rFonts w:ascii="Arial" w:hAnsi="Arial" w:cs="Arial"/>
          <w:sz w:val="24"/>
          <w:szCs w:val="24"/>
          <w:lang w:val="es-MX"/>
        </w:rPr>
      </w:pPr>
      <w:r w:rsidRPr="00626084">
        <w:rPr>
          <w:rFonts w:ascii="Arial" w:hAnsi="Arial" w:cs="Arial"/>
          <w:sz w:val="24"/>
          <w:szCs w:val="24"/>
          <w:lang w:val="es-MX"/>
        </w:rPr>
        <w:t>Ante esta situación, surge la necesidad de desarrollar un Sistema de Información que permita centralizar y automatizar los procesos de control y gestión de bienes del Instituto. Dicho sistema proporcionará una plataforma digital que facilite el registro, clasificación, asignación, seguimiento y baja de activos, además de generar reportes confiables y en tiempo real.</w:t>
      </w:r>
    </w:p>
    <w:p w14:paraId="680D31A9" w14:textId="1C2F9BE8" w:rsidR="00626084" w:rsidRPr="00626084" w:rsidRDefault="00626084" w:rsidP="00626084">
      <w:pPr>
        <w:rPr>
          <w:rFonts w:ascii="Arial" w:hAnsi="Arial" w:cs="Arial"/>
          <w:sz w:val="24"/>
          <w:szCs w:val="24"/>
          <w:lang w:val="es-MX"/>
        </w:rPr>
      </w:pPr>
      <w:r w:rsidRPr="00626084">
        <w:rPr>
          <w:rFonts w:ascii="Arial" w:hAnsi="Arial" w:cs="Arial"/>
          <w:sz w:val="24"/>
          <w:szCs w:val="24"/>
          <w:lang w:val="es-MX"/>
        </w:rPr>
        <w:t xml:space="preserve">El presente proyecto busca no solo modernizar el proceso de control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Tecnologico</w:t>
      </w:r>
      <w:proofErr w:type="spellEnd"/>
      <w:r w:rsidRPr="00626084">
        <w:rPr>
          <w:rFonts w:ascii="Arial" w:hAnsi="Arial" w:cs="Arial"/>
          <w:sz w:val="24"/>
          <w:szCs w:val="24"/>
          <w:lang w:val="es-MX"/>
        </w:rPr>
        <w:t xml:space="preserve"> sino también contribuir a la mejora de la transparencia institucional, al </w:t>
      </w:r>
      <w:r w:rsidRPr="00626084">
        <w:rPr>
          <w:rFonts w:ascii="Arial" w:hAnsi="Arial" w:cs="Arial"/>
          <w:sz w:val="24"/>
          <w:szCs w:val="24"/>
          <w:lang w:val="es-MX"/>
        </w:rPr>
        <w:lastRenderedPageBreak/>
        <w:t>cumplimiento de normativas de control interno y a la optimización de los recursos disponibles. De esta manera, se fortalecerán las bases administrativas y tecnológicas que apoyan el desarrollo académico y organizacional del Instituto Tecnológico Superior de Comalcalco.</w:t>
      </w:r>
    </w:p>
    <w:p w14:paraId="1E4F3246" w14:textId="77777777" w:rsidR="000B090E" w:rsidRDefault="000B090E" w:rsidP="000B090E">
      <w:pPr>
        <w:rPr>
          <w:rFonts w:ascii="Arial" w:hAnsi="Arial" w:cs="Arial"/>
          <w:sz w:val="24"/>
          <w:szCs w:val="24"/>
        </w:rPr>
      </w:pPr>
    </w:p>
    <w:p w14:paraId="761ACD07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7D589794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2C5A50B4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0DA7F059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1655E820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16490A66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7CAB21DE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337D468B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1A873D2B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77000F28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6DB6ECE8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551FA161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558C383C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2B2312B9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2A46E286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7A82CF4D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49FBD05F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2B641AE0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38D2EFE0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0712BF19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45C88BDF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6916BD9F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3B7941BC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452851BC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0CEAB311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2A54C7E5" w14:textId="77777777" w:rsidR="00626084" w:rsidRDefault="00626084" w:rsidP="000B090E">
      <w:pPr>
        <w:rPr>
          <w:rFonts w:ascii="Arial" w:hAnsi="Arial" w:cs="Arial"/>
          <w:sz w:val="24"/>
          <w:szCs w:val="24"/>
        </w:rPr>
      </w:pPr>
    </w:p>
    <w:p w14:paraId="43E6526E" w14:textId="77777777" w:rsidR="00626084" w:rsidRPr="00626084" w:rsidRDefault="00626084" w:rsidP="00626084">
      <w:pPr>
        <w:jc w:val="center"/>
        <w:rPr>
          <w:rFonts w:ascii="Arial" w:hAnsi="Arial" w:cs="Arial"/>
          <w:sz w:val="96"/>
          <w:szCs w:val="96"/>
        </w:rPr>
      </w:pPr>
    </w:p>
    <w:p w14:paraId="564ADEBB" w14:textId="77777777" w:rsidR="00626084" w:rsidRPr="00626084" w:rsidRDefault="00626084" w:rsidP="00626084">
      <w:pPr>
        <w:jc w:val="center"/>
        <w:rPr>
          <w:rFonts w:ascii="Arial" w:hAnsi="Arial" w:cs="Arial"/>
          <w:sz w:val="96"/>
          <w:szCs w:val="96"/>
        </w:rPr>
      </w:pPr>
    </w:p>
    <w:p w14:paraId="364126C5" w14:textId="77777777" w:rsidR="00626084" w:rsidRPr="00626084" w:rsidRDefault="00626084" w:rsidP="00626084">
      <w:pPr>
        <w:jc w:val="center"/>
        <w:rPr>
          <w:rFonts w:ascii="Arial" w:hAnsi="Arial" w:cs="Arial"/>
          <w:sz w:val="96"/>
          <w:szCs w:val="96"/>
        </w:rPr>
      </w:pPr>
    </w:p>
    <w:p w14:paraId="4F4006EB" w14:textId="77777777" w:rsidR="00626084" w:rsidRPr="00626084" w:rsidRDefault="00626084" w:rsidP="00626084">
      <w:pPr>
        <w:jc w:val="center"/>
        <w:rPr>
          <w:rFonts w:ascii="Arial" w:hAnsi="Arial" w:cs="Arial"/>
          <w:sz w:val="96"/>
          <w:szCs w:val="96"/>
        </w:rPr>
      </w:pPr>
    </w:p>
    <w:p w14:paraId="45AB0DC2" w14:textId="77777777" w:rsidR="00626084" w:rsidRPr="00626084" w:rsidRDefault="00626084" w:rsidP="00626084">
      <w:pPr>
        <w:jc w:val="center"/>
        <w:rPr>
          <w:rFonts w:ascii="Arial" w:hAnsi="Arial" w:cs="Arial"/>
          <w:b/>
          <w:sz w:val="96"/>
          <w:szCs w:val="96"/>
        </w:rPr>
      </w:pPr>
      <w:r w:rsidRPr="00626084">
        <w:rPr>
          <w:rFonts w:ascii="Arial" w:hAnsi="Arial" w:cs="Arial"/>
          <w:b/>
          <w:sz w:val="96"/>
          <w:szCs w:val="96"/>
        </w:rPr>
        <w:lastRenderedPageBreak/>
        <w:t>CAPÍTULO 2: MARCO TEÓRICO</w:t>
      </w:r>
    </w:p>
    <w:p w14:paraId="4E3BB400" w14:textId="77777777" w:rsidR="00626084" w:rsidRPr="00626084" w:rsidRDefault="00626084" w:rsidP="00626084">
      <w:pPr>
        <w:jc w:val="center"/>
        <w:rPr>
          <w:rFonts w:ascii="Arial" w:hAnsi="Arial" w:cs="Arial"/>
          <w:b/>
          <w:sz w:val="96"/>
          <w:szCs w:val="96"/>
        </w:rPr>
      </w:pPr>
    </w:p>
    <w:p w14:paraId="27D438C9" w14:textId="77777777" w:rsidR="00626084" w:rsidRPr="00626084" w:rsidRDefault="00626084" w:rsidP="00626084">
      <w:pPr>
        <w:jc w:val="center"/>
        <w:rPr>
          <w:rFonts w:ascii="Arial" w:hAnsi="Arial" w:cs="Arial"/>
          <w:sz w:val="96"/>
          <w:szCs w:val="96"/>
        </w:rPr>
      </w:pPr>
    </w:p>
    <w:sectPr w:rsidR="00626084" w:rsidRPr="00626084" w:rsidSect="007C780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6A1144"/>
    <w:multiLevelType w:val="multilevel"/>
    <w:tmpl w:val="8730D288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18" w:hanging="72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7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8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44" w:hanging="2160"/>
      </w:pPr>
      <w:rPr>
        <w:rFonts w:hint="default"/>
      </w:rPr>
    </w:lvl>
  </w:abstractNum>
  <w:abstractNum w:abstractNumId="1" w15:restartNumberingAfterBreak="0">
    <w:nsid w:val="6D906D9C"/>
    <w:multiLevelType w:val="multilevel"/>
    <w:tmpl w:val="79F4F63A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FB65B5E"/>
    <w:multiLevelType w:val="multilevel"/>
    <w:tmpl w:val="6F1AAD46"/>
    <w:lvl w:ilvl="0">
      <w:start w:val="1"/>
      <w:numFmt w:val="decimal"/>
      <w:lvlText w:val="%1"/>
      <w:lvlJc w:val="left"/>
      <w:pPr>
        <w:ind w:left="1414" w:hanging="432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4" w:hanging="432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38" w:hanging="696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066" w:hanging="696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080" w:hanging="696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093" w:hanging="696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06" w:hanging="69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120" w:hanging="69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33" w:hanging="696"/>
      </w:pPr>
      <w:rPr>
        <w:rFonts w:hint="default"/>
        <w:lang w:val="es-ES" w:eastAsia="en-US" w:bidi="ar-SA"/>
      </w:rPr>
    </w:lvl>
  </w:abstractNum>
  <w:num w:numId="1" w16cid:durableId="1849563788">
    <w:abstractNumId w:val="2"/>
  </w:num>
  <w:num w:numId="2" w16cid:durableId="429469384">
    <w:abstractNumId w:val="1"/>
  </w:num>
  <w:num w:numId="3" w16cid:durableId="1038773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04"/>
    <w:rsid w:val="00042C10"/>
    <w:rsid w:val="0005663E"/>
    <w:rsid w:val="000B090E"/>
    <w:rsid w:val="002200E5"/>
    <w:rsid w:val="0047404C"/>
    <w:rsid w:val="004E2A82"/>
    <w:rsid w:val="005F5AFA"/>
    <w:rsid w:val="00626084"/>
    <w:rsid w:val="006631B3"/>
    <w:rsid w:val="007376D2"/>
    <w:rsid w:val="007C7804"/>
    <w:rsid w:val="00813863"/>
    <w:rsid w:val="00892206"/>
    <w:rsid w:val="008D75F2"/>
    <w:rsid w:val="00D574E3"/>
    <w:rsid w:val="00EB616B"/>
    <w:rsid w:val="00EC2829"/>
    <w:rsid w:val="00F02D72"/>
    <w:rsid w:val="00F12793"/>
    <w:rsid w:val="00FE1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B2A08"/>
  <w15:chartTrackingRefBased/>
  <w15:docId w15:val="{7C0DA5B4-6490-441A-A464-221B20DA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4E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E12EF"/>
    <w:pPr>
      <w:jc w:val="center"/>
      <w:outlineLvl w:val="0"/>
    </w:pPr>
    <w:rPr>
      <w:rFonts w:ascii="Arial" w:hAnsi="Arial" w:cs="Arial"/>
      <w:sz w:val="116"/>
      <w:szCs w:val="116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006631B3"/>
    <w:pPr>
      <w:numPr>
        <w:ilvl w:val="1"/>
        <w:numId w:val="2"/>
      </w:numPr>
      <w:outlineLvl w:val="1"/>
    </w:pPr>
  </w:style>
  <w:style w:type="paragraph" w:styleId="Ttulo3">
    <w:name w:val="heading 3"/>
    <w:basedOn w:val="Normal"/>
    <w:link w:val="Ttulo3Car"/>
    <w:uiPriority w:val="9"/>
    <w:unhideWhenUsed/>
    <w:qFormat/>
    <w:rsid w:val="006631B3"/>
    <w:pPr>
      <w:numPr>
        <w:ilvl w:val="2"/>
        <w:numId w:val="3"/>
      </w:numPr>
      <w:tabs>
        <w:tab w:val="left" w:pos="1412"/>
      </w:tabs>
      <w:spacing w:before="90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D574E3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574E3"/>
    <w:rPr>
      <w:rFonts w:ascii="Arial MT" w:eastAsia="Arial MT" w:hAnsi="Arial MT" w:cs="Arial MT"/>
      <w:sz w:val="24"/>
      <w:szCs w:val="24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6631B3"/>
    <w:rPr>
      <w:rFonts w:ascii="Arial" w:eastAsia="Arial" w:hAnsi="Arial" w:cs="Arial"/>
      <w:b/>
      <w:bCs/>
      <w:sz w:val="24"/>
      <w:szCs w:val="24"/>
      <w:lang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6631B3"/>
    <w:rPr>
      <w:rFonts w:ascii="Arial" w:eastAsia="Arial" w:hAnsi="Arial" w:cs="Arial"/>
      <w:b/>
      <w:bCs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unhideWhenUsed/>
    <w:rsid w:val="00EC282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2829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FE12EF"/>
    <w:rPr>
      <w:rFonts w:ascii="Arial" w:eastAsia="Arial MT" w:hAnsi="Arial" w:cs="Arial"/>
      <w:sz w:val="116"/>
      <w:szCs w:val="116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FE12E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TDC1">
    <w:name w:val="toc 1"/>
    <w:basedOn w:val="Normal"/>
    <w:next w:val="Normal"/>
    <w:autoRedefine/>
    <w:uiPriority w:val="39"/>
    <w:unhideWhenUsed/>
    <w:rsid w:val="00FE12EF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FE12EF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FE12EF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7376D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purple">
    <w:name w:val="purple"/>
    <w:basedOn w:val="Fuentedeprrafopredeter"/>
    <w:rsid w:val="007376D2"/>
  </w:style>
  <w:style w:type="character" w:customStyle="1" w:styleId="svelte-1sntxl4">
    <w:name w:val="svelte-1sntxl4"/>
    <w:basedOn w:val="Fuentedeprrafopredeter"/>
    <w:rsid w:val="007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4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alcalco.tecnm.mx/index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E5703-3522-4722-9454-798FB4C47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9</Pages>
  <Words>1365</Words>
  <Characters>7510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</dc:creator>
  <cp:keywords/>
  <dc:description/>
  <cp:lastModifiedBy>Erick Ocaña perez</cp:lastModifiedBy>
  <cp:revision>4</cp:revision>
  <dcterms:created xsi:type="dcterms:W3CDTF">2025-08-22T17:24:00Z</dcterms:created>
  <dcterms:modified xsi:type="dcterms:W3CDTF">2025-08-25T23:16:00Z</dcterms:modified>
</cp:coreProperties>
</file>