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OrthoHMM:</w:t>
      </w:r>
      <w:r>
        <w:t xml:space="preserve"> </w:t>
      </w:r>
      <w:r>
        <w:t xml:space="preserve">HMM-centered</w:t>
      </w:r>
      <w:r>
        <w:t xml:space="preserve"> </w:t>
      </w:r>
      <w:r>
        <w:t xml:space="preserve">orthology</w:t>
      </w:r>
      <w:r>
        <w:t xml:space="preserve"> </w:t>
      </w:r>
      <w:r>
        <w:t xml:space="preserve">inference</w:t>
      </w:r>
      <w:r>
        <w:t xml:space="preserve"> </w:t>
      </w:r>
      <w:r>
        <w:t xml:space="preserve">with</w:t>
      </w:r>
      <w:r>
        <w:t xml:space="preserve"> </w:t>
      </w:r>
      <w:r>
        <w:t xml:space="preserve">explicit</w:t>
      </w:r>
      <w:r>
        <w:t xml:space="preserve"> </w:t>
      </w:r>
      <w:r>
        <w:t xml:space="preserve">accuracy</w:t>
      </w:r>
      <w:r>
        <w:t xml:space="preserve"> </w:t>
      </w:r>
      <w:r>
        <w:t xml:space="preserve">trade-offs</w:t>
      </w:r>
    </w:p>
    <w:p>
      <w:pPr>
        <w:pStyle w:val="Author"/>
      </w:pPr>
      <w:r>
        <w:t xml:space="preserve">Jacob</w:t>
      </w:r>
      <w:r>
        <w:t xml:space="preserve"> </w:t>
      </w:r>
      <w:r>
        <w:t xml:space="preserve">L.</w:t>
      </w:r>
      <w:r>
        <w:t xml:space="preserve"> </w:t>
      </w:r>
      <w:r>
        <w:t xml:space="preserve">Steenwyk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Orthology inference balances recovery of divergent homologs against separation</w:t>
      </w:r>
      <w:r>
        <w:t xml:space="preserve"> </w:t>
      </w:r>
      <w:r>
        <w:t xml:space="preserve">of paralogs, and different benchmarks emphasize different aspects of this</w:t>
      </w:r>
      <w:r>
        <w:t xml:space="preserve"> </w:t>
      </w:r>
      <w:r>
        <w:t xml:space="preserve">trade-off. OrthoHMM, an HMM-centered inference workflow with phylogenetic</w:t>
      </w:r>
      <w:r>
        <w:t xml:space="preserve"> </w:t>
      </w:r>
      <w:r>
        <w:t xml:space="preserve">refinement, was evaluated against six comparator configurations using</w:t>
      </w:r>
      <w:r>
        <w:t xml:space="preserve"> </w:t>
      </w:r>
      <w:r>
        <w:t xml:space="preserve">OrthoBench, Quest for Orthologs (QfO), and a supplementary Three Kingdoms marker</w:t>
      </w:r>
      <w:r>
        <w:t xml:space="preserve"> </w:t>
      </w:r>
      <w:r>
        <w:t xml:space="preserve">reference. Controlled experiments tested sequence-weighted family profiles,</w:t>
      </w:r>
      <w:r>
        <w:t xml:space="preserve"> </w:t>
      </w:r>
      <w:r>
        <w:t xml:space="preserve">alignment-aware recruitment, local joint-tree rescue, and selective HMMER</w:t>
      </w:r>
      <w:r>
        <w:t xml:space="preserve"> </w:t>
      </w:r>
      <w:r>
        <w:t xml:space="preserve">validation. Canonical</w:t>
      </w:r>
      <w:r>
        <w:t xml:space="preserve"> </w:t>
      </w:r>
      <w:r>
        <w:t xml:space="preserve">OrthoHMM achieved OrthoBench F1 of 0.741061, compared with 0.727365 for full</w:t>
      </w:r>
      <w:r>
        <w:t xml:space="preserve"> </w:t>
      </w:r>
      <w:r>
        <w:t xml:space="preserve">OrthoFinder 3.1.5, through higher precision but lower recall. OrthoFinder had</w:t>
      </w:r>
      <w:r>
        <w:t xml:space="preserve"> </w:t>
      </w:r>
      <w:r>
        <w:t xml:space="preserve">higher VGNC, SwissTrees, and TreeFam-A F1. Among 12 complete-vector</w:t>
      </w:r>
      <w:r>
        <w:t xml:space="preserve"> </w:t>
      </w:r>
      <w:r>
        <w:t xml:space="preserve">configurations, five OrthoHMM configurations and full OrthoFinder were</w:t>
      </w:r>
      <w:r>
        <w:t xml:space="preserve"> </w:t>
      </w:r>
      <w:r>
        <w:t xml:space="preserve">nondominated on the three primary F1 objectives. This descriptive frontier</w:t>
      </w:r>
      <w:r>
        <w:t xml:space="preserve"> </w:t>
      </w:r>
      <w:r>
        <w:t xml:space="preserve">did not imply statistical superiority. Small standalone OrthoHMM improvements</w:t>
      </w:r>
      <w:r>
        <w:t xml:space="preserve"> </w:t>
      </w:r>
      <w:r>
        <w:t xml:space="preserve">had paired uncertainty intervals spanning zero, and both tested combinations</w:t>
      </w:r>
      <w:r>
        <w:t xml:space="preserve"> </w:t>
      </w:r>
      <w:r>
        <w:t xml:space="preserve">failed to improve on their weighting-only constituents. These results locate</w:t>
      </w:r>
      <w:r>
        <w:t xml:space="preserve"> </w:t>
      </w:r>
      <w:r>
        <w:t xml:space="preserve">OrthoHMM on a benchmark-dependent accuracy frontier while supporting unchanged</w:t>
      </w:r>
      <w:r>
        <w:t xml:space="preserve"> </w:t>
      </w:r>
      <w:r>
        <w:t xml:space="preserve">defaults rather than a universal accuracy or efficiency advantage.</w:t>
      </w:r>
    </w:p>
    <w:bookmarkEnd w:id="20"/>
    <w:bookmarkStart w:id="2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Orthologs descend from speciation events, whereas paralogs descend from gene</w:t>
      </w:r>
      <w:r>
        <w:t xml:space="preserve"> </w:t>
      </w:r>
      <w:r>
        <w:t xml:space="preserve">duplication. Similarity is therefore evidence for homology, not sufficient</w:t>
      </w:r>
      <w:r>
        <w:t xml:space="preserve"> </w:t>
      </w:r>
      <w:r>
        <w:t xml:space="preserve">evidence for orthology. OrthoFinder integrates sequence comparison with</w:t>
      </w:r>
      <w:r>
        <w:t xml:space="preserve"> </w:t>
      </w:r>
      <w:r>
        <w:t xml:space="preserve">phylogenetic inference</w:t>
      </w:r>
      <w:r>
        <w:t xml:space="preserve"> </w:t>
      </w:r>
      <w:r>
        <w:t xml:space="preserve">(David M. Emms and Kelly 2019; David M. Emms et al. 2026a, 2026b)</w:t>
      </w:r>
      <w:r>
        <w:t xml:space="preserve">, while profile HMMs offer a complementary way to</w:t>
      </w:r>
      <w:r>
        <w:t xml:space="preserve"> </w:t>
      </w:r>
      <w:r>
        <w:t xml:space="preserve">represent family-level sequence conservation</w:t>
      </w:r>
      <w:r>
        <w:t xml:space="preserve"> </w:t>
      </w:r>
      <w:r>
        <w:t xml:space="preserve">(Eddy 2011)</w:t>
      </w:r>
      <w:r>
        <w:t xml:space="preserve">. The OrthoHMM</w:t>
      </w:r>
      <w:r>
        <w:t xml:space="preserve"> </w:t>
      </w:r>
      <w:r>
        <w:t xml:space="preserve">preprint introduced an HMM-based orthogroup inference framework</w:t>
      </w:r>
      <w:r>
        <w:t xml:space="preserve"> </w:t>
      </w:r>
      <w:r>
        <w:t xml:space="preserve">(Steenwyk et al. 2024)</w:t>
      </w:r>
      <w:r>
        <w:t xml:space="preserve">; the present development study evaluates its extended</w:t>
      </w:r>
      <w:r>
        <w:t xml:space="preserve"> </w:t>
      </w:r>
      <w:r>
        <w:t xml:space="preserve">implementation and controlled alternatives.</w:t>
      </w:r>
    </w:p>
    <w:p>
      <w:pPr>
        <w:pStyle w:val="BodyText"/>
      </w:pPr>
      <w:r>
        <w:t xml:space="preserve">Group recovery, ortholog-pair recovery, and functional conservation measure</w:t>
      </w:r>
      <w:r>
        <w:t xml:space="preserve"> </w:t>
      </w:r>
      <w:r>
        <w:t xml:space="preserve">different properties of orthology predictions, which complicates comparisons</w:t>
      </w:r>
      <w:r>
        <w:t xml:space="preserve"> </w:t>
      </w:r>
      <w:r>
        <w:t xml:space="preserve">based on a single summary score. To distinguish these properties, the present</w:t>
      </w:r>
      <w:r>
        <w:t xml:space="preserve"> </w:t>
      </w:r>
      <w:r>
        <w:t xml:space="preserve">analysis locates OrthoHMM among the observed trade-offs using Pareto dominance.</w:t>
      </w:r>
      <w:r>
        <w:t xml:space="preserve"> </w:t>
      </w:r>
      <w:r>
        <w:t xml:space="preserve">A configuration is dominated</w:t>
      </w:r>
      <w:r>
        <w:t xml:space="preserve"> </w:t>
      </w:r>
      <w:r>
        <w:t xml:space="preserve">when another is at least as good on every specified objective and strictly</w:t>
      </w:r>
      <w:r>
        <w:t xml:space="preserve"> </w:t>
      </w:r>
      <w:r>
        <w:t xml:space="preserve">better on at least one. This definition makes both the chosen objectives and</w:t>
      </w:r>
      <w:r>
        <w:t xml:space="preserve"> </w:t>
      </w:r>
      <w:r>
        <w:t xml:space="preserve">the comparison set consequential. The primary comparison combines curated</w:t>
      </w:r>
      <w:r>
        <w:t xml:space="preserve"> </w:t>
      </w:r>
      <w:r>
        <w:t xml:space="preserve">group recovery with two QfO reference-pair tests, retaining functional</w:t>
      </w:r>
      <w:r>
        <w:t xml:space="preserve"> </w:t>
      </w:r>
      <w:r>
        <w:t xml:space="preserve">conservation and more limited reference panels as separate evidence.</w:t>
      </w:r>
    </w:p>
    <w:bookmarkEnd w:id="21"/>
    <w:bookmarkStart w:id="28" w:name="results"/>
    <w:p>
      <w:pPr>
        <w:pStyle w:val="Heading2"/>
      </w:pPr>
      <w:r>
        <w:t xml:space="preserve">Results</w:t>
      </w:r>
    </w:p>
    <w:bookmarkStart w:id="22" w:name="X964e2d0652aad6ef9bad0e175a180ee0af98d08"/>
    <w:p>
      <w:pPr>
        <w:pStyle w:val="Heading3"/>
      </w:pPr>
      <w:r>
        <w:t xml:space="preserve">HMM-centered inference and controlled improvements</w:t>
      </w:r>
    </w:p>
    <w:p>
      <w:pPr>
        <w:pStyle w:val="FirstParagraph"/>
      </w:pPr>
      <w:r>
        <w:t xml:space="preserve">The workflow combines sequence-supported homology search, family-profile</w:t>
      </w:r>
      <w:r>
        <w:t xml:space="preserve"> </w:t>
      </w:r>
      <w:r>
        <w:t xml:space="preserve">recruitment, candidate-family expansion, and phylogenetic inference (Fig. 1).</w:t>
      </w:r>
      <w:r>
        <w:t xml:space="preserve"> </w:t>
      </w:r>
      <w:r>
        <w:t xml:space="preserve">Separate experiments evaluated position-based sequence weighting,</w:t>
      </w:r>
      <w:r>
        <w:t xml:space="preserve"> </w:t>
      </w:r>
      <w:r>
        <w:t xml:space="preserve">aligned-residue recruitment evidence, bounded local joint-tree rescue, and</w:t>
      </w:r>
      <w:r>
        <w:t xml:space="preserve"> </w:t>
      </w:r>
      <w:r>
        <w:t xml:space="preserve">HMMER remeasurement of ambiguous candidates before testing a combination of</w:t>
      </w:r>
      <w:r>
        <w:t xml:space="preserve"> </w:t>
      </w:r>
      <w:r>
        <w:t xml:space="preserve">weighting and projection repair. The controls separate profile construction, candidate generation,</w:t>
      </w:r>
      <w:r>
        <w:t xml:space="preserve"> </w:t>
      </w:r>
      <w:r>
        <w:t xml:space="preserve">score measurement, and decision-rule changes. An HMM match alone never</w:t>
      </w:r>
      <w:r>
        <w:t xml:space="preserve"> </w:t>
      </w:r>
      <w:r>
        <w:t xml:space="preserve">establishes orthology.</w:t>
      </w:r>
    </w:p>
    <w:bookmarkEnd w:id="22"/>
    <w:bookmarkStart w:id="23" w:name="X690faa3c45f2a1a119dbeae36559dd8a3ff9be2"/>
    <w:p>
      <w:pPr>
        <w:pStyle w:val="Heading3"/>
      </w:pPr>
      <w:r>
        <w:t xml:space="preserve">OrthoHMM trades recall for precision on OrthoBench</w:t>
      </w:r>
    </w:p>
    <w:p>
      <w:pPr>
        <w:pStyle w:val="FirstParagraph"/>
      </w:pPr>
      <w:r>
        <w:t xml:space="preserve">Canonical OrthoHMM achieved weighted group F1 of 0.741061, precision 0.817705,</w:t>
      </w:r>
      <w:r>
        <w:t xml:space="preserve"> </w:t>
      </w:r>
      <w:r>
        <w:t xml:space="preserve">and recall 0.677553. Full OrthoFinder 3.1.5 achieved F1 of 0.727365, precision</w:t>
      </w:r>
      <w:r>
        <w:t xml:space="preserve"> </w:t>
      </w:r>
      <w:r>
        <w:t xml:space="preserve">0.660651, and recall 0.809066 (Fig. 2). Thus, the higher OrthoHMM F1 reflects</w:t>
      </w:r>
      <w:r>
        <w:t xml:space="preserve"> </w:t>
      </w:r>
      <w:r>
        <w:t xml:space="preserve">a precision-recall trade-off rather than uniform superiority. Henikoff</w:t>
      </w:r>
      <w:r>
        <w:t xml:space="preserve"> </w:t>
      </w:r>
      <w:r>
        <w:t xml:space="preserve">weighting reached the highest observed OrthoBench F1, 0.741965, but its</w:t>
      </w:r>
      <w:r>
        <w:t xml:space="preserve"> </w:t>
      </w:r>
      <w:r>
        <w:t xml:space="preserve">improvement over canonical was only 0.090379 percentage points. Clustered</w:t>
      </w:r>
      <w:r>
        <w:t xml:space="preserve"> </w:t>
      </w:r>
      <w:r>
        <w:t xml:space="preserve">Henikoff weighting and projection repair achieved 0.741947 and 0.741424,</w:t>
      </w:r>
      <w:r>
        <w:t xml:space="preserve"> </w:t>
      </w:r>
      <w:r>
        <w:t xml:space="preserve">respectively. These are experimental configurations, not newly recommended</w:t>
      </w:r>
      <w:r>
        <w:t xml:space="preserve"> </w:t>
      </w:r>
      <w:r>
        <w:t xml:space="preserve">defaults.</w:t>
      </w:r>
    </w:p>
    <w:bookmarkEnd w:id="23"/>
    <w:bookmarkStart w:id="24" w:name="Xd28944edb4d0910bea8559da45d0a79913f2d59"/>
    <w:p>
      <w:pPr>
        <w:pStyle w:val="Heading3"/>
      </w:pPr>
      <w:r>
        <w:t xml:space="preserve">The frontier depends on the evaluation objective</w:t>
      </w:r>
    </w:p>
    <w:p>
      <w:pPr>
        <w:pStyle w:val="FirstParagraph"/>
      </w:pPr>
      <w:r>
        <w:t xml:space="preserve">On the three primary objectives, OrthoBench, VGNC, and SwissTrees F1, six of</w:t>
      </w:r>
      <w:r>
        <w:t xml:space="preserve"> </w:t>
      </w:r>
      <w:r>
        <w:t xml:space="preserve">12 configurations were nondominated, comprising canonical OrthoHMM, both retained</w:t>
      </w:r>
      <w:r>
        <w:t xml:space="preserve"> </w:t>
      </w:r>
      <w:r>
        <w:t xml:space="preserve">weighting variants, projection repair, retained phylogenetic OrthoHMM, and full</w:t>
      </w:r>
      <w:r>
        <w:t xml:space="preserve"> </w:t>
      </w:r>
      <w:r>
        <w:t xml:space="preserve">OrthoFinder (Fig. 3; Supplementary Table S2). Five points represent OrthoHMM</w:t>
      </w:r>
      <w:r>
        <w:t xml:space="preserve"> </w:t>
      </w:r>
      <w:r>
        <w:t xml:space="preserve">configurations, not five independent tools. Their frontier membership arises</w:t>
      </w:r>
      <w:r>
        <w:t xml:space="preserve"> </w:t>
      </w:r>
      <w:r>
        <w:t xml:space="preserve">from different compromises among benchmarks; it does not establish a single</w:t>
      </w:r>
      <w:r>
        <w:t xml:space="preserve"> </w:t>
      </w:r>
      <w:r>
        <w:t xml:space="preserve">best configuration.</w:t>
      </w:r>
    </w:p>
    <w:p>
      <w:pPr>
        <w:pStyle w:val="BodyText"/>
      </w:pPr>
      <w:r>
        <w:t xml:space="preserve">The pairwise projections clarify this distinction. Full OrthoFinder was the</w:t>
      </w:r>
      <w:r>
        <w:t xml:space="preserve"> </w:t>
      </w:r>
      <w:r>
        <w:t xml:space="preserve">only nondominated configuration when VGNC and SwissTrees F1 were considered</w:t>
      </w:r>
      <w:r>
        <w:t xml:space="preserve"> </w:t>
      </w:r>
      <w:r>
        <w:t xml:space="preserve">together, exceeding every evaluated OrthoHMM configuration on both. Adding</w:t>
      </w:r>
      <w:r>
        <w:t xml:space="preserve"> </w:t>
      </w:r>
      <w:r>
        <w:t xml:space="preserve">OrthoBench introduces a competing objective and places OrthoHMM configurations</w:t>
      </w:r>
      <w:r>
        <w:t xml:space="preserve"> </w:t>
      </w:r>
      <w:r>
        <w:t xml:space="preserve">on the frontier. When supporting TreeFam-A and supplementary Three Kingdoms</w:t>
      </w:r>
      <w:r>
        <w:t xml:space="preserve"> </w:t>
      </w:r>
      <w:r>
        <w:t xml:space="preserve">F1 were added, nine configurations became nondominated, including the</w:t>
      </w:r>
      <w:r>
        <w:t xml:space="preserve"> </w:t>
      </w:r>
      <w:r>
        <w:t xml:space="preserve">sequence-only OrthoFinder checkpoint, SonicParanoid, and OrthoMCL. Frontier</w:t>
      </w:r>
      <w:r>
        <w:t xml:space="preserve"> </w:t>
      </w:r>
      <w:r>
        <w:t xml:space="preserve">membership is therefore sensitive to objective choice and cannot substitute</w:t>
      </w:r>
      <w:r>
        <w:t xml:space="preserve"> </w:t>
      </w:r>
      <w:r>
        <w:t xml:space="preserve">for biological interpretation or independent validation.</w:t>
      </w:r>
    </w:p>
    <w:bookmarkEnd w:id="24"/>
    <w:bookmarkStart w:id="25" w:name="X675460d5e502f00009a6e6a894ea71c01950a9e"/>
    <w:p>
      <w:pPr>
        <w:pStyle w:val="Heading3"/>
      </w:pPr>
      <w:r>
        <w:t xml:space="preserve">Resource measurements are descriptive, not an efficiency frontier</w:t>
      </w:r>
    </w:p>
    <w:p>
      <w:pPr>
        <w:pStyle w:val="FirstParagraph"/>
      </w:pPr>
      <w:r>
        <w:t xml:space="preserve">The retained matched-resource panel reviewed 27 sequential attempts on nested</w:t>
      </w:r>
      <w:r>
        <w:t xml:space="preserve"> </w:t>
      </w:r>
      <w:r>
        <w:t xml:space="preserve">4-, 8-, and 12-proteome datasets. Twenty-five attempts produced measurements;</w:t>
      </w:r>
      <w:r>
        <w:t xml:space="preserve"> </w:t>
      </w:r>
      <w:r>
        <w:t xml:space="preserve">24 were eligible under the original review rules, and six of nine method/size</w:t>
      </w:r>
      <w:r>
        <w:t xml:space="preserve"> </w:t>
      </w:r>
      <w:r>
        <w:t xml:space="preserve">cells contained all three eligible repeats (Fig. 4). At eight proteomes,</w:t>
      </w:r>
      <w:r>
        <w:t xml:space="preserve"> </w:t>
      </w:r>
      <w:r>
        <w:t xml:space="preserve">median native elapsed times were 20.6 minutes for retained high-sensitivity</w:t>
      </w:r>
      <w:r>
        <w:t xml:space="preserve"> </w:t>
      </w:r>
      <w:r>
        <w:t xml:space="preserve">OrthoHMM, 33.3 minutes for retained phylogenetic OrthoHMM, and 19.0 minutes for</w:t>
      </w:r>
      <w:r>
        <w:t xml:space="preserve"> </w:t>
      </w:r>
      <w:r>
        <w:t xml:space="preserve">full OrthoFinder. These are shared-host observations with unknown,</w:t>
      </w:r>
      <w:r>
        <w:t xml:space="preserve"> </w:t>
      </w:r>
      <w:r>
        <w:t xml:space="preserve">potentially method-dependent contention. They do not establish isolated</w:t>
      </w:r>
      <w:r>
        <w:t xml:space="preserve"> </w:t>
      </w:r>
      <w:r>
        <w:t xml:space="preserve">speedups, asymptotic scaling, or costs of the new weighted configurations.</w:t>
      </w:r>
      <w:r>
        <w:t xml:space="preserve"> </w:t>
      </w:r>
      <w:r>
        <w:t xml:space="preserve">An accuracy-runtime frontier would require measurements from the same</w:t>
      </w:r>
      <w:r>
        <w:t xml:space="preserve"> </w:t>
      </w:r>
      <w:r>
        <w:t xml:space="preserve">configurations and cannot be inferred from cached incremental campaign costs.</w:t>
      </w:r>
    </w:p>
    <w:bookmarkEnd w:id="25"/>
    <w:bookmarkStart w:id="26" w:name="Xe77cd057030241e146cc2882c009c3990b8ed36"/>
    <w:p>
      <w:pPr>
        <w:pStyle w:val="Heading3"/>
      </w:pPr>
      <w:r>
        <w:t xml:space="preserve">QfO separates orthology recovery from functional conservation</w:t>
      </w:r>
    </w:p>
    <w:p>
      <w:pPr>
        <w:pStyle w:val="FirstParagraph"/>
      </w:pPr>
      <w:r>
        <w:t xml:space="preserve">Full OrthoFinder had higher VGNC, SwissTrees, and TreeFam-A F1 than canonical</w:t>
      </w:r>
      <w:r>
        <w:t xml:space="preserve"> </w:t>
      </w:r>
      <w:r>
        <w:t xml:space="preserve">OrthoHMM, with values of 0.988546 versus 0.902068, 0.848413 versus 0.831348, and 0.791918</w:t>
      </w:r>
      <w:r>
        <w:t xml:space="preserve"> </w:t>
      </w:r>
      <w:r>
        <w:t xml:space="preserve">versus 0.615778, respectively (Fig. 5; Supplementary Fig. S1). Canonical</w:t>
      </w:r>
      <w:r>
        <w:t xml:space="preserve"> </w:t>
      </w:r>
      <w:r>
        <w:t xml:space="preserve">OrthoHMM had higher EC, GO, and FAS conditional means of 0.965382, 0.490236,</w:t>
      </w:r>
      <w:r>
        <w:t xml:space="preserve"> </w:t>
      </w:r>
      <w:r>
        <w:t xml:space="preserve">and 0.763725, compared with 0.936130, 0.469548, and 0.691422 for full</w:t>
      </w:r>
      <w:r>
        <w:t xml:space="preserve"> </w:t>
      </w:r>
      <w:r>
        <w:t xml:space="preserve">OrthoFinder. These means summarize different assessed pair populations,</w:t>
      </w:r>
      <w:r>
        <w:t xml:space="preserve"> </w:t>
      </w:r>
      <w:r>
        <w:t xml:space="preserve">not matched-population accuracy effects. FAS eligibility counts are not its</w:t>
      </w:r>
      <w:r>
        <w:t xml:space="preserve"> </w:t>
      </w:r>
      <w:r>
        <w:t xml:space="preserve">numerical sample sizes. The supplementary Three Kingdoms result also favored</w:t>
      </w:r>
      <w:r>
        <w:t xml:space="preserve"> </w:t>
      </w:r>
      <w:r>
        <w:t xml:space="preserve">full OrthoFinder, 0.988582 versus 0.872133, but evaluates a restricted marker</w:t>
      </w:r>
      <w:r>
        <w:t xml:space="preserve"> </w:t>
      </w:r>
      <w:r>
        <w:t xml:space="preserve">reference rather than a genome-scale assessment of orthology.</w:t>
      </w:r>
    </w:p>
    <w:bookmarkEnd w:id="26"/>
    <w:bookmarkStart w:id="27" w:name="X1ce12b2829717ba369d586261b34812efda58e5"/>
    <w:p>
      <w:pPr>
        <w:pStyle w:val="Heading3"/>
      </w:pPr>
      <w:r>
        <w:t xml:space="preserve">Profile refinement did not support a new default</w:t>
      </w:r>
    </w:p>
    <w:p>
      <w:pPr>
        <w:pStyle w:val="FirstParagraph"/>
      </w:pPr>
      <w:r>
        <w:t xml:space="preserve">The unadjusted paired OrthoBench F1 intervals for Henikoff, clustered</w:t>
      </w:r>
      <w:r>
        <w:t xml:space="preserve"> </w:t>
      </w:r>
      <w:r>
        <w:t xml:space="preserve">Henikoff, and projection repair included zero, spanning [-0.050123, 0.331771],</w:t>
      </w:r>
      <w:r>
        <w:t xml:space="preserve"> </w:t>
      </w:r>
      <w:r>
        <w:t xml:space="preserve">[-0.062645, 0.335866], and [-0.036216, 0.154189] percentage points</w:t>
      </w:r>
      <w:r>
        <w:t xml:space="preserve"> </w:t>
      </w:r>
      <w:r>
        <w:t xml:space="preserve">(Supplementary Fig. S2). Effects across benchmarks were mixed. Species-normalized</w:t>
      </w:r>
      <w:r>
        <w:t xml:space="preserve"> </w:t>
      </w:r>
      <w:r>
        <w:t xml:space="preserve">weighting and the strict alignment guard failed their original advancement</w:t>
      </w:r>
      <w:r>
        <w:t xml:space="preserve"> </w:t>
      </w:r>
      <w:r>
        <w:t xml:space="preserve">gates. Local rescue left all 70 reference-family scores unchanged. Both</w:t>
      </w:r>
      <w:r>
        <w:t xml:space="preserve"> </w:t>
      </w:r>
      <w:r>
        <w:t xml:space="preserve">builtin and HMMER anchor reselection exceeded the allowed recall loss;</w:t>
      </w:r>
      <w:r>
        <w:t xml:space="preserve"> </w:t>
      </w:r>
      <w:r>
        <w:t xml:space="preserve">HMMER measurement without reselection matched projection repair alone.</w:t>
      </w:r>
    </w:p>
    <w:p>
      <w:pPr>
        <w:pStyle w:val="BodyText"/>
      </w:pPr>
      <w:r>
        <w:t xml:space="preserve">A registered six-arm weighting/projection experiment reproduced all four</w:t>
      </w:r>
      <w:r>
        <w:t xml:space="preserve"> </w:t>
      </w:r>
      <w:r>
        <w:t xml:space="preserve">constituent controls. Both combinations exceeded canonical F1 but fell below</w:t>
      </w:r>
      <w:r>
        <w:t xml:space="preserve"> </w:t>
      </w:r>
      <w:r>
        <w:t xml:space="preserve">their corresponding weighting-only controls, reaching 0.741784 versus 0.741965 and</w:t>
      </w:r>
      <w:r>
        <w:t xml:space="preserve"> </w:t>
      </w:r>
      <w:r>
        <w:t xml:space="preserve">0.741628 versus 0.741947. Neither advanced to QfO or Three Kingdoms. Failed</w:t>
      </w:r>
      <w:r>
        <w:t xml:space="preserve"> </w:t>
      </w:r>
      <w:r>
        <w:t xml:space="preserve">executions and unrun endpoints remain explicit in Supplementary Table S1 and</w:t>
      </w:r>
      <w:r>
        <w:t xml:space="preserve"> </w:t>
      </w:r>
      <w:r>
        <w:t xml:space="preserve">are not treated as negative biological results or zero scores.</w:t>
      </w:r>
    </w:p>
    <w:bookmarkEnd w:id="27"/>
    <w:bookmarkEnd w:id="28"/>
    <w:bookmarkStart w:id="29" w:name="discussion"/>
    <w:p>
      <w:pPr>
        <w:pStyle w:val="Heading2"/>
      </w:pPr>
      <w:r>
        <w:t xml:space="preserve">Discussion</w:t>
      </w:r>
    </w:p>
    <w:p>
      <w:pPr>
        <w:pStyle w:val="FirstParagraph"/>
      </w:pPr>
      <w:r>
        <w:t xml:space="preserve">OrthoHMM achieved higher precision and F1 but lower recall than full</w:t>
      </w:r>
      <w:r>
        <w:t xml:space="preserve"> </w:t>
      </w:r>
      <w:r>
        <w:t xml:space="preserve">OrthoFinder on OrthoBench, whereas full OrthoFinder had higher F1 on the</w:t>
      </w:r>
      <w:r>
        <w:t xml:space="preserve"> </w:t>
      </w:r>
      <w:r>
        <w:t xml:space="preserve">principal QfO reference-pair tests. These differences place both methods on</w:t>
      </w:r>
      <w:r>
        <w:t xml:space="preserve"> </w:t>
      </w:r>
      <w:r>
        <w:t xml:space="preserve">the frontier when OrthoBench and the primary QfO objectives are considered</w:t>
      </w:r>
      <w:r>
        <w:t xml:space="preserve"> </w:t>
      </w:r>
      <w:r>
        <w:t xml:space="preserve">together. Higher functional similarity among a smaller</w:t>
      </w:r>
      <w:r>
        <w:t xml:space="preserve"> </w:t>
      </w:r>
      <w:r>
        <w:t xml:space="preserve">or differently selected prediction set does not overturn that comparison.</w:t>
      </w:r>
    </w:p>
    <w:p>
      <w:pPr>
        <w:pStyle w:val="BodyText"/>
      </w:pPr>
      <w:r>
        <w:t xml:space="preserve">Sequence weighting changed recruitment, but the observed gains did</w:t>
      </w:r>
      <w:r>
        <w:t xml:space="preserve"> </w:t>
      </w:r>
      <w:r>
        <w:t xml:space="preserve">not transfer uniformly. More restrictive alignment evidence can remove true</w:t>
      </w:r>
      <w:r>
        <w:t xml:space="preserve"> </w:t>
      </w:r>
      <w:r>
        <w:t xml:space="preserve">relationships, and more sensitive scoring does not ensure that anchor</w:t>
      </w:r>
      <w:r>
        <w:t xml:space="preserve"> </w:t>
      </w:r>
      <w:r>
        <w:t xml:space="preserve">reselection improves orthology. The failed combinations show that individually</w:t>
      </w:r>
      <w:r>
        <w:t xml:space="preserve"> </w:t>
      </w:r>
      <w:r>
        <w:t xml:space="preserve">promising changes need not be additive. Accordingly, production defaults remain</w:t>
      </w:r>
      <w:r>
        <w:t xml:space="preserve"> </w:t>
      </w:r>
      <w:r>
        <w:t xml:space="preserve">unchanged and the three standalone candidates remain experimental.</w:t>
      </w:r>
    </w:p>
    <w:p>
      <w:pPr>
        <w:pStyle w:val="BodyText"/>
      </w:pPr>
      <w:r>
        <w:t xml:space="preserve">All primary panels were exposed during development. The frontier is a</w:t>
      </w:r>
      <w:r>
        <w:t xml:space="preserve"> </w:t>
      </w:r>
      <w:r>
        <w:t xml:space="preserve">descriptive reanalysis of those results, not independent confirmation or a</w:t>
      </w:r>
      <w:r>
        <w:t xml:space="preserve"> </w:t>
      </w:r>
      <w:r>
        <w:t xml:space="preserve">statistical test of superiority. Reference families can share evolutionary</w:t>
      </w:r>
      <w:r>
        <w:t xml:space="preserve"> </w:t>
      </w:r>
      <w:r>
        <w:t xml:space="preserve">history, and predicted groups can join families; bootstrap exchangeability</w:t>
      </w:r>
      <w:r>
        <w:t xml:space="preserve"> </w:t>
      </w:r>
      <w:r>
        <w:t xml:space="preserve">is therefore an approximation. TreeFam is supporting evidence, Three Kingdoms</w:t>
      </w:r>
      <w:r>
        <w:t xml:space="preserve"> </w:t>
      </w:r>
      <w:r>
        <w:t xml:space="preserve">is marker-limited, and functional annotations and FAS sampling impose further</w:t>
      </w:r>
      <w:r>
        <w:t xml:space="preserve"> </w:t>
      </w:r>
      <w:r>
        <w:t xml:space="preserve">population-selection limitations. No suitable strictly independent panel was</w:t>
      </w:r>
      <w:r>
        <w:t xml:space="preserve"> </w:t>
      </w:r>
      <w:r>
        <w:t xml:space="preserve">admitted after the candidate freeze. These limitations narrow the conclusions</w:t>
      </w:r>
      <w:r>
        <w:t xml:space="preserve"> </w:t>
      </w:r>
      <w:r>
        <w:t xml:space="preserve">without invalidating the controlled negative results.</w:t>
      </w:r>
    </w:p>
    <w:bookmarkEnd w:id="29"/>
    <w:bookmarkStart w:id="34" w:name="methods"/>
    <w:p>
      <w:pPr>
        <w:pStyle w:val="Heading2"/>
      </w:pPr>
      <w:r>
        <w:t xml:space="preserve">Methods</w:t>
      </w:r>
    </w:p>
    <w:bookmarkStart w:id="30" w:name="implementation-and-configurations"/>
    <w:p>
      <w:pPr>
        <w:pStyle w:val="Heading3"/>
      </w:pPr>
      <w:r>
        <w:t xml:space="preserve">Implementation and configurations</w:t>
      </w:r>
    </w:p>
    <w:p>
      <w:pPr>
        <w:pStyle w:val="FirstParagraph"/>
      </w:pPr>
      <w:r>
        <w:t xml:space="preserve">Initial built-in search uses local maximum-path match/insert/delete scoring</w:t>
      </w:r>
      <w:r>
        <w:t xml:space="preserve"> </w:t>
      </w:r>
      <w:r>
        <w:t xml:space="preserve">with BLOSUM62 emissions and fixed transition costs. Its approximate</w:t>
      </w:r>
      <w:r>
        <w:t xml:space="preserve"> </w:t>
      </w:r>
      <w:r>
        <w:t xml:space="preserve">significance filter is not a demonstrated HMMER-calibrated E-value. Family</w:t>
      </w:r>
      <w:r>
        <w:t xml:space="preserve"> </w:t>
      </w:r>
      <w:r>
        <w:t xml:space="preserve">profiles learn match emissions from alignments while retaining uniform</w:t>
      </w:r>
      <w:r>
        <w:t xml:space="preserve"> </w:t>
      </w:r>
      <w:r>
        <w:t xml:space="preserve">transition costs; they are not equivalent to HMMER Plan7 profiles. Recruitment</w:t>
      </w:r>
      <w:r>
        <w:t xml:space="preserve"> </w:t>
      </w:r>
      <w:r>
        <w:t xml:space="preserve">requires member-score thresholds and sequence-supported anchors. Phylogenetic</w:t>
      </w:r>
      <w:r>
        <w:t xml:space="preserve"> </w:t>
      </w:r>
      <w:r>
        <w:t xml:space="preserve">refinement expands candidate families, infers alignments and trees, and</w:t>
      </w:r>
      <w:r>
        <w:t xml:space="preserve"> </w:t>
      </w:r>
      <w:r>
        <w:t xml:space="preserve">applies the recorded orthology/paralogy rules. The code and per-run bindings,</w:t>
      </w:r>
      <w:r>
        <w:t xml:space="preserve"> </w:t>
      </w:r>
      <w:r>
        <w:t xml:space="preserve">including parameter values and external commands, are retained in the</w:t>
      </w:r>
      <w:r>
        <w:t xml:space="preserve"> </w:t>
      </w:r>
      <w:r>
        <w:t xml:space="preserve">completed campaign archive; historical runs retain their own revisions.</w:t>
      </w:r>
      <w:r>
        <w:t xml:space="preserve"> </w:t>
      </w:r>
      <w:r>
        <w:t xml:space="preserve">Canonical denotes the experimental matched collection, not the shipping</w:t>
      </w:r>
      <w:r>
        <w:t xml:space="preserve"> </w:t>
      </w:r>
      <w:r>
        <w:t xml:space="preserve">default or the retained phylogeny result collection. New full-proteome</w:t>
      </w:r>
      <w:r>
        <w:t xml:space="preserve"> </w:t>
      </w:r>
      <w:r>
        <w:t xml:space="preserve">experiments used sequential 16-CPU/128-GiB allocations; the separate historical</w:t>
      </w:r>
      <w:r>
        <w:t xml:space="preserve"> </w:t>
      </w:r>
      <w:r>
        <w:t xml:space="preserve">resource panel used the 32-CPU allocations described below.</w:t>
      </w:r>
    </w:p>
    <w:p>
      <w:pPr>
        <w:pStyle w:val="BodyText"/>
      </w:pPr>
      <w:r>
        <w:t xml:space="preserve">Henikoff-style weights use per-column contributions of 1/(r*n), where r is</w:t>
      </w:r>
      <w:r>
        <w:t xml:space="preserve"> </w:t>
      </w:r>
      <w:r>
        <w:t xml:space="preserve">the number of observed residue types and n is the count of the sequence’s</w:t>
      </w:r>
      <w:r>
        <w:t xml:space="preserve"> </w:t>
      </w:r>
      <w:r>
        <w:t xml:space="preserve">residue type</w:t>
      </w:r>
      <w:r>
        <w:t xml:space="preserve"> </w:t>
      </w:r>
      <w:r>
        <w:t xml:space="preserve">(Henikoff and Henikoff 1994)</w:t>
      </w:r>
      <w:r>
        <w:t xml:space="preserve">. Contributions are averaged over nonmissing</w:t>
      </w:r>
      <w:r>
        <w:t xml:space="preserve"> </w:t>
      </w:r>
      <w:r>
        <w:t xml:space="preserve">positions and normalized to the actual sequence count or an effective cluster</w:t>
      </w:r>
      <w:r>
        <w:t xml:space="preserve"> </w:t>
      </w:r>
      <w:r>
        <w:t xml:space="preserve">count. Clusters use single linkage at 62% aligned identity normalized by the</w:t>
      </w:r>
      <w:r>
        <w:t xml:space="preserve"> </w:t>
      </w:r>
      <w:r>
        <w:t xml:space="preserve">shorter nonmissing length. Alignment-aware experiments distinguish aligned</w:t>
      </w:r>
      <w:r>
        <w:t xml:space="preserve"> </w:t>
      </w:r>
      <w:r>
        <w:t xml:space="preserve">residues from bounding spans. Local rescue examines bounded neighboring</w:t>
      </w:r>
      <w:r>
        <w:t xml:space="preserve"> </w:t>
      </w:r>
      <w:r>
        <w:t xml:space="preserve">families with explicit reconciliation and duplication constraints. Selective</w:t>
      </w:r>
      <w:r>
        <w:t xml:space="preserve"> </w:t>
      </w:r>
      <w:r>
        <w:t xml:space="preserve">HMMER 3.4 validation separates measurement from anchor reselection</w:t>
      </w:r>
      <w:r>
        <w:t xml:space="preserve"> </w:t>
      </w:r>
      <w:r>
        <w:t xml:space="preserve">(Eddy 2011)</w:t>
      </w:r>
      <w:r>
        <w:t xml:space="preserve">. Original protocols fix advancement and stopping criteria;</w:t>
      </w:r>
      <w:r>
        <w:t xml:space="preserve"> </w:t>
      </w:r>
      <w:r>
        <w:t xml:space="preserve">benchmark labels and GO/EC/FAS annotations are not runtime inputs.</w:t>
      </w:r>
    </w:p>
    <w:p>
      <w:pPr>
        <w:pStyle w:val="BodyText"/>
      </w:pPr>
      <w:r>
        <w:t xml:space="preserve">Comparators are full and sequence-only OrthoFinder 3.1.5, SonicParanoid 2.0.9</w:t>
      </w:r>
      <w:r>
        <w:t xml:space="preserve"> </w:t>
      </w:r>
      <w:r>
        <w:t xml:space="preserve">(Cosentino, Sriswasdi, and Iwasaki 2024)</w:t>
      </w:r>
      <w:r>
        <w:t xml:space="preserve">, ProteinOrtho 6.3.6</w:t>
      </w:r>
      <w:r>
        <w:t xml:space="preserve"> </w:t>
      </w:r>
      <w:r>
        <w:t xml:space="preserve">(Klemm, Stadler, and Lechner 2023)</w:t>
      </w:r>
      <w:r>
        <w:t xml:space="preserve">, FastOMA 0.3.5</w:t>
      </w:r>
      <w:r>
        <w:t xml:space="preserve"> </w:t>
      </w:r>
      <w:r>
        <w:t xml:space="preserve">(Majidian et al. 2025)</w:t>
      </w:r>
      <w:r>
        <w:t xml:space="preserve">, and OrthoMCL 1.4</w:t>
      </w:r>
      <w:r>
        <w:t xml:space="preserve"> </w:t>
      </w:r>
      <w:r>
        <w:t xml:space="preserve">(Li, Stoeckert, and Roos 2003)</w:t>
      </w:r>
      <w:r>
        <w:t xml:space="preserve">. FastOMA used a supplied</w:t>
      </w:r>
      <w:r>
        <w:t xml:space="preserve"> </w:t>
      </w:r>
      <w:r>
        <w:t xml:space="preserve">OrthoFinder species tree. The sequence-only OrthoFinder output is a clustering</w:t>
      </w:r>
      <w:r>
        <w:t xml:space="preserve"> </w:t>
      </w:r>
      <w:r>
        <w:t xml:space="preserve">checkpoint, not a finalized alternative phylogenetic workflow. QfO submissions</w:t>
      </w:r>
      <w:r>
        <w:t xml:space="preserve"> </w:t>
      </w:r>
      <w:r>
        <w:t xml:space="preserve">retain native pairs or group-derived cross-species pairs as recorded; these</w:t>
      </w:r>
      <w:r>
        <w:t xml:space="preserve"> </w:t>
      </w:r>
      <w:r>
        <w:t xml:space="preserve">output semantics are not interchangeable. Competitor rows are retained</w:t>
      </w:r>
      <w:r>
        <w:t xml:space="preserve"> </w:t>
      </w:r>
      <w:r>
        <w:t xml:space="preserve">evidence, not fresh reruns during the final improvement campaign.</w:t>
      </w:r>
      <w:r>
        <w:t xml:space="preserve"> </w:t>
      </w:r>
      <w:r>
        <w:t xml:space="preserve">Some historical comparator rows lack complete transitive executable or</w:t>
      </w:r>
      <w:r>
        <w:t xml:space="preserve"> </w:t>
      </w:r>
      <w:r>
        <w:t xml:space="preserve">input-consumption provenance; current fingerprints do not reconstruct missing</w:t>
      </w:r>
      <w:r>
        <w:t xml:space="preserve"> </w:t>
      </w:r>
      <w:r>
        <w:t xml:space="preserve">run receipts.</w:t>
      </w:r>
    </w:p>
    <w:bookmarkEnd w:id="30"/>
    <w:bookmarkStart w:id="31" w:name="benchmarks-and-estimands"/>
    <w:p>
      <w:pPr>
        <w:pStyle w:val="Heading3"/>
      </w:pPr>
      <w:r>
        <w:t xml:space="preserve">Benchmarks and estimands</w:t>
      </w:r>
    </w:p>
    <w:p>
      <w:pPr>
        <w:pStyle w:val="FirstParagraph"/>
      </w:pPr>
      <w:r>
        <w:t xml:space="preserve">OrthoBench comprises 12 proteomes, 251378 proteins, and 70 curated reference</w:t>
      </w:r>
      <w:r>
        <w:t xml:space="preserve"> </w:t>
      </w:r>
      <w:r>
        <w:t xml:space="preserve">groups</w:t>
      </w:r>
      <w:r>
        <w:t xml:space="preserve"> </w:t>
      </w:r>
      <w:r>
        <w:t xml:space="preserve">(David M. Emms and Kelly 2020)</w:t>
      </w:r>
      <w:r>
        <w:t xml:space="preserve">. Evaluation retains its recorded weighted</w:t>
      </w:r>
      <w:r>
        <w:t xml:space="preserve"> </w:t>
      </w:r>
      <w:r>
        <w:t xml:space="preserve">group-recovery precision, recall, and F1. The corrected QfO panel comprises 78 proteomes and</w:t>
      </w:r>
      <w:r>
        <w:t xml:space="preserve"> </w:t>
      </w:r>
      <w:r>
        <w:t xml:space="preserve">984137 proteins, with versioned references and identifier mappings</w:t>
      </w:r>
      <w:r>
        <w:t xml:space="preserve"> </w:t>
      </w:r>
      <w:r>
        <w:t xml:space="preserve">(Quest for Orthologs consortium et al. 2016; Altenhoff et al. 2020)</w:t>
      </w:r>
      <w:r>
        <w:t xml:space="preserve">. VGNC, SwissTrees, and TreeFam-A supply reference-pair</w:t>
      </w:r>
      <w:r>
        <w:t xml:space="preserve"> </w:t>
      </w:r>
      <w:r>
        <w:t xml:space="preserve">F1; EC and GO are conditional Schlicker similarity means, and FAS is reported</w:t>
      </w:r>
      <w:r>
        <w:t xml:space="preserve"> </w:t>
      </w:r>
      <w:r>
        <w:t xml:space="preserve">separately. Their arithmetic mean is not an accuracy endpoint. Three Kingdoms</w:t>
      </w:r>
      <w:r>
        <w:t xml:space="preserve"> </w:t>
      </w:r>
      <w:r>
        <w:t xml:space="preserve">contains 443217 proteins from 12 proteomes; its reference comprises 2035</w:t>
      </w:r>
      <w:r>
        <w:t xml:space="preserve"> </w:t>
      </w:r>
      <w:r>
        <w:t xml:space="preserve">genes in 255 BUSCO-derived families</w:t>
      </w:r>
      <w:r>
        <w:t xml:space="preserve"> </w:t>
      </w:r>
      <w:r>
        <w:t xml:space="preserve">(Manni et al. 2021)</w:t>
      </w:r>
      <w:r>
        <w:t xml:space="preserve">. Its group co-membership</w:t>
      </w:r>
      <w:r>
        <w:t xml:space="preserve"> </w:t>
      </w:r>
      <w:r>
        <w:t xml:space="preserve">scorer includes within-species pairs and does not evaluate false positives</w:t>
      </w:r>
      <w:r>
        <w:t xml:space="preserve"> </w:t>
      </w:r>
      <w:r>
        <w:t xml:space="preserve">involving nonreference genes. Native ownership, benchmark coverage, assessed</w:t>
      </w:r>
      <w:r>
        <w:t xml:space="preserve"> </w:t>
      </w:r>
      <w:r>
        <w:t xml:space="preserve">relations, and numerical sample counts remain distinct in the source tables.</w:t>
      </w:r>
    </w:p>
    <w:bookmarkEnd w:id="31"/>
    <w:bookmarkStart w:id="32" w:name="pareto-analysis-and-uncertainty"/>
    <w:p>
      <w:pPr>
        <w:pStyle w:val="Heading3"/>
      </w:pPr>
      <w:r>
        <w:t xml:space="preserve">Pareto analysis and uncertainty</w:t>
      </w:r>
    </w:p>
    <w:p>
      <w:pPr>
        <w:pStyle w:val="FirstParagraph"/>
      </w:pPr>
      <w:r>
        <w:t xml:space="preserve">The main comparison set contains all 12 distinct configurations with complete</w:t>
      </w:r>
      <w:r>
        <w:t xml:space="preserve"> </w:t>
      </w:r>
      <w:r>
        <w:t xml:space="preserve">eight-endpoint vectors. Only documented repeated canonical controls are</w:t>
      </w:r>
      <w:r>
        <w:t xml:space="preserve"> </w:t>
      </w:r>
      <w:r>
        <w:t xml:space="preserve">collapsed for plotting; all 29 original rows remain available. For objective</w:t>
      </w:r>
      <w:r>
        <w:t xml:space="preserve"> </w:t>
      </w:r>
      <w:r>
        <w:t xml:space="preserve">set J, configuration a dominates b if a_j &gt;= b_j for every j in J and</w:t>
      </w:r>
      <w:r>
        <w:t xml:space="preserve"> </w:t>
      </w:r>
      <w:r>
        <w:t xml:space="preserve">a_j &gt; b_j for at least one j. All objectives in the accuracy frontiers are</w:t>
      </w:r>
      <w:r>
        <w:t xml:space="preserve"> </w:t>
      </w:r>
      <w:r>
        <w:t xml:space="preserve">maximized. Computation uses unrounded values; exact ties do not dominate one</w:t>
      </w:r>
      <w:r>
        <w:t xml:space="preserve"> </w:t>
      </w:r>
      <w:r>
        <w:t xml:space="preserve">another. Three-dimensional membership and two-dimensional projections are</w:t>
      </w:r>
      <w:r>
        <w:t xml:space="preserve"> </w:t>
      </w:r>
      <w:r>
        <w:t xml:space="preserve">computed separately. Dashed plot segments mark the boundary between observed</w:t>
      </w:r>
      <w:r>
        <w:t xml:space="preserve"> </w:t>
      </w:r>
      <w:r>
        <w:t xml:space="preserve">points, not achievable interpolated configurations.</w:t>
      </w:r>
    </w:p>
    <w:p>
      <w:pPr>
        <w:pStyle w:val="BodyText"/>
      </w:pPr>
      <w:r>
        <w:t xml:space="preserve">The primary objectives are OrthoBench, VGNC, and SwissTrees F1. The five-F1</w:t>
      </w:r>
      <w:r>
        <w:t xml:space="preserve"> </w:t>
      </w:r>
      <w:r>
        <w:t xml:space="preserve">sensitivity analysis adds TreeFam-A and Three Kingdoms. EC/GO/FAS means and</w:t>
      </w:r>
      <w:r>
        <w:t xml:space="preserve"> </w:t>
      </w:r>
      <w:r>
        <w:t xml:space="preserve">resource measurements are excluded. This reporting analysis was defined after</w:t>
      </w:r>
      <w:r>
        <w:t xml:space="preserve"> </w:t>
      </w:r>
      <w:r>
        <w:t xml:space="preserve">the benchmark results were known and was not preregistered. Uncertainty</w:t>
      </w:r>
      <w:r>
        <w:t xml:space="preserve"> </w:t>
      </w:r>
      <w:r>
        <w:t xml:space="preserve">estimates retain the original 100000 paired reference-family resamples and phase-specific</w:t>
      </w:r>
      <w:r>
        <w:t xml:space="preserve"> </w:t>
      </w:r>
      <w:r>
        <w:t xml:space="preserve">Bonferroni adjustments without new resampling. These are not campaign-wide</w:t>
      </w:r>
      <w:r>
        <w:t xml:space="preserve"> </w:t>
      </w:r>
      <w:r>
        <w:t xml:space="preserve">selection corrections. Frontier membership has no inferred confidence level;</w:t>
      </w:r>
      <w:r>
        <w:t xml:space="preserve"> </w:t>
      </w:r>
      <w:r>
        <w:t xml:space="preserve">dependent gene pairs are not treated as independent replicates.</w:t>
      </w:r>
    </w:p>
    <w:bookmarkEnd w:id="32"/>
    <w:bookmarkStart w:id="33" w:name="resource-panel-and-reproducibility"/>
    <w:p>
      <w:pPr>
        <w:pStyle w:val="Heading3"/>
      </w:pPr>
      <w:r>
        <w:t xml:space="preserve">Resource panel and reproducibility</w:t>
      </w:r>
    </w:p>
    <w:p>
      <w:pPr>
        <w:pStyle w:val="FirstParagraph"/>
      </w:pPr>
      <w:r>
        <w:t xml:space="preserve">The resource panel allocates 32 native CPUs and 128 GiB per run on the local</w:t>
      </w:r>
      <w:r>
        <w:t xml:space="preserve"> </w:t>
      </w:r>
      <w:r>
        <w:t xml:space="preserve">Threadripper PRO 7995WX. It retains three planned repeats per method/size</w:t>
      </w:r>
      <w:r>
        <w:t xml:space="preserve"> </w:t>
      </w:r>
      <w:r>
        <w:t xml:space="preserve">combination and all exclusions, including two pre-native aborts. Median/range</w:t>
      </w:r>
      <w:r>
        <w:t xml:space="preserve"> </w:t>
      </w:r>
      <w:r>
        <w:t xml:space="preserve">summaries require three eligible repeats. Wall time covers the native command;</w:t>
      </w:r>
      <w:r>
        <w:t xml:space="preserve"> </w:t>
      </w:r>
      <w:r>
        <w:t xml:space="preserve">CPU measures its task-subtree bracket including wrapper work; peak memory</w:t>
      </w:r>
      <w:r>
        <w:t xml:space="preserve"> </w:t>
      </w:r>
      <w:r>
        <w:t xml:space="preserve">covers the native step including its launcher, not algorithm-only process RSS.</w:t>
      </w:r>
      <w:r>
        <w:t xml:space="preserve"> </w:t>
      </w:r>
      <w:r>
        <w:t xml:space="preserve">Preparation, conversion, and scoring are outside the native timer. Taxon</w:t>
      </w:r>
      <w:r>
        <w:t xml:space="preserve"> </w:t>
      </w:r>
      <w:r>
        <w:t xml:space="preserve">composition changes with dataset size, and contention is neither removed nor</w:t>
      </w:r>
      <w:r>
        <w:t xml:space="preserve"> </w:t>
      </w:r>
      <w:r>
        <w:t xml:space="preserve">quantified as a correction. These historical configurations are not assigned</w:t>
      </w:r>
      <w:r>
        <w:t xml:space="preserve"> </w:t>
      </w:r>
      <w:r>
        <w:t xml:space="preserve">the accuracy or costs of the new weighted experiments.</w:t>
      </w:r>
    </w:p>
    <w:bookmarkEnd w:id="33"/>
    <w:bookmarkEnd w:id="34"/>
    <w:bookmarkStart w:id="36" w:name="data-and-code-availability"/>
    <w:p>
      <w:pPr>
        <w:pStyle w:val="Heading2"/>
      </w:pPr>
      <w:r>
        <w:t xml:space="preserve">Data and code availability</w:t>
      </w:r>
    </w:p>
    <w:p>
      <w:pPr>
        <w:pStyle w:val="FirstParagraph"/>
      </w:pPr>
      <w:r>
        <w:t xml:space="preserve">OrthoHMM is available at</w:t>
      </w:r>
      <w:r>
        <w:t xml:space="preserve"> </w:t>
      </w:r>
      <w:hyperlink r:id="rId35">
        <w:r>
          <w:rPr>
            <w:rStyle w:val="Hyperlink"/>
          </w:rPr>
          <w:t xml:space="preserve">https://github.com/JLSteenwyk/orthohmm</w:t>
        </w:r>
      </w:hyperlink>
      <w:r>
        <w:t xml:space="preserve">. The companion</w:t>
      </w:r>
      <w:r>
        <w:t xml:space="preserve"> </w:t>
      </w:r>
      <w:r>
        <w:t xml:space="preserve">package includes the manuscript, original vector figures, full-precision score</w:t>
      </w:r>
      <w:r>
        <w:t xml:space="preserve"> </w:t>
      </w:r>
      <w:r>
        <w:t xml:space="preserve">table, plotted coordinates, exact frontier membership and dominators, all</w:t>
      </w:r>
      <w:r>
        <w:t xml:space="preserve"> </w:t>
      </w:r>
      <w:r>
        <w:t xml:space="preserve">timing attempts, references, executable plotting code, and SHA256 manifests.</w:t>
      </w:r>
      <w:r>
        <w:t xml:space="preserve"> </w:t>
      </w:r>
      <w:r>
        <w:t xml:space="preserve">Figures can be regenerated from the included snapshot without raw proteomes.</w:t>
      </w:r>
      <w:r>
        <w:t xml:space="preserve"> </w:t>
      </w:r>
      <w:r>
        <w:t xml:space="preserve">The campaign archive additionally records large-artifact locations, versions,</w:t>
      </w:r>
      <w:r>
        <w:t xml:space="preserve"> </w:t>
      </w:r>
      <w:r>
        <w:t xml:space="preserve">commands, seeds, failed-run history, and source/native/score checks. The package</w:t>
      </w:r>
      <w:r>
        <w:t xml:space="preserve"> </w:t>
      </w:r>
      <w:r>
        <w:t xml:space="preserve">is a manuscript draft, not a public archival deposition; no deposition DOI or</w:t>
      </w:r>
      <w:r>
        <w:t xml:space="preserve"> </w:t>
      </w:r>
      <w:r>
        <w:t xml:space="preserve">submission approval is asserted.</w:t>
      </w:r>
    </w:p>
    <w:bookmarkEnd w:id="36"/>
    <w:bookmarkStart w:id="37" w:name="declarations"/>
    <w:p>
      <w:pPr>
        <w:pStyle w:val="Heading2"/>
      </w:pPr>
      <w:r>
        <w:t xml:space="preserve">Declarations</w:t>
      </w:r>
    </w:p>
    <w:p>
      <w:pPr>
        <w:pStyle w:val="FirstParagraph"/>
      </w:pPr>
      <w:r>
        <w:t xml:space="preserve">Jacob L. Steenwyk is the sole author. No new experimental</w:t>
      </w:r>
      <w:r>
        <w:t xml:space="preserve"> </w:t>
      </w:r>
      <w:r>
        <w:t xml:space="preserve">organisms or participant data were generated for this reporting analysis.</w:t>
      </w:r>
    </w:p>
    <w:bookmarkEnd w:id="37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39" w:name="ref-qfo2020"/>
    <w:p>
      <w:pPr>
        <w:pStyle w:val="Bibliography"/>
      </w:pPr>
      <w:r>
        <w:t xml:space="preserve">Altenhoff, Adrian M, Javier Garrayo-Ventas, Salvatore Cosentino, David Emms, Natasha M Glover, Ana Hernández-Plaza, Yannis Nevers, et al. 2020.</w:t>
      </w:r>
      <w:r>
        <w:t xml:space="preserve"> </w:t>
      </w:r>
      <w:r>
        <w:t xml:space="preserve">“The Quest for Orthologs Benchmark Service and Consensus Calls in 2020.”</w:t>
      </w:r>
      <w:r>
        <w:t xml:space="preserve"> </w:t>
      </w:r>
      <w:r>
        <w:rPr>
          <w:iCs/>
          <w:i/>
        </w:rPr>
        <w:t xml:space="preserve">Nucleic Acids Research</w:t>
      </w:r>
      <w:r>
        <w:t xml:space="preserve"> </w:t>
      </w:r>
      <w:r>
        <w:t xml:space="preserve">48 (W1): W538–45.</w:t>
      </w:r>
      <w:r>
        <w:t xml:space="preserve"> </w:t>
      </w:r>
      <w:hyperlink r:id="rId38">
        <w:r>
          <w:rPr>
            <w:rStyle w:val="Hyperlink"/>
          </w:rPr>
          <w:t xml:space="preserve">https://doi.org/10.1093/nar/gkaa308</w:t>
        </w:r>
      </w:hyperlink>
      <w:r>
        <w:t xml:space="preserve">.</w:t>
      </w:r>
    </w:p>
    <w:bookmarkEnd w:id="39"/>
    <w:bookmarkStart w:id="41" w:name="ref-sonicparanoid2024"/>
    <w:p>
      <w:pPr>
        <w:pStyle w:val="Bibliography"/>
      </w:pPr>
      <w:r>
        <w:t xml:space="preserve">Cosentino, Salvatore, Sira Sriswasdi, and Wataru Iwasaki. 2024.</w:t>
      </w:r>
      <w:r>
        <w:t xml:space="preserve"> </w:t>
      </w:r>
      <w:r>
        <w:t xml:space="preserve">“SonicParanoid2: Fast, Accurate, and Comprehensive Orthology Inference with Machine Learning and Language Models.”</w:t>
      </w:r>
      <w:r>
        <w:t xml:space="preserve"> </w:t>
      </w:r>
      <w:r>
        <w:rPr>
          <w:iCs/>
          <w:i/>
        </w:rPr>
        <w:t xml:space="preserve">Genome Biology</w:t>
      </w:r>
      <w:r>
        <w:t xml:space="preserve"> </w:t>
      </w:r>
      <w:r>
        <w:t xml:space="preserve">25 (1).</w:t>
      </w:r>
      <w:r>
        <w:t xml:space="preserve"> </w:t>
      </w:r>
      <w:hyperlink r:id="rId40">
        <w:r>
          <w:rPr>
            <w:rStyle w:val="Hyperlink"/>
          </w:rPr>
          <w:t xml:space="preserve">https://doi.org/10.1186/s13059-024-03298-4</w:t>
        </w:r>
      </w:hyperlink>
      <w:r>
        <w:t xml:space="preserve">.</w:t>
      </w:r>
    </w:p>
    <w:bookmarkEnd w:id="41"/>
    <w:bookmarkStart w:id="43" w:name="ref-eddy2011"/>
    <w:p>
      <w:pPr>
        <w:pStyle w:val="Bibliography"/>
      </w:pPr>
      <w:r>
        <w:t xml:space="preserve">Eddy, Sean R. 2011.</w:t>
      </w:r>
      <w:r>
        <w:t xml:space="preserve"> </w:t>
      </w:r>
      <w:r>
        <w:t xml:space="preserve">“Accelerated Profile HMM Searches.”</w:t>
      </w:r>
      <w:r>
        <w:t xml:space="preserve"> </w:t>
      </w:r>
      <w:r>
        <w:rPr>
          <w:iCs/>
          <w:i/>
        </w:rPr>
        <w:t xml:space="preserve">PLOS Computational Biology</w:t>
      </w:r>
      <w:r>
        <w:t xml:space="preserve"> </w:t>
      </w:r>
      <w:r>
        <w:t xml:space="preserve">7 (10): e1002195.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https://doi.org/10.1371/journal.pcbi.1002195</w:t>
        </w:r>
      </w:hyperlink>
      <w:r>
        <w:t xml:space="preserve">.</w:t>
      </w:r>
    </w:p>
    <w:bookmarkEnd w:id="43"/>
    <w:bookmarkStart w:id="45" w:name="ref-orthofinder2019"/>
    <w:p>
      <w:pPr>
        <w:pStyle w:val="Bibliography"/>
      </w:pPr>
      <w:r>
        <w:t xml:space="preserve">Emms, David M., and Steven Kelly. 2019.</w:t>
      </w:r>
      <w:r>
        <w:t xml:space="preserve"> </w:t>
      </w:r>
      <w:r>
        <w:t xml:space="preserve">“OrthoFinder: Phylogenetic Orthology Inference for Comparative Genomics.”</w:t>
      </w:r>
      <w:r>
        <w:t xml:space="preserve"> </w:t>
      </w:r>
      <w:r>
        <w:rPr>
          <w:iCs/>
          <w:i/>
        </w:rPr>
        <w:t xml:space="preserve">Genome Biology</w:t>
      </w:r>
      <w:r>
        <w:t xml:space="preserve"> </w:t>
      </w:r>
      <w:r>
        <w:t xml:space="preserve">20 (1).</w:t>
      </w:r>
      <w:r>
        <w:t xml:space="preserve"> </w:t>
      </w:r>
      <w:hyperlink r:id="rId44">
        <w:r>
          <w:rPr>
            <w:rStyle w:val="Hyperlink"/>
          </w:rPr>
          <w:t xml:space="preserve">https://doi.org/10.1186/s13059-019-1832-y</w:t>
        </w:r>
      </w:hyperlink>
      <w:r>
        <w:t xml:space="preserve">.</w:t>
      </w:r>
    </w:p>
    <w:bookmarkEnd w:id="45"/>
    <w:bookmarkStart w:id="47" w:name="ref-orthobench2020"/>
    <w:p>
      <w:pPr>
        <w:pStyle w:val="Bibliography"/>
      </w:pPr>
      <w:r>
        <w:t xml:space="preserve">Emms, David M, and Steven Kelly. 2020.</w:t>
      </w:r>
      <w:r>
        <w:t xml:space="preserve"> </w:t>
      </w:r>
      <w:r>
        <w:t xml:space="preserve">“Benchmarking Orthogroup Inference Accuracy: Revisiting Orthobench.”</w:t>
      </w:r>
      <w:r>
        <w:t xml:space="preserve"> </w:t>
      </w:r>
      <w:r>
        <w:rPr>
          <w:iCs/>
          <w:i/>
        </w:rPr>
        <w:t xml:space="preserve">Genome Biology and Evolution</w:t>
      </w:r>
      <w:r>
        <w:t xml:space="preserve"> </w:t>
      </w:r>
      <w:r>
        <w:t xml:space="preserve">12 (12): 2258–66.</w:t>
      </w:r>
      <w:r>
        <w:t xml:space="preserve"> </w:t>
      </w:r>
      <w:hyperlink r:id="rId46">
        <w:r>
          <w:rPr>
            <w:rStyle w:val="Hyperlink"/>
          </w:rPr>
          <w:t xml:space="preserve">https://doi.org/10.1093/gbe/evaa211</w:t>
        </w:r>
      </w:hyperlink>
      <w:r>
        <w:t xml:space="preserve">.</w:t>
      </w:r>
    </w:p>
    <w:bookmarkEnd w:id="47"/>
    <w:bookmarkStart w:id="49" w:name="ref-orthofinder2026"/>
    <w:p>
      <w:pPr>
        <w:pStyle w:val="Bibliography"/>
      </w:pPr>
      <w:r>
        <w:t xml:space="preserve">Emms, David M., Yi Liu, Laurence Belcher, Jonathan Holmes, and Steven Kelly. 2026a.</w:t>
      </w:r>
      <w:r>
        <w:t xml:space="preserve"> </w:t>
      </w:r>
      <w:r>
        <w:t xml:space="preserve">“OrthoFinder: Improved Phylogenetic Orthology Inference with Enhanced Accuracy and Scalability.”</w:t>
      </w:r>
      <w:r>
        <w:t xml:space="preserve"> </w:t>
      </w:r>
      <w:r>
        <w:rPr>
          <w:iCs/>
          <w:i/>
        </w:rPr>
        <w:t xml:space="preserve">Nature Methods</w:t>
      </w:r>
      <w:r>
        <w:t xml:space="preserve"> </w:t>
      </w:r>
      <w:r>
        <w:t xml:space="preserve">23 (7): 1327–33.</w:t>
      </w:r>
      <w:r>
        <w:t xml:space="preserve"> </w:t>
      </w:r>
      <w:hyperlink r:id="rId48">
        <w:r>
          <w:rPr>
            <w:rStyle w:val="Hyperlink"/>
          </w:rPr>
          <w:t xml:space="preserve">https://doi.org/10.1038/s41592-026-03126-6</w:t>
        </w:r>
      </w:hyperlink>
      <w:r>
        <w:t xml:space="preserve">.</w:t>
      </w:r>
    </w:p>
    <w:bookmarkEnd w:id="49"/>
    <w:bookmarkStart w:id="51" w:name="ref-orthofinder2026correction"/>
    <w:p>
      <w:pPr>
        <w:pStyle w:val="Bibliography"/>
      </w:pPr>
      <w:r>
        <w:t xml:space="preserve">———. 2026b.</w:t>
      </w:r>
      <w:r>
        <w:t xml:space="preserve"> </w:t>
      </w:r>
      <w:r>
        <w:t xml:space="preserve">“Author Correction: OrthoFinder: Improved Phylogenetic Orthology Inference with Enhanced Accuracy and Scalability.”</w:t>
      </w:r>
      <w:r>
        <w:t xml:space="preserve"> </w:t>
      </w:r>
      <w:r>
        <w:rPr>
          <w:iCs/>
          <w:i/>
        </w:rPr>
        <w:t xml:space="preserve">Nature Methods</w:t>
      </w:r>
      <w:r>
        <w:t xml:space="preserve">, August.</w:t>
      </w:r>
      <w:r>
        <w:t xml:space="preserve"> </w:t>
      </w:r>
      <w:hyperlink r:id="rId50">
        <w:r>
          <w:rPr>
            <w:rStyle w:val="Hyperlink"/>
          </w:rPr>
          <w:t xml:space="preserve">https://doi.org/10.1038/s41592-026-03238-z</w:t>
        </w:r>
      </w:hyperlink>
      <w:r>
        <w:t xml:space="preserve">.</w:t>
      </w:r>
    </w:p>
    <w:bookmarkEnd w:id="51"/>
    <w:bookmarkStart w:id="53" w:name="ref-henikoff1994"/>
    <w:p>
      <w:pPr>
        <w:pStyle w:val="Bibliography"/>
      </w:pPr>
      <w:r>
        <w:t xml:space="preserve">Henikoff, Steven, and Jorja G. Henikoff. 1994.</w:t>
      </w:r>
      <w:r>
        <w:t xml:space="preserve"> </w:t>
      </w:r>
      <w:r>
        <w:t xml:space="preserve">“Position-Based Sequence Weights.”</w:t>
      </w:r>
      <w:r>
        <w:t xml:space="preserve"> </w:t>
      </w:r>
      <w:r>
        <w:rPr>
          <w:iCs/>
          <w:i/>
        </w:rPr>
        <w:t xml:space="preserve">Journal of Molecular Biology</w:t>
      </w:r>
      <w:r>
        <w:t xml:space="preserve"> </w:t>
      </w:r>
      <w:r>
        <w:t xml:space="preserve">243 (4): 574–78.</w:t>
      </w:r>
      <w:r>
        <w:t xml:space="preserve"> </w:t>
      </w:r>
      <w:hyperlink r:id="rId52">
        <w:r>
          <w:rPr>
            <w:rStyle w:val="Hyperlink"/>
          </w:rPr>
          <w:t xml:space="preserve">https://doi.org/10.1016/0022-2836(94)90032-9</w:t>
        </w:r>
      </w:hyperlink>
      <w:r>
        <w:t xml:space="preserve">.</w:t>
      </w:r>
    </w:p>
    <w:bookmarkEnd w:id="53"/>
    <w:bookmarkStart w:id="55" w:name="ref-proteinortho2023"/>
    <w:p>
      <w:pPr>
        <w:pStyle w:val="Bibliography"/>
      </w:pPr>
      <w:r>
        <w:t xml:space="preserve">Klemm, Paul, Peter F. Stadler, and Marcus Lechner. 2023.</w:t>
      </w:r>
      <w:r>
        <w:t xml:space="preserve"> </w:t>
      </w:r>
      <w:r>
        <w:t xml:space="preserve">“Proteinortho6: Pseudo-Reciprocal Best Alignment Heuristic for Graph-Based Detection of (Co-)orthologs.”</w:t>
      </w:r>
      <w:r>
        <w:t xml:space="preserve"> </w:t>
      </w:r>
      <w:r>
        <w:rPr>
          <w:iCs/>
          <w:i/>
        </w:rPr>
        <w:t xml:space="preserve">Frontiers in Bioinformatics</w:t>
      </w:r>
      <w:r>
        <w:t xml:space="preserve"> </w:t>
      </w:r>
      <w:r>
        <w:t xml:space="preserve">3 (December).</w:t>
      </w:r>
      <w:r>
        <w:t xml:space="preserve"> </w:t>
      </w:r>
      <w:hyperlink r:id="rId54">
        <w:r>
          <w:rPr>
            <w:rStyle w:val="Hyperlink"/>
          </w:rPr>
          <w:t xml:space="preserve">https://doi.org/10.3389/fbinf.2023.1322477</w:t>
        </w:r>
      </w:hyperlink>
      <w:r>
        <w:t xml:space="preserve">.</w:t>
      </w:r>
    </w:p>
    <w:bookmarkEnd w:id="55"/>
    <w:bookmarkStart w:id="57" w:name="ref-orthomcl2003"/>
    <w:p>
      <w:pPr>
        <w:pStyle w:val="Bibliography"/>
      </w:pPr>
      <w:r>
        <w:t xml:space="preserve">Li, Li, Christian J. Stoeckert Jr., and David S. Roos. 2003.</w:t>
      </w:r>
      <w:r>
        <w:t xml:space="preserve"> </w:t>
      </w:r>
      <w:r>
        <w:t xml:space="preserve">“OrthoMCL: Identification of Ortholog Groups for Eukaryotic Genomes.”</w:t>
      </w:r>
      <w:r>
        <w:t xml:space="preserve"> </w:t>
      </w:r>
      <w:r>
        <w:rPr>
          <w:iCs/>
          <w:i/>
        </w:rPr>
        <w:t xml:space="preserve">Genome Research</w:t>
      </w:r>
      <w:r>
        <w:t xml:space="preserve"> </w:t>
      </w:r>
      <w:r>
        <w:t xml:space="preserve">13 (9): 2178–89.</w:t>
      </w:r>
      <w:r>
        <w:t xml:space="preserve"> </w:t>
      </w:r>
      <w:hyperlink r:id="rId56">
        <w:r>
          <w:rPr>
            <w:rStyle w:val="Hyperlink"/>
          </w:rPr>
          <w:t xml:space="preserve">https://doi.org/10.1101/gr.1224503</w:t>
        </w:r>
      </w:hyperlink>
      <w:r>
        <w:t xml:space="preserve">.</w:t>
      </w:r>
    </w:p>
    <w:bookmarkEnd w:id="57"/>
    <w:bookmarkStart w:id="59" w:name="ref-fastoma2025"/>
    <w:p>
      <w:pPr>
        <w:pStyle w:val="Bibliography"/>
      </w:pPr>
      <w:r>
        <w:t xml:space="preserve">Majidian, Sina, Yannis Nevers, Ali Yazdizadeh Kharrazi, Alex Warwick Vesztrocy, Stefano Pascarelli, David Moi, Natasha Glover, Adrian M. Altenhoff, and Christophe Dessimoz. 2025.</w:t>
      </w:r>
      <w:r>
        <w:t xml:space="preserve"> </w:t>
      </w:r>
      <w:r>
        <w:t xml:space="preserve">“Orthology Inference at Scale with FastOMA.”</w:t>
      </w:r>
      <w:r>
        <w:t xml:space="preserve"> </w:t>
      </w:r>
      <w:r>
        <w:rPr>
          <w:iCs/>
          <w:i/>
        </w:rPr>
        <w:t xml:space="preserve">Nature Methods</w:t>
      </w:r>
      <w:r>
        <w:t xml:space="preserve"> </w:t>
      </w:r>
      <w:r>
        <w:t xml:space="preserve">22 (2): 269–72.</w:t>
      </w:r>
      <w:r>
        <w:t xml:space="preserve"> </w:t>
      </w:r>
      <w:hyperlink r:id="rId58">
        <w:r>
          <w:rPr>
            <w:rStyle w:val="Hyperlink"/>
          </w:rPr>
          <w:t xml:space="preserve">https://doi.org/10.1038/s41592-024-02552-8</w:t>
        </w:r>
      </w:hyperlink>
      <w:r>
        <w:t xml:space="preserve">.</w:t>
      </w:r>
    </w:p>
    <w:bookmarkEnd w:id="59"/>
    <w:bookmarkStart w:id="61" w:name="ref-busco2021"/>
    <w:p>
      <w:pPr>
        <w:pStyle w:val="Bibliography"/>
      </w:pPr>
      <w:r>
        <w:t xml:space="preserve">Manni, Mosè, Matthew R Berkeley, Mathieu Seppey, Felipe A Simão, and Evgeny M Zdobnov. 2021.</w:t>
      </w:r>
      <w:r>
        <w:t xml:space="preserve"> </w:t>
      </w:r>
      <w:r>
        <w:t xml:space="preserve">“BUSCO Update: Novel and Streamlined Workflows Along with Broader and Deeper Phylogenetic Coverage for Scoring of Eukaryotic, Prokaryotic, and Viral Genomes.”</w:t>
      </w:r>
      <w:r>
        <w:t xml:space="preserve"> </w:t>
      </w:r>
      <w:r>
        <w:rPr>
          <w:iCs/>
          <w:i/>
        </w:rPr>
        <w:t xml:space="preserve">Molecular Biology and Evolution</w:t>
      </w:r>
      <w:r>
        <w:t xml:space="preserve"> </w:t>
      </w:r>
      <w:r>
        <w:t xml:space="preserve">38 (10): 4647–54.</w:t>
      </w:r>
      <w:r>
        <w:t xml:space="preserve"> </w:t>
      </w:r>
      <w:hyperlink r:id="rId60">
        <w:r>
          <w:rPr>
            <w:rStyle w:val="Hyperlink"/>
          </w:rPr>
          <w:t xml:space="preserve">https://doi.org/10.1093/molbev/msab199</w:t>
        </w:r>
      </w:hyperlink>
      <w:r>
        <w:t xml:space="preserve">.</w:t>
      </w:r>
    </w:p>
    <w:bookmarkEnd w:id="61"/>
    <w:bookmarkStart w:id="63" w:name="ref-qfo2016"/>
    <w:p>
      <w:pPr>
        <w:pStyle w:val="Bibliography"/>
      </w:pPr>
      <w:r>
        <w:t xml:space="preserve">Quest for Orthologs consortium, Adrian M Altenhoff, Brigitte Boeckmann, Salvador Capella-Gutierrez, Daniel A Dalquen, Todd DeLuca, Kristoffer Forslund, et al. 2016.</w:t>
      </w:r>
      <w:r>
        <w:t xml:space="preserve"> </w:t>
      </w:r>
      <w:r>
        <w:t xml:space="preserve">“Standardized Benchmarking in the Quest for Orthologs.”</w:t>
      </w:r>
      <w:r>
        <w:t xml:space="preserve"> </w:t>
      </w:r>
      <w:r>
        <w:rPr>
          <w:iCs/>
          <w:i/>
        </w:rPr>
        <w:t xml:space="preserve">Nature Methods</w:t>
      </w:r>
      <w:r>
        <w:t xml:space="preserve"> </w:t>
      </w:r>
      <w:r>
        <w:t xml:space="preserve">13 (5): 425–30.</w:t>
      </w:r>
      <w:r>
        <w:t xml:space="preserve"> </w:t>
      </w:r>
      <w:hyperlink r:id="rId62">
        <w:r>
          <w:rPr>
            <w:rStyle w:val="Hyperlink"/>
          </w:rPr>
          <w:t xml:space="preserve">https://doi.org/10.1038/nmeth.3830</w:t>
        </w:r>
      </w:hyperlink>
      <w:r>
        <w:t xml:space="preserve">.</w:t>
      </w:r>
    </w:p>
    <w:bookmarkEnd w:id="63"/>
    <w:bookmarkStart w:id="65" w:name="ref-orthohmm2024preprint"/>
    <w:p>
      <w:pPr>
        <w:pStyle w:val="Bibliography"/>
      </w:pPr>
      <w:r>
        <w:t xml:space="preserve">Steenwyk, Jacob L, Thomas J. Buida III, Antonis Rokas, and Nicole King. 2024.</w:t>
      </w:r>
      <w:r>
        <w:t xml:space="preserve"> </w:t>
      </w:r>
      <w:r>
        <w:t xml:space="preserve">“OrthoHMM: Improved Inference of Ortholog Groups Using Hidden Markov Models.”</w:t>
      </w:r>
      <w:r>
        <w:t xml:space="preserve"> </w:t>
      </w:r>
      <w:r>
        <w:t xml:space="preserve">Preprint. openRxiv.</w:t>
      </w:r>
      <w:r>
        <w:t xml:space="preserve"> </w:t>
      </w:r>
      <w:hyperlink r:id="rId64">
        <w:r>
          <w:rPr>
            <w:rStyle w:val="Hyperlink"/>
          </w:rPr>
          <w:t xml:space="preserve">https://doi.org/10.1101/2024.12.07.627370</w:t>
        </w:r>
      </w:hyperlink>
      <w:r>
        <w:t xml:space="preserve">.</w:t>
      </w:r>
    </w:p>
    <w:bookmarkEnd w:id="65"/>
    <w:bookmarkEnd w:id="66"/>
    <w:bookmarkEnd w:id="67"/>
    <w:bookmarkStart w:id="71" w:name="X8d5a2af60b8a4f31fef305951c2eb95d5b57804"/>
    <w:p>
      <w:pPr>
        <w:pStyle w:val="Heading2"/>
      </w:pPr>
      <w:r>
        <w:t xml:space="preserve">Figure 1. HMM-centered workflow and experimental interventions</w:t>
      </w:r>
    </w:p>
    <w:p>
      <w:pPr>
        <w:pStyle w:val="FirstParagraph"/>
      </w:pPr>
      <w:r>
        <w:drawing>
          <wp:inline>
            <wp:extent cx="5334000" cy="2501787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assets_v3/fig1_workflow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1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A,</w:t>
      </w:r>
      <w:r>
        <w:t xml:space="preserve"> </w:t>
      </w:r>
      <w:r>
        <w:t xml:space="preserve">Sequence-supported search and family-profile recruitment precede</w:t>
      </w:r>
      <w:r>
        <w:t xml:space="preserve"> </w:t>
      </w:r>
      <w:r>
        <w:t xml:space="preserve">candidate expansion and phylogenetic refinement. This conceptual diagram</w:t>
      </w:r>
      <w:r>
        <w:t xml:space="preserve"> </w:t>
      </w:r>
      <w:r>
        <w:t xml:space="preserve">distinguishes the optional phylogenetic workflow from sequence-only outputs.</w:t>
      </w:r>
      <w:r>
        <w:t xml:space="preserve"> </w:t>
      </w:r>
      <w:r>
        <w:rPr>
          <w:bCs/>
          <w:b/>
        </w:rPr>
        <w:t xml:space="preserve">B,</w:t>
      </w:r>
      <w:r>
        <w:t xml:space="preserve"> </w:t>
      </w:r>
      <w:r>
        <w:t xml:space="preserve">The four separately controlled interventions target profile construction,</w:t>
      </w:r>
      <w:r>
        <w:t xml:space="preserve"> </w:t>
      </w:r>
      <w:r>
        <w:t xml:space="preserve">alignment evidence, local tree analysis, and ambiguous-candidate scoring.</w:t>
      </w:r>
      <w:r>
        <w:t xml:space="preserve"> </w:t>
      </w:r>
      <w:r>
        <w:t xml:space="preserve">Individual ablations precede the registered interaction. The figure describes</w:t>
      </w:r>
      <w:r>
        <w:t xml:space="preserve"> </w:t>
      </w:r>
      <w:r>
        <w:t xml:space="preserve">the evaluated architecture; it does not imply that all interventions improved</w:t>
      </w:r>
      <w:r>
        <w:t xml:space="preserve"> </w:t>
      </w:r>
      <w:r>
        <w:t xml:space="preserve">accuracy or are enabled by default.</w:t>
      </w:r>
    </w:p>
    <w:bookmarkEnd w:id="71"/>
    <w:bookmarkStart w:id="75" w:name="Xed3310108b077b60399650ebaf48541e36379f9"/>
    <w:p>
      <w:pPr>
        <w:pStyle w:val="Heading2"/>
      </w:pPr>
      <w:r>
        <w:t xml:space="preserve">Figure 2. OrthoBench group recovery and precision-recall trade-off</w:t>
      </w:r>
    </w:p>
    <w:p>
      <w:pPr>
        <w:pStyle w:val="FirstParagraph"/>
      </w:pPr>
      <w:r>
        <w:drawing>
          <wp:inline>
            <wp:extent cx="5334000" cy="320984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assets_v3/fig2_orthobench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9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A,</w:t>
      </w:r>
      <w:r>
        <w:t xml:space="preserve"> </w:t>
      </w:r>
      <w:r>
        <w:t xml:space="preserve">Weighted group F1 for all 12 complete-vector configurations. Bars start</w:t>
      </w:r>
      <w:r>
        <w:t xml:space="preserve"> </w:t>
      </w:r>
      <w:r>
        <w:t xml:space="preserve">at zero.</w:t>
      </w:r>
      <w:r>
        <w:t xml:space="preserve"> </w:t>
      </w:r>
      <w:r>
        <w:rPr>
          <w:bCs/>
          <w:b/>
        </w:rPr>
        <w:t xml:space="preserve">B,</w:t>
      </w:r>
      <w:r>
        <w:t xml:space="preserve"> </w:t>
      </w:r>
      <w:r>
        <w:t xml:space="preserve">Their corresponding weighted precision and recall. Dashed</w:t>
      </w:r>
      <w:r>
        <w:t xml:space="preserve"> </w:t>
      </w:r>
      <w:r>
        <w:t xml:space="preserve">segments mark the observed point-estimate frontier. The canonical OrthoHMM</w:t>
      </w:r>
      <w:r>
        <w:t xml:space="preserve"> </w:t>
      </w:r>
      <w:r>
        <w:t xml:space="preserve">configuration has higher precision but lower recall than full OrthoFinder.</w:t>
      </w:r>
      <w:r>
        <w:t xml:space="preserve"> </w:t>
      </w:r>
      <w:r>
        <w:t xml:space="preserve">Symbols retain the same meanings across figures. Small development differences</w:t>
      </w:r>
      <w:r>
        <w:t xml:space="preserve"> </w:t>
      </w:r>
      <w:r>
        <w:t xml:space="preserve">are not independent accuracy gains; paired contrasts appear in Supplementary</w:t>
      </w:r>
      <w:r>
        <w:t xml:space="preserve"> </w:t>
      </w:r>
      <w:r>
        <w:t xml:space="preserve">Fig. S2. Some points coincide; OH-C/P labels the identical canonical and</w:t>
      </w:r>
      <w:r>
        <w:t xml:space="preserve"> </w:t>
      </w:r>
      <w:r>
        <w:t xml:space="preserve">retained-phylogeny OrthoBench coordinates. OB, OrthoBench; OH, OrthoHMM;</w:t>
      </w:r>
      <w:r>
        <w:t xml:space="preserve"> </w:t>
      </w:r>
      <w:r>
        <w:t xml:space="preserve">OF, OrthoFinder; SP, SonicParanoid;</w:t>
      </w:r>
      <w:r>
        <w:t xml:space="preserve"> </w:t>
      </w:r>
      <w:r>
        <w:t xml:space="preserve">PO, ProteinOrtho; FA, FastOMA; OM, OrthoMCL. OH-C/W/N/R denote canonical,</w:t>
      </w:r>
      <w:r>
        <w:t xml:space="preserve"> </w:t>
      </w:r>
      <w:r>
        <w:t xml:space="preserve">Henikoff, clustered Henikoff, and projection repair; OH-S/P denote retained</w:t>
      </w:r>
      <w:r>
        <w:t xml:space="preserve"> </w:t>
      </w:r>
      <w:r>
        <w:t xml:space="preserve">sensitive/phylogenetic configurations. OF-S is a sequence-only checkpoint.</w:t>
      </w:r>
    </w:p>
    <w:bookmarkEnd w:id="75"/>
    <w:bookmarkStart w:id="79" w:name="Xe996e09d3f51cd4a6e04ba593dfe90575c10d8d"/>
    <w:p>
      <w:pPr>
        <w:pStyle w:val="Heading2"/>
      </w:pPr>
      <w:r>
        <w:t xml:space="preserve">Figure 3. Where OrthoHMM lies on the accuracy frontier</w:t>
      </w:r>
    </w:p>
    <w:p>
      <w:pPr>
        <w:pStyle w:val="FirstParagraph"/>
      </w:pPr>
      <w:r>
        <w:drawing>
          <wp:inline>
            <wp:extent cx="5334000" cy="4248318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assets_v3/fig3_pareto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8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A-C,</w:t>
      </w:r>
      <w:r>
        <w:t xml:space="preserve"> </w:t>
      </w:r>
      <w:r>
        <w:t xml:space="preserve">Pairwise projections of the primary objectives. All axes maximize F1;</w:t>
      </w:r>
      <w:r>
        <w:t xml:space="preserve"> </w:t>
      </w:r>
      <w:r>
        <w:t xml:space="preserve">the top right is favorable. Dashed steps mark boundaries among observed</w:t>
      </w:r>
      <w:r>
        <w:t xml:space="preserve"> </w:t>
      </w:r>
      <w:r>
        <w:t xml:space="preserve">nondominated points, not attainable interpolations. Full OrthoFinder is the</w:t>
      </w:r>
      <w:r>
        <w:t xml:space="preserve"> </w:t>
      </w:r>
      <w:r>
        <w:t xml:space="preserve">sole nondominated configuration in the VGNC-SwissTrees projection.</w:t>
      </w:r>
      <w:r>
        <w:t xml:space="preserve"> </w:t>
      </w:r>
      <w:r>
        <w:rPr>
          <w:bCs/>
          <w:b/>
        </w:rPr>
        <w:t xml:space="preserve">D,</w:t>
      </w:r>
      <w:r>
        <w:t xml:space="preserve"> </w:t>
      </w:r>
      <w:r>
        <w:t xml:space="preserve">Magnification of the small differences among OrthoHMM development</w:t>
      </w:r>
      <w:r>
        <w:t xml:space="preserve"> </w:t>
      </w:r>
      <w:r>
        <w:t xml:space="preserve">configurations; its truncated axes do not depict uncertainty. Primary</w:t>
      </w:r>
      <w:r>
        <w:t xml:space="preserve"> </w:t>
      </w:r>
      <w:r>
        <w:t xml:space="preserve">three-objective membership is calculated independently of these projections</w:t>
      </w:r>
      <w:r>
        <w:t xml:space="preserve"> </w:t>
      </w:r>
      <w:r>
        <w:t xml:space="preserve">and exported in Supplementary Table S2. Membership is descriptive and depends</w:t>
      </w:r>
      <w:r>
        <w:t xml:space="preserve"> </w:t>
      </w:r>
      <w:r>
        <w:t xml:space="preserve">on the comparison set, objectives, and point estimates.</w:t>
      </w:r>
    </w:p>
    <w:bookmarkEnd w:id="79"/>
    <w:bookmarkStart w:id="83" w:name="X9f2af7f343c01fd4b5f40d08ef2409bcaea97ca"/>
    <w:p>
      <w:pPr>
        <w:pStyle w:val="Heading2"/>
      </w:pPr>
      <w:r>
        <w:t xml:space="preserve">Figure 4. Shared-host resource measurements</w:t>
      </w:r>
    </w:p>
    <w:p>
      <w:pPr>
        <w:pStyle w:val="FirstParagraph"/>
      </w:pPr>
      <w:r>
        <w:drawing>
          <wp:inline>
            <wp:extent cx="5334000" cy="2737805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assets_v3/fig4_resources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7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A-C,</w:t>
      </w:r>
      <w:r>
        <w:t xml:space="preserve"> </w:t>
      </w:r>
      <w:r>
        <w:t xml:space="preserve">Native elapsed time, native-task-subtree CPU use, and native-step peak</w:t>
      </w:r>
      <w:r>
        <w:t xml:space="preserve"> </w:t>
      </w:r>
      <w:r>
        <w:t xml:space="preserve">memory on nested 4-, 8-, and 12-proteome datasets. Symbols show measured</w:t>
      </w:r>
      <w:r>
        <w:t xml:space="preserve"> </w:t>
      </w:r>
      <w:r>
        <w:t xml:space="preserve">attempts; gray crosses show excluded measured attempts. Two pre-native aborts</w:t>
      </w:r>
      <w:r>
        <w:t xml:space="preserve"> </w:t>
      </w:r>
      <w:r>
        <w:t xml:space="preserve">have no plotted resource value and remain missing in Supplementary Table S3.</w:t>
      </w:r>
      <w:r>
        <w:t xml:space="preserve"> </w:t>
      </w:r>
      <w:r>
        <w:t xml:space="preserve">Labels give eligible repeats out of three. Median ticks and observed range</w:t>
      </w:r>
      <w:r>
        <w:t xml:space="preserve"> </w:t>
      </w:r>
      <w:r>
        <w:t xml:space="preserve">bars appear only for complete three-repeat cells; ranges are not confidence</w:t>
      </w:r>
      <w:r>
        <w:t xml:space="preserve"> </w:t>
      </w:r>
      <w:r>
        <w:t xml:space="preserve">intervals. All 27 attempts were reviewed, 25 produced measurements, and 24</w:t>
      </w:r>
      <w:r>
        <w:t xml:space="preserve"> </w:t>
      </w:r>
      <w:r>
        <w:t xml:space="preserve">were eligible. Contention is unknown and potentially method dependent. The</w:t>
      </w:r>
      <w:r>
        <w:t xml:space="preserve"> </w:t>
      </w:r>
      <w:r>
        <w:t xml:space="preserve">panel does not establish isolated comparative efficiency, and no costs for</w:t>
      </w:r>
      <w:r>
        <w:t xml:space="preserve"> </w:t>
      </w:r>
      <w:r>
        <w:t xml:space="preserve">weighted OrthoHMM configurations are inferred from it.</w:t>
      </w:r>
    </w:p>
    <w:bookmarkEnd w:id="83"/>
    <w:bookmarkStart w:id="87" w:name="X45c8792cd19da89971e35b52d3d28152c8fc3df"/>
    <w:p>
      <w:pPr>
        <w:pStyle w:val="Heading2"/>
      </w:pPr>
      <w:r>
        <w:t xml:space="preserve">Figure 5. QfO orthology and conditional functional conservation</w:t>
      </w:r>
    </w:p>
    <w:p>
      <w:pPr>
        <w:pStyle w:val="FirstParagraph"/>
      </w:pPr>
      <w:r>
        <w:drawing>
          <wp:inline>
            <wp:extent cx="5334000" cy="4059504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assets_v3/fig5_qfo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9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A-C,</w:t>
      </w:r>
      <w:r>
        <w:t xml:space="preserve"> </w:t>
      </w:r>
      <w:r>
        <w:t xml:space="preserve">VGNC, SwissTrees, and supporting TreeFam-A precision versus recall,</w:t>
      </w:r>
      <w:r>
        <w:t xml:space="preserve"> </w:t>
      </w:r>
      <w:r>
        <w:t xml:space="preserve">with observed point-estimate frontiers. These frontiers are not the F1-F1</w:t>
      </w:r>
      <w:r>
        <w:t xml:space="preserve"> </w:t>
      </w:r>
      <w:r>
        <w:t xml:space="preserve">frontier in Fig. 3.</w:t>
      </w:r>
      <w:r>
        <w:t xml:space="preserve"> </w:t>
      </w:r>
      <w:r>
        <w:rPr>
          <w:bCs/>
          <w:b/>
        </w:rPr>
        <w:t xml:space="preserve">D-F,</w:t>
      </w:r>
      <w:r>
        <w:t xml:space="preserve"> </w:t>
      </w:r>
      <w:r>
        <w:t xml:space="preserve">EC, GO, and FAS conditional mean similarity versus</w:t>
      </w:r>
      <w:r>
        <w:t xml:space="preserve"> </w:t>
      </w:r>
      <w:r>
        <w:t xml:space="preserve">recorded assessed or eligible pair populations, on logarithmic population</w:t>
      </w:r>
      <w:r>
        <w:t xml:space="preserve"> </w:t>
      </w:r>
      <w:r>
        <w:t xml:space="preserve">axes. Higher means among differently selected pairs do not establish greater</w:t>
      </w:r>
      <w:r>
        <w:t xml:space="preserve"> </w:t>
      </w:r>
      <w:r>
        <w:t xml:space="preserve">orthology accuracy. The FAS eligible pool is not its numerical sample size.</w:t>
      </w:r>
      <w:r>
        <w:t xml:space="preserve"> </w:t>
      </w:r>
      <w:r>
        <w:t xml:space="preserve">No accuracy frontier is assigned to functional panels. Points have no</w:t>
      </w:r>
      <w:r>
        <w:t xml:space="preserve"> </w:t>
      </w:r>
      <w:r>
        <w:t xml:space="preserve">invented independent-pair uncertainty; heterogeneous native error conventions</w:t>
      </w:r>
      <w:r>
        <w:t xml:space="preserve"> </w:t>
      </w:r>
      <w:r>
        <w:t xml:space="preserve">are not pooled. Published OrthoFinder figures guide the types of panels,</w:t>
      </w:r>
      <w:r>
        <w:t xml:space="preserve"> </w:t>
      </w:r>
      <w:r>
        <w:t xml:space="preserve">not their numerical inputs; unrun species-tree discordance tests are absent.</w:t>
      </w:r>
      <w:r>
        <w:t xml:space="preserve"> </w:t>
      </w:r>
      <w:r>
        <w:t xml:space="preserve">Some configurations have coincident or visually overlapping coordinates;</w:t>
      </w:r>
      <w:r>
        <w:t xml:space="preserve"> </w:t>
      </w:r>
      <w:r>
        <w:t xml:space="preserve">the exported coordinate table preserves their distinct identities and values.</w:t>
      </w:r>
    </w:p>
    <w:bookmarkEnd w:id="87"/>
    <w:bookmarkStart w:id="91" w:name="X8c02c9091f0c8ddf80d6ba66b79fd4c4951d518"/>
    <w:p>
      <w:pPr>
        <w:pStyle w:val="Heading2"/>
      </w:pPr>
      <w:r>
        <w:t xml:space="preserve">Supplementary Figure S1. All eight reported endpoints</w:t>
      </w:r>
    </w:p>
    <w:p>
      <w:pPr>
        <w:pStyle w:val="FirstParagraph"/>
      </w:pPr>
      <w:r>
        <w:drawing>
          <wp:inline>
            <wp:extent cx="5334000" cy="306823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assets_v3/figS1_all_scores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8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All 12 complete-vector configurations, shown on a common numerical 0-1 range</w:t>
      </w:r>
      <w:r>
        <w:t xml:space="preserve"> </w:t>
      </w:r>
      <w:r>
        <w:t xml:space="preserve">for compact display. Colors are not a shared biological accuracy scale, and</w:t>
      </w:r>
      <w:r>
        <w:t xml:space="preserve"> </w:t>
      </w:r>
      <w:r>
        <w:t xml:space="preserve">columns are not averaged or ranked together. EC, GO, and FAS are conditional</w:t>
      </w:r>
      <w:r>
        <w:t xml:space="preserve"> </w:t>
      </w:r>
      <w:r>
        <w:t xml:space="preserve">means. TreeFam is supporting evidence; Three Kingdoms is marker-limited</w:t>
      </w:r>
      <w:r>
        <w:t xml:space="preserve"> </w:t>
      </w:r>
      <w:r>
        <w:t xml:space="preserve">supplementary evidence. Supplementary Table S1 retains all 29 original</w:t>
      </w:r>
      <w:r>
        <w:t xml:space="preserve"> </w:t>
      </w:r>
      <w:r>
        <w:t xml:space="preserve">configuration/control/history rows, including explicit NA endpoints.</w:t>
      </w:r>
    </w:p>
    <w:bookmarkEnd w:id="91"/>
    <w:bookmarkStart w:id="95" w:name="Xe59042b172aeea5ce8971535f7e29b010fc27e6"/>
    <w:p>
      <w:pPr>
        <w:pStyle w:val="Heading2"/>
      </w:pPr>
      <w:r>
        <w:t xml:space="preserve">Supplementary Figure S2. Original paired OrthoBench uncertainty</w:t>
      </w:r>
    </w:p>
    <w:p>
      <w:pPr>
        <w:pStyle w:val="FirstParagraph"/>
      </w:pPr>
      <w:r>
        <w:drawing>
          <wp:inline>
            <wp:extent cx="5334000" cy="2596194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assets_v3/figS2_uncertainty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6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A,</w:t>
      </w:r>
      <w:r>
        <w:t xml:space="preserve"> </w:t>
      </w:r>
      <w:r>
        <w:t xml:space="preserve">The three standalone candidates relative to canonical.</w:t>
      </w:r>
      <w:r>
        <w:t xml:space="preserve"> </w:t>
      </w:r>
      <w:r>
        <w:rPr>
          <w:bCs/>
          <w:b/>
        </w:rPr>
        <w:t xml:space="preserve">B,</w:t>
      </w:r>
      <w:r>
        <w:t xml:space="preserve"> </w:t>
      </w:r>
      <w:r>
        <w:t xml:space="preserve">The six</w:t>
      </w:r>
      <w:r>
        <w:t xml:space="preserve"> </w:t>
      </w:r>
      <w:r>
        <w:t xml:space="preserve">registered interaction contrasts. Points are F1 differences in percentage</w:t>
      </w:r>
      <w:r>
        <w:t xml:space="preserve"> </w:t>
      </w:r>
      <w:r>
        <w:t xml:space="preserve">points. Blue intervals are paired percentile intervals; gray intervals retain</w:t>
      </w:r>
      <w:r>
        <w:t xml:space="preserve"> </w:t>
      </w:r>
      <w:r>
        <w:t xml:space="preserve">the original phase-specific Bonferroni tail adjustments (nine weighting,</w:t>
      </w:r>
      <w:r>
        <w:t xml:space="preserve"> </w:t>
      </w:r>
      <w:r>
        <w:t xml:space="preserve">24 projection-recovery, and 18 interaction endpoints). All reuse the saved</w:t>
      </w:r>
      <w:r>
        <w:t xml:space="preserve"> </w:t>
      </w:r>
      <w:r>
        <w:t xml:space="preserve">100000 paired reference-family resamples. These are development-exposed,</w:t>
      </w:r>
      <w:r>
        <w:t xml:space="preserve"> </w:t>
      </w:r>
      <w:r>
        <w:t xml:space="preserve">phase-qualified intervals, not campaign-wide selection corrections or</w:t>
      </w:r>
      <w:r>
        <w:t xml:space="preserve"> </w:t>
      </w:r>
      <w:r>
        <w:t xml:space="preserve">confidence sets for Pareto membership. Zero-spanning intervals do not establish</w:t>
      </w:r>
      <w:r>
        <w:t xml:space="preserve"> </w:t>
      </w:r>
      <w:r>
        <w:t xml:space="preserve">equivalence. W and N denote Henikoff and clustered Henikoff.</w:t>
      </w:r>
    </w:p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hyperlink" Id="rId52" Target="https://doi.org/10.1016/0022-2836(94)90032-9" TargetMode="External" /><Relationship Type="http://schemas.openxmlformats.org/officeDocument/2006/relationships/hyperlink" Id="rId62" Target="https://doi.org/10.1038/nmeth.3830" TargetMode="External" /><Relationship Type="http://schemas.openxmlformats.org/officeDocument/2006/relationships/hyperlink" Id="rId58" Target="https://doi.org/10.1038/s41592-024-02552-8" TargetMode="External" /><Relationship Type="http://schemas.openxmlformats.org/officeDocument/2006/relationships/hyperlink" Id="rId48" Target="https://doi.org/10.1038/s41592-026-03126-6" TargetMode="External" /><Relationship Type="http://schemas.openxmlformats.org/officeDocument/2006/relationships/hyperlink" Id="rId50" Target="https://doi.org/10.1038/s41592-026-03238-z" TargetMode="External" /><Relationship Type="http://schemas.openxmlformats.org/officeDocument/2006/relationships/hyperlink" Id="rId46" Target="https://doi.org/10.1093/gbe/evaa211" TargetMode="External" /><Relationship Type="http://schemas.openxmlformats.org/officeDocument/2006/relationships/hyperlink" Id="rId60" Target="https://doi.org/10.1093/molbev/msab199" TargetMode="External" /><Relationship Type="http://schemas.openxmlformats.org/officeDocument/2006/relationships/hyperlink" Id="rId38" Target="https://doi.org/10.1093/nar/gkaa308" TargetMode="External" /><Relationship Type="http://schemas.openxmlformats.org/officeDocument/2006/relationships/hyperlink" Id="rId64" Target="https://doi.org/10.1101/2024.12.07.627370" TargetMode="External" /><Relationship Type="http://schemas.openxmlformats.org/officeDocument/2006/relationships/hyperlink" Id="rId56" Target="https://doi.org/10.1101/gr.1224503" TargetMode="External" /><Relationship Type="http://schemas.openxmlformats.org/officeDocument/2006/relationships/hyperlink" Id="rId44" Target="https://doi.org/10.1186/s13059-019-1832-y" TargetMode="External" /><Relationship Type="http://schemas.openxmlformats.org/officeDocument/2006/relationships/hyperlink" Id="rId40" Target="https://doi.org/10.1186/s13059-024-03298-4" TargetMode="External" /><Relationship Type="http://schemas.openxmlformats.org/officeDocument/2006/relationships/hyperlink" Id="rId42" Target="https://doi.org/10.1371/journal.pcbi.1002195" TargetMode="External" /><Relationship Type="http://schemas.openxmlformats.org/officeDocument/2006/relationships/hyperlink" Id="rId54" Target="https://doi.org/10.3389/fbinf.2023.1322477" TargetMode="External" /><Relationship Type="http://schemas.openxmlformats.org/officeDocument/2006/relationships/hyperlink" Id="rId35" Target="https://github.com/JLSteenwyk/orthohm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https://doi.org/10.1016/0022-2836(94)90032-9" TargetMode="External" /><Relationship Type="http://schemas.openxmlformats.org/officeDocument/2006/relationships/hyperlink" Id="rId62" Target="https://doi.org/10.1038/nmeth.3830" TargetMode="External" /><Relationship Type="http://schemas.openxmlformats.org/officeDocument/2006/relationships/hyperlink" Id="rId58" Target="https://doi.org/10.1038/s41592-024-02552-8" TargetMode="External" /><Relationship Type="http://schemas.openxmlformats.org/officeDocument/2006/relationships/hyperlink" Id="rId48" Target="https://doi.org/10.1038/s41592-026-03126-6" TargetMode="External" /><Relationship Type="http://schemas.openxmlformats.org/officeDocument/2006/relationships/hyperlink" Id="rId50" Target="https://doi.org/10.1038/s41592-026-03238-z" TargetMode="External" /><Relationship Type="http://schemas.openxmlformats.org/officeDocument/2006/relationships/hyperlink" Id="rId46" Target="https://doi.org/10.1093/gbe/evaa211" TargetMode="External" /><Relationship Type="http://schemas.openxmlformats.org/officeDocument/2006/relationships/hyperlink" Id="rId60" Target="https://doi.org/10.1093/molbev/msab199" TargetMode="External" /><Relationship Type="http://schemas.openxmlformats.org/officeDocument/2006/relationships/hyperlink" Id="rId38" Target="https://doi.org/10.1093/nar/gkaa308" TargetMode="External" /><Relationship Type="http://schemas.openxmlformats.org/officeDocument/2006/relationships/hyperlink" Id="rId64" Target="https://doi.org/10.1101/2024.12.07.627370" TargetMode="External" /><Relationship Type="http://schemas.openxmlformats.org/officeDocument/2006/relationships/hyperlink" Id="rId56" Target="https://doi.org/10.1101/gr.1224503" TargetMode="External" /><Relationship Type="http://schemas.openxmlformats.org/officeDocument/2006/relationships/hyperlink" Id="rId44" Target="https://doi.org/10.1186/s13059-019-1832-y" TargetMode="External" /><Relationship Type="http://schemas.openxmlformats.org/officeDocument/2006/relationships/hyperlink" Id="rId40" Target="https://doi.org/10.1186/s13059-024-03298-4" TargetMode="External" /><Relationship Type="http://schemas.openxmlformats.org/officeDocument/2006/relationships/hyperlink" Id="rId42" Target="https://doi.org/10.1371/journal.pcbi.1002195" TargetMode="External" /><Relationship Type="http://schemas.openxmlformats.org/officeDocument/2006/relationships/hyperlink" Id="rId54" Target="https://doi.org/10.3389/fbinf.2023.1322477" TargetMode="External" /><Relationship Type="http://schemas.openxmlformats.org/officeDocument/2006/relationships/hyperlink" Id="rId35" Target="https://github.com/JLSteenwyk/orthohm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OrthoHMM: HMM-centered orthology inference with explicit accuracy trade-offs</dc:title>
  <dc:creator>Jacob L. Steenwyk</dc:creator>
  <dc:language>en</dc:language>
  <cp:keywords/>
  <dcterms:created xsi:type="dcterms:W3CDTF">2026-10-20T18:59:50Z</dcterms:created>
  <dcterms:modified xsi:type="dcterms:W3CDTF">2026-10-20T18:59:50Z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manuscript/hmm_frontier_20261020/references.csl.json</vt:lpwstr>
  </property>
</Properties>
</file>