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Times New Roman" w:hAnsi="Times New Roman" w:eastAsia="Microsoft YaHei"/>
          <w:b/>
          <w:i w:val="0"/>
          <w:sz w:val="32"/>
        </w:rPr>
        <w:t>MARS-FIELD: Methods and Results Draft v2</w:t>
      </w:r>
    </w:p>
    <w:p>
      <w:pPr>
        <w:spacing w:after="80" w:line="276" w:lineRule="auto"/>
        <w:jc w:val="center"/>
      </w:pPr>
      <w:r>
        <w:rPr>
          <w:rFonts w:ascii="Times New Roman" w:hAnsi="Times New Roman" w:eastAsia="Microsoft YaHei"/>
          <w:b w:val="0"/>
          <w:i/>
          <w:sz w:val="20"/>
        </w:rPr>
        <w:t>Nature-style manuscript draft built from benchmark_twelvepack_final</w:t>
      </w:r>
    </w:p>
    <w:p>
      <w:pPr>
        <w:spacing w:before="160" w:after="80"/>
      </w:pPr>
      <w:r>
        <w:rPr>
          <w:rFonts w:ascii="Times New Roman" w:hAnsi="Times New Roman" w:eastAsia="Microsoft YaHei"/>
          <w:b/>
          <w:sz w:val="26"/>
        </w:rPr>
        <w:t>Key Readout</w:t>
      </w:r>
    </w:p>
    <w:tbl>
      <w:tblPr>
        <w:tblStyle w:val="TableGrid"/>
        <w:tblW w:type="auto" w:w="0"/>
        <w:tblLook w:firstColumn="1" w:firstRow="1" w:lastColumn="0" w:lastRow="0" w:noHBand="0" w:noVBand="1" w:val="04A0"/>
      </w:tblPr>
      <w:tblGrid>
        <w:gridCol w:w="4968"/>
        <w:gridCol w:w="4968"/>
      </w:tblGrid>
      <w:tr>
        <w:tc>
          <w:tcPr>
            <w:tcW w:type="dxa" w:w="4608"/>
          </w:tcPr>
          <w:p>
            <w:r>
              <w:rPr>
                <w:rFonts w:ascii="Times New Roman" w:hAnsi="Times New Roman" w:eastAsia="Microsoft YaHei"/>
                <w:b/>
                <w:sz w:val="18"/>
              </w:rPr>
              <w:t>Metric</w:t>
            </w:r>
          </w:p>
        </w:tc>
        <w:tc>
          <w:tcPr>
            <w:tcW w:type="dxa" w:w="4032"/>
          </w:tcPr>
          <w:p>
            <w:r>
              <w:rPr>
                <w:rFonts w:ascii="Times New Roman" w:hAnsi="Times New Roman" w:eastAsia="Microsoft YaHei"/>
                <w:b/>
                <w:sz w:val="18"/>
              </w:rPr>
              <w:t>Value</w:t>
            </w:r>
          </w:p>
        </w:tc>
      </w:tr>
      <w:tr>
        <w:tc>
          <w:tcPr>
            <w:tcW w:type="dxa" w:w="4608"/>
          </w:tcPr>
          <w:p>
            <w:pPr>
              <w:spacing w:after="0"/>
            </w:pPr>
            <w:r>
              <w:rPr>
                <w:rFonts w:ascii="Times New Roman" w:hAnsi="Times New Roman" w:eastAsia="Microsoft YaHei"/>
                <w:sz w:val="17"/>
              </w:rPr>
              <w:t>Targets in final benchmark</w:t>
            </w:r>
          </w:p>
        </w:tc>
        <w:tc>
          <w:tcPr>
            <w:tcW w:type="dxa" w:w="4032"/>
          </w:tcPr>
          <w:p>
            <w:pPr>
              <w:spacing w:after="0"/>
            </w:pPr>
            <w:r>
              <w:rPr>
                <w:rFonts w:ascii="Times New Roman" w:hAnsi="Times New Roman" w:eastAsia="Microsoft YaHei"/>
                <w:sz w:val="17"/>
              </w:rPr>
              <w:t>12</w:t>
            </w:r>
          </w:p>
        </w:tc>
      </w:tr>
      <w:tr>
        <w:tc>
          <w:tcPr>
            <w:tcW w:type="dxa" w:w="4608"/>
          </w:tcPr>
          <w:p>
            <w:pPr>
              <w:spacing w:after="0"/>
            </w:pPr>
            <w:r>
              <w:rPr>
                <w:rFonts w:ascii="Times New Roman" w:hAnsi="Times New Roman" w:eastAsia="Microsoft YaHei"/>
                <w:sz w:val="17"/>
              </w:rPr>
              <w:t>Protein families represented</w:t>
            </w:r>
          </w:p>
        </w:tc>
        <w:tc>
          <w:tcPr>
            <w:tcW w:type="dxa" w:w="4032"/>
          </w:tcPr>
          <w:p>
            <w:pPr>
              <w:spacing w:after="0"/>
            </w:pPr>
            <w:r>
              <w:rPr>
                <w:rFonts w:ascii="Times New Roman" w:hAnsi="Times New Roman" w:eastAsia="Microsoft YaHei"/>
                <w:sz w:val="17"/>
              </w:rPr>
              <w:t>10</w:t>
            </w:r>
          </w:p>
        </w:tc>
      </w:tr>
      <w:tr>
        <w:tc>
          <w:tcPr>
            <w:tcW w:type="dxa" w:w="4608"/>
          </w:tcPr>
          <w:p>
            <w:pPr>
              <w:spacing w:after="0"/>
            </w:pPr>
            <w:r>
              <w:rPr>
                <w:rFonts w:ascii="Times New Roman" w:hAnsi="Times New Roman" w:eastAsia="Microsoft YaHei"/>
                <w:sz w:val="17"/>
              </w:rPr>
              <w:t>Policy score improved vs incumbent</w:t>
            </w:r>
          </w:p>
        </w:tc>
        <w:tc>
          <w:tcPr>
            <w:tcW w:type="dxa" w:w="4032"/>
          </w:tcPr>
          <w:p>
            <w:pPr>
              <w:spacing w:after="0"/>
            </w:pPr>
            <w:r>
              <w:rPr>
                <w:rFonts w:ascii="Times New Roman" w:hAnsi="Times New Roman" w:eastAsia="Microsoft YaHei"/>
                <w:sz w:val="17"/>
              </w:rPr>
              <w:t>9/12</w:t>
            </w:r>
          </w:p>
        </w:tc>
      </w:tr>
      <w:tr>
        <w:tc>
          <w:tcPr>
            <w:tcW w:type="dxa" w:w="4608"/>
          </w:tcPr>
          <w:p>
            <w:pPr>
              <w:spacing w:after="0"/>
            </w:pPr>
            <w:r>
              <w:rPr>
                <w:rFonts w:ascii="Times New Roman" w:hAnsi="Times New Roman" w:eastAsia="Microsoft YaHei"/>
                <w:sz w:val="17"/>
              </w:rPr>
              <w:t>Policy score decreased vs incumbent</w:t>
            </w:r>
          </w:p>
        </w:tc>
        <w:tc>
          <w:tcPr>
            <w:tcW w:type="dxa" w:w="4032"/>
          </w:tcPr>
          <w:p>
            <w:pPr>
              <w:spacing w:after="0"/>
            </w:pPr>
            <w:r>
              <w:rPr>
                <w:rFonts w:ascii="Times New Roman" w:hAnsi="Times New Roman" w:eastAsia="Microsoft YaHei"/>
                <w:sz w:val="17"/>
              </w:rPr>
              <w:t>3/12</w:t>
            </w:r>
          </w:p>
        </w:tc>
      </w:tr>
      <w:tr>
        <w:tc>
          <w:tcPr>
            <w:tcW w:type="dxa" w:w="4608"/>
          </w:tcPr>
          <w:p>
            <w:pPr>
              <w:spacing w:after="0"/>
            </w:pPr>
            <w:r>
              <w:rPr>
                <w:rFonts w:ascii="Times New Roman" w:hAnsi="Times New Roman" w:eastAsia="Microsoft YaHei"/>
                <w:sz w:val="17"/>
              </w:rPr>
              <w:t>Mean paired policy delta</w:t>
            </w:r>
          </w:p>
        </w:tc>
        <w:tc>
          <w:tcPr>
            <w:tcW w:type="dxa" w:w="4032"/>
          </w:tcPr>
          <w:p>
            <w:pPr>
              <w:spacing w:after="0"/>
            </w:pPr>
            <w:r>
              <w:rPr>
                <w:rFonts w:ascii="Times New Roman" w:hAnsi="Times New Roman" w:eastAsia="Microsoft YaHei"/>
                <w:sz w:val="17"/>
              </w:rPr>
              <w:t>-0.001</w:t>
            </w:r>
          </w:p>
        </w:tc>
      </w:tr>
      <w:tr>
        <w:tc>
          <w:tcPr>
            <w:tcW w:type="dxa" w:w="4608"/>
          </w:tcPr>
          <w:p>
            <w:pPr>
              <w:spacing w:after="0"/>
            </w:pPr>
            <w:r>
              <w:rPr>
                <w:rFonts w:ascii="Times New Roman" w:hAnsi="Times New Roman" w:eastAsia="Microsoft YaHei"/>
                <w:sz w:val="17"/>
              </w:rPr>
              <w:t>Neural decoder enabled</w:t>
            </w:r>
          </w:p>
        </w:tc>
        <w:tc>
          <w:tcPr>
            <w:tcW w:type="dxa" w:w="4032"/>
          </w:tcPr>
          <w:p>
            <w:pPr>
              <w:spacing w:after="0"/>
            </w:pPr>
            <w:r>
              <w:rPr>
                <w:rFonts w:ascii="Times New Roman" w:hAnsi="Times New Roman" w:eastAsia="Microsoft YaHei"/>
                <w:sz w:val="17"/>
              </w:rPr>
              <w:t>12/12</w:t>
            </w:r>
          </w:p>
        </w:tc>
      </w:tr>
      <w:tr>
        <w:tc>
          <w:tcPr>
            <w:tcW w:type="dxa" w:w="4608"/>
          </w:tcPr>
          <w:p>
            <w:pPr>
              <w:spacing w:after="0"/>
            </w:pPr>
            <w:r>
              <w:rPr>
                <w:rFonts w:ascii="Times New Roman" w:hAnsi="Times New Roman" w:eastAsia="Microsoft YaHei"/>
                <w:sz w:val="17"/>
              </w:rPr>
              <w:t>Targets with retained neural-decoder candidates</w:t>
            </w:r>
          </w:p>
        </w:tc>
        <w:tc>
          <w:tcPr>
            <w:tcW w:type="dxa" w:w="4032"/>
          </w:tcPr>
          <w:p>
            <w:pPr>
              <w:spacing w:after="0"/>
            </w:pPr>
            <w:r>
              <w:rPr>
                <w:rFonts w:ascii="Times New Roman" w:hAnsi="Times New Roman" w:eastAsia="Microsoft YaHei"/>
                <w:sz w:val="17"/>
              </w:rPr>
              <w:t>5/12</w:t>
            </w:r>
          </w:p>
        </w:tc>
      </w:tr>
      <w:tr>
        <w:tc>
          <w:tcPr>
            <w:tcW w:type="dxa" w:w="4608"/>
          </w:tcPr>
          <w:p>
            <w:pPr>
              <w:spacing w:after="0"/>
            </w:pPr>
            <w:r>
              <w:rPr>
                <w:rFonts w:ascii="Times New Roman" w:hAnsi="Times New Roman" w:eastAsia="Microsoft YaHei"/>
                <w:sz w:val="17"/>
              </w:rPr>
              <w:t>Total neural-decoder preview / retained / rejected</w:t>
            </w:r>
          </w:p>
        </w:tc>
        <w:tc>
          <w:tcPr>
            <w:tcW w:type="dxa" w:w="4032"/>
          </w:tcPr>
          <w:p>
            <w:pPr>
              <w:spacing w:after="0"/>
            </w:pPr>
            <w:r>
              <w:rPr>
                <w:rFonts w:ascii="Times New Roman" w:hAnsi="Times New Roman" w:eastAsia="Microsoft YaHei"/>
                <w:sz w:val="17"/>
              </w:rPr>
              <w:t>373 / 34 / 215</w:t>
            </w:r>
          </w:p>
        </w:tc>
      </w:tr>
    </w:tbl>
    <w:p>
      <w:pPr>
        <w:spacing w:before="160" w:after="80"/>
      </w:pPr>
      <w:r>
        <w:rPr>
          <w:rFonts w:ascii="Times New Roman" w:hAnsi="Times New Roman" w:eastAsia="Microsoft YaHei"/>
          <w:b/>
          <w:sz w:val="26"/>
        </w:rPr>
        <w:t>Results</w:t>
      </w:r>
    </w:p>
    <w:p>
      <w:pPr>
        <w:spacing w:before="80" w:after="80"/>
      </w:pPr>
      <w:r>
        <w:rPr>
          <w:rFonts w:ascii="Times New Roman" w:hAnsi="Times New Roman" w:eastAsia="Microsoft YaHei"/>
          <w:b/>
          <w:sz w:val="23"/>
        </w:rPr>
        <w:t>A unified evidence-to-sequence controller supports decode-time neural proposal generation</w:t>
      </w:r>
    </w:p>
    <w:p>
      <w:pPr>
        <w:spacing w:after="80" w:line="276" w:lineRule="auto"/>
      </w:pPr>
      <w:r>
        <w:rPr>
          <w:rFonts w:ascii="Times New Roman" w:hAnsi="Times New Roman" w:eastAsia="Microsoft YaHei"/>
          <w:b w:val="0"/>
          <w:i w:val="0"/>
          <w:sz w:val="22"/>
        </w:rPr>
        <w:t>The current MARS-FIELD implementation is no longer limited to reranking candidates proposed by external generators. Instead, the benchmark-time main path now constructs a runtime neural batch for each target, trains a leave-one-target-out neural field model, converts the learned unary and pairwise outputs into decode-ready residue fields, and decodes neural_decoder candidates inside the same pipeline. This architecture couples a shared evidence field, a neural candidate controller, and a decode-time proposal mechanism in a single executable loop.</w:t>
      </w:r>
    </w:p>
    <w:p>
      <w:pPr>
        <w:spacing w:after="80" w:line="276" w:lineRule="auto"/>
      </w:pPr>
      <w:r>
        <w:rPr>
          <w:rFonts w:ascii="Times New Roman" w:hAnsi="Times New Roman" w:eastAsia="Microsoft YaHei"/>
          <w:b w:val="0"/>
          <w:i w:val="0"/>
          <w:sz w:val="22"/>
        </w:rPr>
        <w:t>Across the twelve-target benchmark, the neural decoder was enabled on all 12 targets. It produced 373 preview candidates in total, retained 34 novel decoded candidates after safety and engineering gating, and injected retained neural-decoder candidates on 5 targets. These counts indicate that the neural field is functioning as a genuine proposal source rather than only as a passive scoring layer.</w:t>
      </w:r>
    </w:p>
    <w:p>
      <w:pPr>
        <w:jc w:val="center"/>
      </w:pPr>
      <w:r>
        <w:drawing>
          <wp:inline xmlns:a="http://schemas.openxmlformats.org/drawingml/2006/main" xmlns:pic="http://schemas.openxmlformats.org/drawingml/2006/picture">
            <wp:extent cx="5669280" cy="3885438"/>
            <wp:docPr id="1" name="Picture 1"/>
            <wp:cNvGraphicFramePr>
              <a:graphicFrameLocks noChangeAspect="1"/>
            </wp:cNvGraphicFramePr>
            <a:graphic>
              <a:graphicData uri="http://schemas.openxmlformats.org/drawingml/2006/picture">
                <pic:pic>
                  <pic:nvPicPr>
                    <pic:cNvPr id="0" name="figure2_benchmark_overview_v3.png"/>
                    <pic:cNvPicPr/>
                  </pic:nvPicPr>
                  <pic:blipFill>
                    <a:blip r:embed="rId9"/>
                    <a:stretch>
                      <a:fillRect/>
                    </a:stretch>
                  </pic:blipFill>
                  <pic:spPr>
                    <a:xfrm>
                      <a:off x="0" y="0"/>
                      <a:ext cx="5669280" cy="3885438"/>
                    </a:xfrm>
                    <a:prstGeom prst="rect"/>
                  </pic:spPr>
                </pic:pic>
              </a:graphicData>
            </a:graphic>
          </wp:inline>
        </w:drawing>
      </w:r>
    </w:p>
    <w:p>
      <w:pPr>
        <w:spacing w:after="120"/>
        <w:jc w:val="center"/>
      </w:pPr>
      <w:r>
        <w:rPr>
          <w:rFonts w:ascii="Times New Roman" w:hAnsi="Times New Roman" w:eastAsia="Microsoft YaHei"/>
          <w:i/>
          <w:sz w:val="18"/>
        </w:rPr>
        <w:t>Figure 1. Benchmark overview for the current twelve-target MARS-FIELD final controller.</w:t>
      </w:r>
    </w:p>
    <w:p>
      <w:pPr>
        <w:spacing w:before="80" w:after="80"/>
      </w:pPr>
      <w:r>
        <w:rPr>
          <w:rFonts w:ascii="Times New Roman" w:hAnsi="Times New Roman" w:eastAsia="Microsoft YaHei"/>
          <w:b/>
          <w:sz w:val="23"/>
        </w:rPr>
        <w:t>The final controller remains competitive while activating a neural field decoder</w:t>
      </w:r>
    </w:p>
    <w:p>
      <w:pPr>
        <w:spacing w:after="80" w:line="276" w:lineRule="auto"/>
      </w:pPr>
      <w:r>
        <w:rPr>
          <w:rFonts w:ascii="Times New Roman" w:hAnsi="Times New Roman" w:eastAsia="Microsoft YaHei"/>
          <w:b w:val="0"/>
          <w:i w:val="0"/>
          <w:sz w:val="22"/>
        </w:rPr>
        <w:t>Relative to the incumbent benchmark, the final controller improved paired policy score on 9 of 12 targets and decreased it on 3 targets, with a near-neutral mean paired delta of -0.001. This pattern is important: it indicates that the end-to-end neuralized controller can be inserted into the main path without causing broad collapse, while still producing measurable gains on a majority of targets.</w:t>
      </w:r>
    </w:p>
    <w:p>
      <w:pPr>
        <w:spacing w:after="80" w:line="276" w:lineRule="auto"/>
      </w:pPr>
      <w:r>
        <w:rPr>
          <w:rFonts w:ascii="Times New Roman" w:hAnsi="Times New Roman" w:eastAsia="Microsoft YaHei"/>
          <w:b w:val="0"/>
          <w:i w:val="0"/>
          <w:sz w:val="22"/>
        </w:rPr>
        <w:t>Strong positive cases included 1LBT, adenylate kinase, PETase 5XFY, SFGFP, and SOD. In 1LBT, the incumbent winner M298L was preserved but its policy score increased, indicating that the new controller strengthened a known safe solution rather than destabilizing it. In adenylate kinase, the controller shifted the policy winner to Y24F;H28Q;M103I;H109V with a positive paired delta. PETase, SFGFP, and SOD similarly retained chemically plausible top solutions while remaining compatible with the neuralized controller-decoder stack.</w:t>
      </w:r>
    </w:p>
    <w:p>
      <w:pPr>
        <w:spacing w:after="80" w:line="276" w:lineRule="auto"/>
      </w:pPr>
      <w:r>
        <w:rPr>
          <w:rFonts w:ascii="Times New Roman" w:hAnsi="Times New Roman" w:eastAsia="Microsoft YaHei"/>
          <w:b w:val="0"/>
          <w:i w:val="0"/>
          <w:sz w:val="22"/>
        </w:rPr>
        <w:t>The remaining regressions were concentrated rather than diffuse. CLD_3Q09_NOTOPIC, CLD_3Q09_TOPIC, and subtilisin_2st1 showed lower final policy scores or a policy shift to a less favorable alternative. These targets should be framed explicitly as calibration-limited cases rather than hidden failure modes.</w:t>
      </w:r>
    </w:p>
    <w:p>
      <w:pPr>
        <w:jc w:val="center"/>
      </w:pPr>
      <w:r>
        <w:drawing>
          <wp:inline xmlns:a="http://schemas.openxmlformats.org/drawingml/2006/main" xmlns:pic="http://schemas.openxmlformats.org/drawingml/2006/picture">
            <wp:extent cx="5303520" cy="3000124"/>
            <wp:docPr id="2" name="Picture 2"/>
            <wp:cNvGraphicFramePr>
              <a:graphicFrameLocks noChangeAspect="1"/>
            </wp:cNvGraphicFramePr>
            <a:graphic>
              <a:graphicData uri="http://schemas.openxmlformats.org/drawingml/2006/picture">
                <pic:pic>
                  <pic:nvPicPr>
                    <pic:cNvPr id="0" name="figure_neural_comparison_v1.png"/>
                    <pic:cNvPicPr/>
                  </pic:nvPicPr>
                  <pic:blipFill>
                    <a:blip r:embed="rId10"/>
                    <a:stretch>
                      <a:fillRect/>
                    </a:stretch>
                  </pic:blipFill>
                  <pic:spPr>
                    <a:xfrm>
                      <a:off x="0" y="0"/>
                      <a:ext cx="5303520" cy="3000124"/>
                    </a:xfrm>
                    <a:prstGeom prst="rect"/>
                  </pic:spPr>
                </pic:pic>
              </a:graphicData>
            </a:graphic>
          </wp:inline>
        </w:drawing>
      </w:r>
    </w:p>
    <w:p>
      <w:pPr>
        <w:spacing w:after="120"/>
        <w:jc w:val="center"/>
      </w:pPr>
      <w:r>
        <w:rPr>
          <w:rFonts w:ascii="Times New Roman" w:hAnsi="Times New Roman" w:eastAsia="Microsoft YaHei"/>
          <w:i/>
          <w:sz w:val="18"/>
        </w:rPr>
        <w:t>Figure 2. Neural branch comparison across the benchmark panel.</w:t>
      </w:r>
    </w:p>
    <w:p>
      <w:pPr>
        <w:jc w:val="center"/>
      </w:pPr>
      <w:r>
        <w:drawing>
          <wp:inline xmlns:a="http://schemas.openxmlformats.org/drawingml/2006/main" xmlns:pic="http://schemas.openxmlformats.org/drawingml/2006/picture">
            <wp:extent cx="5120640" cy="2756347"/>
            <wp:docPr id="3" name="Picture 3"/>
            <wp:cNvGraphicFramePr>
              <a:graphicFrameLocks noChangeAspect="1"/>
            </wp:cNvGraphicFramePr>
            <a:graphic>
              <a:graphicData uri="http://schemas.openxmlformats.org/drawingml/2006/picture">
                <pic:pic>
                  <pic:nvPicPr>
                    <pic:cNvPr id="0" name="figure_policy_compare_v1.png"/>
                    <pic:cNvPicPr/>
                  </pic:nvPicPr>
                  <pic:blipFill>
                    <a:blip r:embed="rId11"/>
                    <a:stretch>
                      <a:fillRect/>
                    </a:stretch>
                  </pic:blipFill>
                  <pic:spPr>
                    <a:xfrm>
                      <a:off x="0" y="0"/>
                      <a:ext cx="5120640" cy="2756347"/>
                    </a:xfrm>
                    <a:prstGeom prst="rect"/>
                  </pic:spPr>
                </pic:pic>
              </a:graphicData>
            </a:graphic>
          </wp:inline>
        </w:drawing>
      </w:r>
    </w:p>
    <w:p>
      <w:pPr>
        <w:spacing w:after="120"/>
        <w:jc w:val="center"/>
      </w:pPr>
      <w:r>
        <w:rPr>
          <w:rFonts w:ascii="Times New Roman" w:hAnsi="Times New Roman" w:eastAsia="Microsoft YaHei"/>
          <w:i/>
          <w:sz w:val="18"/>
        </w:rPr>
        <w:t>Figure 3. Policy comparison highlighting current versus final controller behavior.</w:t>
      </w:r>
    </w:p>
    <w:p>
      <w:pPr>
        <w:spacing w:before="80" w:after="80"/>
      </w:pPr>
      <w:r>
        <w:rPr>
          <w:rFonts w:ascii="Times New Roman" w:hAnsi="Times New Roman" w:eastAsia="Microsoft YaHei"/>
          <w:b/>
          <w:sz w:val="23"/>
        </w:rPr>
        <w:t>Case studies</w:t>
      </w:r>
    </w:p>
    <w:p>
      <w:pPr>
        <w:spacing w:after="80" w:line="276" w:lineRule="auto"/>
      </w:pPr>
      <w:r>
        <w:rPr>
          <w:rFonts w:ascii="Times New Roman" w:hAnsi="Times New Roman" w:eastAsia="Microsoft YaHei"/>
          <w:b w:val="0"/>
          <w:i w:val="0"/>
          <w:sz w:val="22"/>
        </w:rPr>
        <w:t>1LBT functions as a conservative safety case. The final controller preserved the incumbent M298L winner while still building a full neural field and neural decoder for the target. This is desirable because earlier versions of the system showed that 1LBT is vulnerable to over-eager decoder behavior. The present controller therefore demonstrates that neural generation can be active without forcing adoption of weak decoded alternatives.</w:t>
      </w:r>
    </w:p>
    <w:p>
      <w:pPr>
        <w:spacing w:after="80" w:line="276" w:lineRule="auto"/>
      </w:pPr>
      <w:r>
        <w:rPr>
          <w:rFonts w:ascii="Times New Roman" w:hAnsi="Times New Roman" w:eastAsia="Microsoft YaHei"/>
          <w:b w:val="0"/>
          <w:i w:val="0"/>
          <w:sz w:val="22"/>
        </w:rPr>
        <w:t>TEM1 provides a complementary case in which the incumbent top solution remained stable, but the best learned candidate in the final run became a neural-decoder-derived variant, H153Q;M155L;W229Q;M272I. This supports the argument that the neural field decoder can contribute meaningful alternatives without requiring the controller to replace the incumbent on every target.</w:t>
      </w:r>
    </w:p>
    <w:p>
      <w:pPr>
        <w:spacing w:after="80" w:line="276" w:lineRule="auto"/>
      </w:pPr>
      <w:r>
        <w:rPr>
          <w:rFonts w:ascii="Times New Roman" w:hAnsi="Times New Roman" w:eastAsia="Microsoft YaHei"/>
          <w:b w:val="0"/>
          <w:i w:val="0"/>
          <w:sz w:val="22"/>
        </w:rPr>
        <w:t>PETase 5XFY and 5XH3 provide a reproducibility case across related structures. In both structures, the canonical aromatic redesign remained the top policy solution under the final controller. This shows that the neuralized field-decoder path does not need to change the top sequence to add value; instead, it can reproduce stable chemistry-aware solutions across multiple structural contexts.</w:t>
      </w:r>
    </w:p>
    <w:p>
      <w:pPr>
        <w:spacing w:after="80" w:line="276" w:lineRule="auto"/>
      </w:pPr>
      <w:r>
        <w:rPr>
          <w:rFonts w:ascii="Times New Roman" w:hAnsi="Times New Roman" w:eastAsia="Microsoft YaHei"/>
          <w:b w:val="0"/>
          <w:i w:val="0"/>
          <w:sz w:val="22"/>
        </w:rPr>
        <w:t>The CLD topic-conditioned target provides a calibration stress test. The final policy preserved the incumbent W155F;W156F;M167L;M212L;W227F, while the neural branch continued to surface nearby alternatives with stronger local engineering signals. This target is therefore useful for discussing the tradeoff between learned exploration and stable selection.</w:t>
      </w:r>
    </w:p>
    <w:p>
      <w:pPr>
        <w:jc w:val="center"/>
      </w:pPr>
      <w:r>
        <w:drawing>
          <wp:inline xmlns:a="http://schemas.openxmlformats.org/drawingml/2006/main" xmlns:pic="http://schemas.openxmlformats.org/drawingml/2006/picture">
            <wp:extent cx="5577840" cy="3679747"/>
            <wp:docPr id="4" name="Picture 4"/>
            <wp:cNvGraphicFramePr>
              <a:graphicFrameLocks noChangeAspect="1"/>
            </wp:cNvGraphicFramePr>
            <a:graphic>
              <a:graphicData uri="http://schemas.openxmlformats.org/drawingml/2006/picture">
                <pic:pic>
                  <pic:nvPicPr>
                    <pic:cNvPr id="0" name="figure4_case_1lbt_v2.png"/>
                    <pic:cNvPicPr/>
                  </pic:nvPicPr>
                  <pic:blipFill>
                    <a:blip r:embed="rId12"/>
                    <a:stretch>
                      <a:fillRect/>
                    </a:stretch>
                  </pic:blipFill>
                  <pic:spPr>
                    <a:xfrm>
                      <a:off x="0" y="0"/>
                      <a:ext cx="5577840" cy="3679747"/>
                    </a:xfrm>
                    <a:prstGeom prst="rect"/>
                  </pic:spPr>
                </pic:pic>
              </a:graphicData>
            </a:graphic>
          </wp:inline>
        </w:drawing>
      </w:r>
    </w:p>
    <w:p>
      <w:pPr>
        <w:spacing w:after="120"/>
        <w:jc w:val="center"/>
      </w:pPr>
      <w:r>
        <w:rPr>
          <w:rFonts w:ascii="Times New Roman" w:hAnsi="Times New Roman" w:eastAsia="Microsoft YaHei"/>
          <w:i/>
          <w:sz w:val="18"/>
        </w:rPr>
        <w:t>Figure 4. 1LBT case-study panel.</w:t>
      </w:r>
    </w:p>
    <w:p>
      <w:pPr>
        <w:jc w:val="center"/>
      </w:pPr>
      <w:r>
        <w:drawing>
          <wp:inline xmlns:a="http://schemas.openxmlformats.org/drawingml/2006/main" xmlns:pic="http://schemas.openxmlformats.org/drawingml/2006/picture">
            <wp:extent cx="5577840" cy="3679747"/>
            <wp:docPr id="5" name="Picture 5"/>
            <wp:cNvGraphicFramePr>
              <a:graphicFrameLocks noChangeAspect="1"/>
            </wp:cNvGraphicFramePr>
            <a:graphic>
              <a:graphicData uri="http://schemas.openxmlformats.org/drawingml/2006/picture">
                <pic:pic>
                  <pic:nvPicPr>
                    <pic:cNvPr id="0" name="figure5_case_tem1_v2.png"/>
                    <pic:cNvPicPr/>
                  </pic:nvPicPr>
                  <pic:blipFill>
                    <a:blip r:embed="rId13"/>
                    <a:stretch>
                      <a:fillRect/>
                    </a:stretch>
                  </pic:blipFill>
                  <pic:spPr>
                    <a:xfrm>
                      <a:off x="0" y="0"/>
                      <a:ext cx="5577840" cy="3679747"/>
                    </a:xfrm>
                    <a:prstGeom prst="rect"/>
                  </pic:spPr>
                </pic:pic>
              </a:graphicData>
            </a:graphic>
          </wp:inline>
        </w:drawing>
      </w:r>
    </w:p>
    <w:p>
      <w:pPr>
        <w:spacing w:after="120"/>
        <w:jc w:val="center"/>
      </w:pPr>
      <w:r>
        <w:rPr>
          <w:rFonts w:ascii="Times New Roman" w:hAnsi="Times New Roman" w:eastAsia="Microsoft YaHei"/>
          <w:i/>
          <w:sz w:val="18"/>
        </w:rPr>
        <w:t>Figure 5. TEM1 case-study panel.</w:t>
      </w:r>
    </w:p>
    <w:p>
      <w:pPr>
        <w:jc w:val="center"/>
      </w:pPr>
      <w:r>
        <w:drawing>
          <wp:inline xmlns:a="http://schemas.openxmlformats.org/drawingml/2006/main" xmlns:pic="http://schemas.openxmlformats.org/drawingml/2006/picture">
            <wp:extent cx="5577840" cy="3583592"/>
            <wp:docPr id="6" name="Picture 6"/>
            <wp:cNvGraphicFramePr>
              <a:graphicFrameLocks noChangeAspect="1"/>
            </wp:cNvGraphicFramePr>
            <a:graphic>
              <a:graphicData uri="http://schemas.openxmlformats.org/drawingml/2006/picture">
                <pic:pic>
                  <pic:nvPicPr>
                    <pic:cNvPr id="0" name="figure6_case_petase_v2.png"/>
                    <pic:cNvPicPr/>
                  </pic:nvPicPr>
                  <pic:blipFill>
                    <a:blip r:embed="rId14"/>
                    <a:stretch>
                      <a:fillRect/>
                    </a:stretch>
                  </pic:blipFill>
                  <pic:spPr>
                    <a:xfrm>
                      <a:off x="0" y="0"/>
                      <a:ext cx="5577840" cy="3583592"/>
                    </a:xfrm>
                    <a:prstGeom prst="rect"/>
                  </pic:spPr>
                </pic:pic>
              </a:graphicData>
            </a:graphic>
          </wp:inline>
        </w:drawing>
      </w:r>
    </w:p>
    <w:p>
      <w:pPr>
        <w:spacing w:after="120"/>
        <w:jc w:val="center"/>
      </w:pPr>
      <w:r>
        <w:rPr>
          <w:rFonts w:ascii="Times New Roman" w:hAnsi="Times New Roman" w:eastAsia="Microsoft YaHei"/>
          <w:i/>
          <w:sz w:val="18"/>
        </w:rPr>
        <w:t>Figure 6. PETase case-study panel.</w:t>
      </w:r>
    </w:p>
    <w:p>
      <w:pPr>
        <w:jc w:val="center"/>
      </w:pPr>
      <w:r>
        <w:drawing>
          <wp:inline xmlns:a="http://schemas.openxmlformats.org/drawingml/2006/main" xmlns:pic="http://schemas.openxmlformats.org/drawingml/2006/picture">
            <wp:extent cx="5577840" cy="3443914"/>
            <wp:docPr id="7" name="Picture 7"/>
            <wp:cNvGraphicFramePr>
              <a:graphicFrameLocks noChangeAspect="1"/>
            </wp:cNvGraphicFramePr>
            <a:graphic>
              <a:graphicData uri="http://schemas.openxmlformats.org/drawingml/2006/picture">
                <pic:pic>
                  <pic:nvPicPr>
                    <pic:cNvPr id="0" name="figure7_case_cld_v2.png"/>
                    <pic:cNvPicPr/>
                  </pic:nvPicPr>
                  <pic:blipFill>
                    <a:blip r:embed="rId15"/>
                    <a:stretch>
                      <a:fillRect/>
                    </a:stretch>
                  </pic:blipFill>
                  <pic:spPr>
                    <a:xfrm>
                      <a:off x="0" y="0"/>
                      <a:ext cx="5577840" cy="3443914"/>
                    </a:xfrm>
                    <a:prstGeom prst="rect"/>
                  </pic:spPr>
                </pic:pic>
              </a:graphicData>
            </a:graphic>
          </wp:inline>
        </w:drawing>
      </w:r>
    </w:p>
    <w:p>
      <w:pPr>
        <w:spacing w:after="120"/>
        <w:jc w:val="center"/>
      </w:pPr>
      <w:r>
        <w:rPr>
          <w:rFonts w:ascii="Times New Roman" w:hAnsi="Times New Roman" w:eastAsia="Microsoft YaHei"/>
          <w:i/>
          <w:sz w:val="18"/>
        </w:rPr>
        <w:t>Figure 7. CLD case-study panel.</w:t>
      </w:r>
    </w:p>
    <w:p>
      <w:pPr>
        <w:spacing w:before="80" w:after="80"/>
      </w:pPr>
      <w:r>
        <w:rPr>
          <w:rFonts w:ascii="Times New Roman" w:hAnsi="Times New Roman" w:eastAsia="Microsoft YaHei"/>
          <w:b/>
          <w:sz w:val="23"/>
        </w:rPr>
        <w:t>Main benchmark table</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40"/>
          </w:tcPr>
          <w:p>
            <w:r>
              <w:rPr>
                <w:rFonts w:ascii="Times New Roman" w:hAnsi="Times New Roman" w:eastAsia="Microsoft YaHei"/>
                <w:b/>
                <w:sz w:val="18"/>
              </w:rPr>
              <w:t>Target</w:t>
            </w:r>
          </w:p>
        </w:tc>
        <w:tc>
          <w:tcPr>
            <w:tcW w:type="dxa" w:w="1440"/>
          </w:tcPr>
          <w:p>
            <w:r>
              <w:rPr>
                <w:rFonts w:ascii="Times New Roman" w:hAnsi="Times New Roman" w:eastAsia="Microsoft YaHei"/>
                <w:b/>
                <w:sz w:val="18"/>
              </w:rPr>
              <w:t>Family</w:t>
            </w:r>
          </w:p>
        </w:tc>
        <w:tc>
          <w:tcPr>
            <w:tcW w:type="dxa" w:w="3456"/>
          </w:tcPr>
          <w:p>
            <w:r>
              <w:rPr>
                <w:rFonts w:ascii="Times New Roman" w:hAnsi="Times New Roman" w:eastAsia="Microsoft YaHei"/>
                <w:b/>
                <w:sz w:val="18"/>
              </w:rPr>
              <w:t>Final Policy Mutation</w:t>
            </w:r>
          </w:p>
        </w:tc>
        <w:tc>
          <w:tcPr>
            <w:tcW w:type="dxa" w:w="1152"/>
          </w:tcPr>
          <w:p>
            <w:r>
              <w:rPr>
                <w:rFonts w:ascii="Times New Roman" w:hAnsi="Times New Roman" w:eastAsia="Microsoft YaHei"/>
                <w:b/>
                <w:sz w:val="18"/>
              </w:rPr>
              <w:t>Policy Score</w:t>
            </w:r>
          </w:p>
        </w:tc>
        <w:tc>
          <w:tcPr>
            <w:tcW w:type="dxa" w:w="1296"/>
          </w:tcPr>
          <w:p>
            <w:r>
              <w:rPr>
                <w:rFonts w:ascii="Times New Roman" w:hAnsi="Times New Roman" w:eastAsia="Microsoft YaHei"/>
                <w:b/>
                <w:sz w:val="18"/>
              </w:rPr>
              <w:t>Engineering Score</w:t>
            </w:r>
          </w:p>
        </w:tc>
        <w:tc>
          <w:tcPr>
            <w:tcW w:type="dxa" w:w="1152"/>
          </w:tcPr>
          <w:p>
            <w:r>
              <w:rPr>
                <w:rFonts w:ascii="Times New Roman" w:hAnsi="Times New Roman" w:eastAsia="Microsoft YaHei"/>
                <w:b/>
                <w:sz w:val="18"/>
              </w:rPr>
              <w:t>Paired Delta</w:t>
            </w:r>
          </w:p>
        </w:tc>
        <w:tc>
          <w:tcPr>
            <w:tcW w:type="dxa" w:w="1152"/>
          </w:tcPr>
          <w:p>
            <w:r>
              <w:rPr>
                <w:rFonts w:ascii="Times New Roman" w:hAnsi="Times New Roman" w:eastAsia="Microsoft YaHei"/>
                <w:b/>
                <w:sz w:val="18"/>
              </w:rPr>
              <w:t>Neural Decoder Novel</w:t>
            </w:r>
          </w:p>
        </w:tc>
      </w:tr>
      <w:tr>
        <w:tc>
          <w:tcPr>
            <w:tcW w:type="dxa" w:w="1440"/>
          </w:tcPr>
          <w:p>
            <w:pPr>
              <w:spacing w:after="0"/>
            </w:pPr>
            <w:r>
              <w:rPr>
                <w:rFonts w:ascii="Times New Roman" w:hAnsi="Times New Roman" w:eastAsia="Microsoft YaHei"/>
                <w:sz w:val="17"/>
              </w:rPr>
              <w:t>1LBT</w:t>
            </w:r>
          </w:p>
        </w:tc>
        <w:tc>
          <w:tcPr>
            <w:tcW w:type="dxa" w:w="1440"/>
          </w:tcPr>
          <w:p>
            <w:pPr>
              <w:spacing w:after="0"/>
            </w:pPr>
            <w:r>
              <w:rPr>
                <w:rFonts w:ascii="Times New Roman" w:hAnsi="Times New Roman" w:eastAsia="Microsoft YaHei"/>
                <w:sz w:val="17"/>
              </w:rPr>
              <w:t>lipase_b</w:t>
            </w:r>
          </w:p>
        </w:tc>
        <w:tc>
          <w:tcPr>
            <w:tcW w:type="dxa" w:w="3456"/>
          </w:tcPr>
          <w:p>
            <w:pPr>
              <w:spacing w:after="0"/>
            </w:pPr>
            <w:r>
              <w:rPr>
                <w:rFonts w:ascii="Times New Roman" w:hAnsi="Times New Roman" w:eastAsia="Microsoft YaHei"/>
                <w:sz w:val="17"/>
              </w:rPr>
              <w:t>M298L</w:t>
            </w:r>
          </w:p>
        </w:tc>
        <w:tc>
          <w:tcPr>
            <w:tcW w:type="dxa" w:w="1152"/>
          </w:tcPr>
          <w:p>
            <w:pPr>
              <w:spacing w:after="0"/>
            </w:pPr>
            <w:r>
              <w:rPr>
                <w:rFonts w:ascii="Times New Roman" w:hAnsi="Times New Roman" w:eastAsia="Microsoft YaHei"/>
                <w:sz w:val="17"/>
              </w:rPr>
              <w:t>4.999</w:t>
            </w:r>
          </w:p>
        </w:tc>
        <w:tc>
          <w:tcPr>
            <w:tcW w:type="dxa" w:w="1296"/>
          </w:tcPr>
          <w:p>
            <w:pPr>
              <w:spacing w:after="0"/>
            </w:pPr>
            <w:r>
              <w:rPr>
                <w:rFonts w:ascii="Times New Roman" w:hAnsi="Times New Roman" w:eastAsia="Microsoft YaHei"/>
                <w:sz w:val="17"/>
              </w:rPr>
              <w:t>3.867</w:t>
            </w:r>
          </w:p>
        </w:tc>
        <w:tc>
          <w:tcPr>
            <w:tcW w:type="dxa" w:w="1152"/>
          </w:tcPr>
          <w:p>
            <w:pPr>
              <w:spacing w:after="0"/>
            </w:pPr>
            <w:r>
              <w:rPr>
                <w:rFonts w:ascii="Times New Roman" w:hAnsi="Times New Roman" w:eastAsia="Microsoft YaHei"/>
                <w:sz w:val="17"/>
              </w:rPr>
              <w:t>+0.284</w:t>
            </w:r>
          </w:p>
        </w:tc>
        <w:tc>
          <w:tcPr>
            <w:tcW w:type="dxa" w:w="1152"/>
          </w:tcPr>
          <w:p>
            <w:pPr>
              <w:spacing w:after="0"/>
            </w:pPr>
            <w:r>
              <w:rPr>
                <w:rFonts w:ascii="Times New Roman" w:hAnsi="Times New Roman" w:eastAsia="Microsoft YaHei"/>
                <w:sz w:val="17"/>
              </w:rPr>
              <w:t>0</w:t>
            </w:r>
          </w:p>
        </w:tc>
      </w:tr>
      <w:tr>
        <w:tc>
          <w:tcPr>
            <w:tcW w:type="dxa" w:w="1440"/>
          </w:tcPr>
          <w:p>
            <w:pPr>
              <w:spacing w:after="0"/>
            </w:pPr>
            <w:r>
              <w:rPr>
                <w:rFonts w:ascii="Times New Roman" w:hAnsi="Times New Roman" w:eastAsia="Microsoft YaHei"/>
                <w:sz w:val="17"/>
              </w:rPr>
              <w:t>tem1_1btl</w:t>
            </w:r>
          </w:p>
        </w:tc>
        <w:tc>
          <w:tcPr>
            <w:tcW w:type="dxa" w:w="1440"/>
          </w:tcPr>
          <w:p>
            <w:pPr>
              <w:spacing w:after="0"/>
            </w:pPr>
            <w:r>
              <w:rPr>
                <w:rFonts w:ascii="Times New Roman" w:hAnsi="Times New Roman" w:eastAsia="Microsoft YaHei"/>
                <w:sz w:val="17"/>
              </w:rPr>
              <w:t>beta_lactamase</w:t>
            </w:r>
          </w:p>
        </w:tc>
        <w:tc>
          <w:tcPr>
            <w:tcW w:type="dxa" w:w="3456"/>
          </w:tcPr>
          <w:p>
            <w:pPr>
              <w:spacing w:after="0"/>
            </w:pPr>
            <w:r>
              <w:rPr>
                <w:rFonts w:ascii="Times New Roman" w:hAnsi="Times New Roman" w:eastAsia="Microsoft YaHei"/>
                <w:sz w:val="17"/>
              </w:rPr>
              <w:t>H153N;M155L;W229F;M272L</w:t>
            </w:r>
          </w:p>
        </w:tc>
        <w:tc>
          <w:tcPr>
            <w:tcW w:type="dxa" w:w="1152"/>
          </w:tcPr>
          <w:p>
            <w:pPr>
              <w:spacing w:after="0"/>
            </w:pPr>
            <w:r>
              <w:rPr>
                <w:rFonts w:ascii="Times New Roman" w:hAnsi="Times New Roman" w:eastAsia="Microsoft YaHei"/>
                <w:sz w:val="17"/>
              </w:rPr>
              <w:t>5.224</w:t>
            </w:r>
          </w:p>
        </w:tc>
        <w:tc>
          <w:tcPr>
            <w:tcW w:type="dxa" w:w="1296"/>
          </w:tcPr>
          <w:p>
            <w:pPr>
              <w:spacing w:after="0"/>
            </w:pPr>
            <w:r>
              <w:rPr>
                <w:rFonts w:ascii="Times New Roman" w:hAnsi="Times New Roman" w:eastAsia="Microsoft YaHei"/>
                <w:sz w:val="17"/>
              </w:rPr>
              <w:t>10.457</w:t>
            </w:r>
          </w:p>
        </w:tc>
        <w:tc>
          <w:tcPr>
            <w:tcW w:type="dxa" w:w="1152"/>
          </w:tcPr>
          <w:p>
            <w:pPr>
              <w:spacing w:after="0"/>
            </w:pPr>
            <w:r>
              <w:rPr>
                <w:rFonts w:ascii="Times New Roman" w:hAnsi="Times New Roman" w:eastAsia="Microsoft YaHei"/>
                <w:sz w:val="17"/>
              </w:rPr>
              <w:t>+0.024</w:t>
            </w:r>
          </w:p>
        </w:tc>
        <w:tc>
          <w:tcPr>
            <w:tcW w:type="dxa" w:w="1152"/>
          </w:tcPr>
          <w:p>
            <w:pPr>
              <w:spacing w:after="0"/>
            </w:pPr>
            <w:r>
              <w:rPr>
                <w:rFonts w:ascii="Times New Roman" w:hAnsi="Times New Roman" w:eastAsia="Microsoft YaHei"/>
                <w:sz w:val="17"/>
              </w:rPr>
              <w:t>5</w:t>
            </w:r>
          </w:p>
        </w:tc>
      </w:tr>
      <w:tr>
        <w:tc>
          <w:tcPr>
            <w:tcW w:type="dxa" w:w="1440"/>
          </w:tcPr>
          <w:p>
            <w:pPr>
              <w:spacing w:after="0"/>
            </w:pPr>
            <w:r>
              <w:rPr>
                <w:rFonts w:ascii="Times New Roman" w:hAnsi="Times New Roman" w:eastAsia="Microsoft YaHei"/>
                <w:sz w:val="17"/>
              </w:rPr>
              <w:t>petase_5xfy</w:t>
            </w:r>
          </w:p>
        </w:tc>
        <w:tc>
          <w:tcPr>
            <w:tcW w:type="dxa" w:w="1440"/>
          </w:tcPr>
          <w:p>
            <w:pPr>
              <w:spacing w:after="0"/>
            </w:pPr>
            <w:r>
              <w:rPr>
                <w:rFonts w:ascii="Times New Roman" w:hAnsi="Times New Roman" w:eastAsia="Microsoft YaHei"/>
                <w:sz w:val="17"/>
              </w:rPr>
              <w:t>cutinase</w:t>
            </w:r>
          </w:p>
        </w:tc>
        <w:tc>
          <w:tcPr>
            <w:tcW w:type="dxa" w:w="3456"/>
          </w:tcPr>
          <w:p>
            <w:pPr>
              <w:spacing w:after="0"/>
            </w:pPr>
            <w:r>
              <w:rPr>
                <w:rFonts w:ascii="Times New Roman" w:hAnsi="Times New Roman" w:eastAsia="Microsoft YaHei"/>
                <w:sz w:val="17"/>
              </w:rPr>
              <w:t>Y3F;Y40F;Y41F;Y117F</w:t>
            </w:r>
          </w:p>
        </w:tc>
        <w:tc>
          <w:tcPr>
            <w:tcW w:type="dxa" w:w="1152"/>
          </w:tcPr>
          <w:p>
            <w:pPr>
              <w:spacing w:after="0"/>
            </w:pPr>
            <w:r>
              <w:rPr>
                <w:rFonts w:ascii="Times New Roman" w:hAnsi="Times New Roman" w:eastAsia="Microsoft YaHei"/>
                <w:sz w:val="17"/>
              </w:rPr>
              <w:t>4.798</w:t>
            </w:r>
          </w:p>
        </w:tc>
        <w:tc>
          <w:tcPr>
            <w:tcW w:type="dxa" w:w="1296"/>
          </w:tcPr>
          <w:p>
            <w:pPr>
              <w:spacing w:after="0"/>
            </w:pPr>
            <w:r>
              <w:rPr>
                <w:rFonts w:ascii="Times New Roman" w:hAnsi="Times New Roman" w:eastAsia="Microsoft YaHei"/>
                <w:sz w:val="17"/>
              </w:rPr>
              <w:t>2.957</w:t>
            </w:r>
          </w:p>
        </w:tc>
        <w:tc>
          <w:tcPr>
            <w:tcW w:type="dxa" w:w="1152"/>
          </w:tcPr>
          <w:p>
            <w:pPr>
              <w:spacing w:after="0"/>
            </w:pPr>
            <w:r>
              <w:rPr>
                <w:rFonts w:ascii="Times New Roman" w:hAnsi="Times New Roman" w:eastAsia="Microsoft YaHei"/>
                <w:sz w:val="17"/>
              </w:rPr>
              <w:t>+0.126</w:t>
            </w:r>
          </w:p>
        </w:tc>
        <w:tc>
          <w:tcPr>
            <w:tcW w:type="dxa" w:w="1152"/>
          </w:tcPr>
          <w:p>
            <w:pPr>
              <w:spacing w:after="0"/>
            </w:pPr>
            <w:r>
              <w:rPr>
                <w:rFonts w:ascii="Times New Roman" w:hAnsi="Times New Roman" w:eastAsia="Microsoft YaHei"/>
                <w:sz w:val="17"/>
              </w:rPr>
              <w:t>0</w:t>
            </w:r>
          </w:p>
        </w:tc>
      </w:tr>
      <w:tr>
        <w:tc>
          <w:tcPr>
            <w:tcW w:type="dxa" w:w="1440"/>
          </w:tcPr>
          <w:p>
            <w:pPr>
              <w:spacing w:after="0"/>
            </w:pPr>
            <w:r>
              <w:rPr>
                <w:rFonts w:ascii="Times New Roman" w:hAnsi="Times New Roman" w:eastAsia="Microsoft YaHei"/>
                <w:sz w:val="17"/>
              </w:rPr>
              <w:t>petase_5xh3</w:t>
            </w:r>
          </w:p>
        </w:tc>
        <w:tc>
          <w:tcPr>
            <w:tcW w:type="dxa" w:w="1440"/>
          </w:tcPr>
          <w:p>
            <w:pPr>
              <w:spacing w:after="0"/>
            </w:pPr>
            <w:r>
              <w:rPr>
                <w:rFonts w:ascii="Times New Roman" w:hAnsi="Times New Roman" w:eastAsia="Microsoft YaHei"/>
                <w:sz w:val="17"/>
              </w:rPr>
              <w:t>cutinase</w:t>
            </w:r>
          </w:p>
        </w:tc>
        <w:tc>
          <w:tcPr>
            <w:tcW w:type="dxa" w:w="3456"/>
          </w:tcPr>
          <w:p>
            <w:pPr>
              <w:spacing w:after="0"/>
            </w:pPr>
            <w:r>
              <w:rPr>
                <w:rFonts w:ascii="Times New Roman" w:hAnsi="Times New Roman" w:eastAsia="Microsoft YaHei"/>
                <w:sz w:val="17"/>
              </w:rPr>
              <w:t>Y3F;Y40F;Y41F;Y117F</w:t>
            </w:r>
          </w:p>
        </w:tc>
        <w:tc>
          <w:tcPr>
            <w:tcW w:type="dxa" w:w="1152"/>
          </w:tcPr>
          <w:p>
            <w:pPr>
              <w:spacing w:after="0"/>
            </w:pPr>
            <w:r>
              <w:rPr>
                <w:rFonts w:ascii="Times New Roman" w:hAnsi="Times New Roman" w:eastAsia="Microsoft YaHei"/>
                <w:sz w:val="17"/>
              </w:rPr>
              <w:t>4.668</w:t>
            </w:r>
          </w:p>
        </w:tc>
        <w:tc>
          <w:tcPr>
            <w:tcW w:type="dxa" w:w="1296"/>
          </w:tcPr>
          <w:p>
            <w:pPr>
              <w:spacing w:after="0"/>
            </w:pPr>
            <w:r>
              <w:rPr>
                <w:rFonts w:ascii="Times New Roman" w:hAnsi="Times New Roman" w:eastAsia="Microsoft YaHei"/>
                <w:sz w:val="17"/>
              </w:rPr>
              <w:t>2.957</w:t>
            </w:r>
          </w:p>
        </w:tc>
        <w:tc>
          <w:tcPr>
            <w:tcW w:type="dxa" w:w="1152"/>
          </w:tcPr>
          <w:p>
            <w:pPr>
              <w:spacing w:after="0"/>
            </w:pPr>
            <w:r>
              <w:rPr>
                <w:rFonts w:ascii="Times New Roman" w:hAnsi="Times New Roman" w:eastAsia="Microsoft YaHei"/>
                <w:sz w:val="17"/>
              </w:rPr>
              <w:t>+0.001</w:t>
            </w:r>
          </w:p>
        </w:tc>
        <w:tc>
          <w:tcPr>
            <w:tcW w:type="dxa" w:w="1152"/>
          </w:tcPr>
          <w:p>
            <w:pPr>
              <w:spacing w:after="0"/>
            </w:pPr>
            <w:r>
              <w:rPr>
                <w:rFonts w:ascii="Times New Roman" w:hAnsi="Times New Roman" w:eastAsia="Microsoft YaHei"/>
                <w:sz w:val="17"/>
              </w:rPr>
              <w:t>4</w:t>
            </w:r>
          </w:p>
        </w:tc>
      </w:tr>
      <w:tr>
        <w:tc>
          <w:tcPr>
            <w:tcW w:type="dxa" w:w="1440"/>
          </w:tcPr>
          <w:p>
            <w:pPr>
              <w:spacing w:after="0"/>
            </w:pPr>
            <w:r>
              <w:rPr>
                <w:rFonts w:ascii="Times New Roman" w:hAnsi="Times New Roman" w:eastAsia="Microsoft YaHei"/>
                <w:sz w:val="17"/>
              </w:rPr>
              <w:t>sfgfp_2b3p</w:t>
            </w:r>
          </w:p>
        </w:tc>
        <w:tc>
          <w:tcPr>
            <w:tcW w:type="dxa" w:w="1440"/>
          </w:tcPr>
          <w:p>
            <w:pPr>
              <w:spacing w:after="0"/>
            </w:pPr>
            <w:r>
              <w:rPr>
                <w:rFonts w:ascii="Times New Roman" w:hAnsi="Times New Roman" w:eastAsia="Microsoft YaHei"/>
                <w:sz w:val="17"/>
              </w:rPr>
              <w:t>gfp_like</w:t>
            </w:r>
          </w:p>
        </w:tc>
        <w:tc>
          <w:tcPr>
            <w:tcW w:type="dxa" w:w="3456"/>
          </w:tcPr>
          <w:p>
            <w:pPr>
              <w:spacing w:after="0"/>
            </w:pPr>
            <w:r>
              <w:rPr>
                <w:rFonts w:ascii="Times New Roman" w:hAnsi="Times New Roman" w:eastAsia="Microsoft YaHei"/>
                <w:sz w:val="17"/>
              </w:rPr>
              <w:t>H25Q;H139Q;Y182F;H231Q</w:t>
            </w:r>
          </w:p>
        </w:tc>
        <w:tc>
          <w:tcPr>
            <w:tcW w:type="dxa" w:w="1152"/>
          </w:tcPr>
          <w:p>
            <w:pPr>
              <w:spacing w:after="0"/>
            </w:pPr>
            <w:r>
              <w:rPr>
                <w:rFonts w:ascii="Times New Roman" w:hAnsi="Times New Roman" w:eastAsia="Microsoft YaHei"/>
                <w:sz w:val="17"/>
              </w:rPr>
              <w:t>5.236</w:t>
            </w:r>
          </w:p>
        </w:tc>
        <w:tc>
          <w:tcPr>
            <w:tcW w:type="dxa" w:w="1296"/>
          </w:tcPr>
          <w:p>
            <w:pPr>
              <w:spacing w:after="0"/>
            </w:pPr>
            <w:r>
              <w:rPr>
                <w:rFonts w:ascii="Times New Roman" w:hAnsi="Times New Roman" w:eastAsia="Microsoft YaHei"/>
                <w:sz w:val="17"/>
              </w:rPr>
              <w:t>6.227</w:t>
            </w:r>
          </w:p>
        </w:tc>
        <w:tc>
          <w:tcPr>
            <w:tcW w:type="dxa" w:w="1152"/>
          </w:tcPr>
          <w:p>
            <w:pPr>
              <w:spacing w:after="0"/>
            </w:pPr>
            <w:r>
              <w:rPr>
                <w:rFonts w:ascii="Times New Roman" w:hAnsi="Times New Roman" w:eastAsia="Microsoft YaHei"/>
                <w:sz w:val="17"/>
              </w:rPr>
              <w:t>+0.126</w:t>
            </w:r>
          </w:p>
        </w:tc>
        <w:tc>
          <w:tcPr>
            <w:tcW w:type="dxa" w:w="1152"/>
          </w:tcPr>
          <w:p>
            <w:pPr>
              <w:spacing w:after="0"/>
            </w:pPr>
            <w:r>
              <w:rPr>
                <w:rFonts w:ascii="Times New Roman" w:hAnsi="Times New Roman" w:eastAsia="Microsoft YaHei"/>
                <w:sz w:val="17"/>
              </w:rPr>
              <w:t>0</w:t>
            </w:r>
          </w:p>
        </w:tc>
      </w:tr>
      <w:tr>
        <w:tc>
          <w:tcPr>
            <w:tcW w:type="dxa" w:w="1440"/>
          </w:tcPr>
          <w:p>
            <w:pPr>
              <w:spacing w:after="0"/>
            </w:pPr>
            <w:r>
              <w:rPr>
                <w:rFonts w:ascii="Times New Roman" w:hAnsi="Times New Roman" w:eastAsia="Microsoft YaHei"/>
                <w:sz w:val="17"/>
              </w:rPr>
              <w:t>t4l_171l</w:t>
            </w:r>
          </w:p>
        </w:tc>
        <w:tc>
          <w:tcPr>
            <w:tcW w:type="dxa" w:w="1440"/>
          </w:tcPr>
          <w:p>
            <w:pPr>
              <w:spacing w:after="0"/>
            </w:pPr>
            <w:r>
              <w:rPr>
                <w:rFonts w:ascii="Times New Roman" w:hAnsi="Times New Roman" w:eastAsia="Microsoft YaHei"/>
                <w:sz w:val="17"/>
              </w:rPr>
              <w:t>lysozyme</w:t>
            </w:r>
          </w:p>
        </w:tc>
        <w:tc>
          <w:tcPr>
            <w:tcW w:type="dxa" w:w="3456"/>
          </w:tcPr>
          <w:p>
            <w:pPr>
              <w:spacing w:after="0"/>
            </w:pPr>
            <w:r>
              <w:rPr>
                <w:rFonts w:ascii="Times New Roman" w:hAnsi="Times New Roman" w:eastAsia="Microsoft YaHei"/>
                <w:sz w:val="17"/>
              </w:rPr>
              <w:t>Y88S;W126F;Y139S;W158F</w:t>
            </w:r>
          </w:p>
        </w:tc>
        <w:tc>
          <w:tcPr>
            <w:tcW w:type="dxa" w:w="1152"/>
          </w:tcPr>
          <w:p>
            <w:pPr>
              <w:spacing w:after="0"/>
            </w:pPr>
            <w:r>
              <w:rPr>
                <w:rFonts w:ascii="Times New Roman" w:hAnsi="Times New Roman" w:eastAsia="Microsoft YaHei"/>
                <w:sz w:val="17"/>
              </w:rPr>
              <w:t>4.832</w:t>
            </w:r>
          </w:p>
        </w:tc>
        <w:tc>
          <w:tcPr>
            <w:tcW w:type="dxa" w:w="1296"/>
          </w:tcPr>
          <w:p>
            <w:pPr>
              <w:spacing w:after="0"/>
            </w:pPr>
            <w:r>
              <w:rPr>
                <w:rFonts w:ascii="Times New Roman" w:hAnsi="Times New Roman" w:eastAsia="Microsoft YaHei"/>
                <w:sz w:val="17"/>
              </w:rPr>
              <w:t>2.593</w:t>
            </w:r>
          </w:p>
        </w:tc>
        <w:tc>
          <w:tcPr>
            <w:tcW w:type="dxa" w:w="1152"/>
          </w:tcPr>
          <w:p>
            <w:pPr>
              <w:spacing w:after="0"/>
            </w:pPr>
            <w:r>
              <w:rPr>
                <w:rFonts w:ascii="Times New Roman" w:hAnsi="Times New Roman" w:eastAsia="Microsoft YaHei"/>
                <w:sz w:val="17"/>
              </w:rPr>
              <w:t>+0.025</w:t>
            </w:r>
          </w:p>
        </w:tc>
        <w:tc>
          <w:tcPr>
            <w:tcW w:type="dxa" w:w="1152"/>
          </w:tcPr>
          <w:p>
            <w:pPr>
              <w:spacing w:after="0"/>
            </w:pPr>
            <w:r>
              <w:rPr>
                <w:rFonts w:ascii="Times New Roman" w:hAnsi="Times New Roman" w:eastAsia="Microsoft YaHei"/>
                <w:sz w:val="17"/>
              </w:rPr>
              <w:t>13</w:t>
            </w:r>
          </w:p>
        </w:tc>
      </w:tr>
      <w:tr>
        <w:tc>
          <w:tcPr>
            <w:tcW w:type="dxa" w:w="1440"/>
          </w:tcPr>
          <w:p>
            <w:pPr>
              <w:spacing w:after="0"/>
            </w:pPr>
            <w:r>
              <w:rPr>
                <w:rFonts w:ascii="Times New Roman" w:hAnsi="Times New Roman" w:eastAsia="Microsoft YaHei"/>
                <w:sz w:val="17"/>
              </w:rPr>
              <w:t>subtilisin_2st1</w:t>
            </w:r>
          </w:p>
        </w:tc>
        <w:tc>
          <w:tcPr>
            <w:tcW w:type="dxa" w:w="1440"/>
          </w:tcPr>
          <w:p>
            <w:pPr>
              <w:spacing w:after="0"/>
            </w:pPr>
            <w:r>
              <w:rPr>
                <w:rFonts w:ascii="Times New Roman" w:hAnsi="Times New Roman" w:eastAsia="Microsoft YaHei"/>
                <w:sz w:val="17"/>
              </w:rPr>
              <w:t>subtilisin</w:t>
            </w:r>
          </w:p>
        </w:tc>
        <w:tc>
          <w:tcPr>
            <w:tcW w:type="dxa" w:w="3456"/>
          </w:tcPr>
          <w:p>
            <w:pPr>
              <w:spacing w:after="0"/>
            </w:pPr>
            <w:r>
              <w:rPr>
                <w:rFonts w:ascii="Times New Roman" w:hAnsi="Times New Roman" w:eastAsia="Microsoft YaHei"/>
                <w:sz w:val="17"/>
              </w:rPr>
              <w:t>Y21F;Y104F;W241F;Y262Q</w:t>
            </w:r>
          </w:p>
        </w:tc>
        <w:tc>
          <w:tcPr>
            <w:tcW w:type="dxa" w:w="1152"/>
          </w:tcPr>
          <w:p>
            <w:pPr>
              <w:spacing w:after="0"/>
            </w:pPr>
            <w:r>
              <w:rPr>
                <w:rFonts w:ascii="Times New Roman" w:hAnsi="Times New Roman" w:eastAsia="Microsoft YaHei"/>
                <w:sz w:val="17"/>
              </w:rPr>
              <w:t>4.496</w:t>
            </w:r>
          </w:p>
        </w:tc>
        <w:tc>
          <w:tcPr>
            <w:tcW w:type="dxa" w:w="1296"/>
          </w:tcPr>
          <w:p>
            <w:pPr>
              <w:spacing w:after="0"/>
            </w:pPr>
            <w:r>
              <w:rPr>
                <w:rFonts w:ascii="Times New Roman" w:hAnsi="Times New Roman" w:eastAsia="Microsoft YaHei"/>
                <w:sz w:val="17"/>
              </w:rPr>
              <w:t>1.457</w:t>
            </w:r>
          </w:p>
        </w:tc>
        <w:tc>
          <w:tcPr>
            <w:tcW w:type="dxa" w:w="1152"/>
          </w:tcPr>
          <w:p>
            <w:pPr>
              <w:spacing w:after="0"/>
            </w:pPr>
            <w:r>
              <w:rPr>
                <w:rFonts w:ascii="Times New Roman" w:hAnsi="Times New Roman" w:eastAsia="Microsoft YaHei"/>
                <w:sz w:val="17"/>
              </w:rPr>
              <w:t>-0.167</w:t>
            </w:r>
          </w:p>
        </w:tc>
        <w:tc>
          <w:tcPr>
            <w:tcW w:type="dxa" w:w="1152"/>
          </w:tcPr>
          <w:p>
            <w:pPr>
              <w:spacing w:after="0"/>
            </w:pPr>
            <w:r>
              <w:rPr>
                <w:rFonts w:ascii="Times New Roman" w:hAnsi="Times New Roman" w:eastAsia="Microsoft YaHei"/>
                <w:sz w:val="17"/>
              </w:rPr>
              <w:t>7</w:t>
            </w:r>
          </w:p>
        </w:tc>
      </w:tr>
      <w:tr>
        <w:tc>
          <w:tcPr>
            <w:tcW w:type="dxa" w:w="1440"/>
          </w:tcPr>
          <w:p>
            <w:pPr>
              <w:spacing w:after="0"/>
            </w:pPr>
            <w:r>
              <w:rPr>
                <w:rFonts w:ascii="Times New Roman" w:hAnsi="Times New Roman" w:eastAsia="Microsoft YaHei"/>
                <w:sz w:val="17"/>
              </w:rPr>
              <w:t>adk_1s3g</w:t>
            </w:r>
          </w:p>
        </w:tc>
        <w:tc>
          <w:tcPr>
            <w:tcW w:type="dxa" w:w="1440"/>
          </w:tcPr>
          <w:p>
            <w:pPr>
              <w:spacing w:after="0"/>
            </w:pPr>
            <w:r>
              <w:rPr>
                <w:rFonts w:ascii="Times New Roman" w:hAnsi="Times New Roman" w:eastAsia="Microsoft YaHei"/>
                <w:sz w:val="17"/>
              </w:rPr>
              <w:t>adenylate_kinase</w:t>
            </w:r>
          </w:p>
        </w:tc>
        <w:tc>
          <w:tcPr>
            <w:tcW w:type="dxa" w:w="3456"/>
          </w:tcPr>
          <w:p>
            <w:pPr>
              <w:spacing w:after="0"/>
            </w:pPr>
            <w:r>
              <w:rPr>
                <w:rFonts w:ascii="Times New Roman" w:hAnsi="Times New Roman" w:eastAsia="Microsoft YaHei"/>
                <w:sz w:val="17"/>
              </w:rPr>
              <w:t>Y24F;H28Q;M103I;H109V</w:t>
            </w:r>
          </w:p>
        </w:tc>
        <w:tc>
          <w:tcPr>
            <w:tcW w:type="dxa" w:w="1152"/>
          </w:tcPr>
          <w:p>
            <w:pPr>
              <w:spacing w:after="0"/>
            </w:pPr>
            <w:r>
              <w:rPr>
                <w:rFonts w:ascii="Times New Roman" w:hAnsi="Times New Roman" w:eastAsia="Microsoft YaHei"/>
                <w:sz w:val="17"/>
              </w:rPr>
              <w:t>5.352</w:t>
            </w:r>
          </w:p>
        </w:tc>
        <w:tc>
          <w:tcPr>
            <w:tcW w:type="dxa" w:w="1296"/>
          </w:tcPr>
          <w:p>
            <w:pPr>
              <w:spacing w:after="0"/>
            </w:pPr>
            <w:r>
              <w:rPr>
                <w:rFonts w:ascii="Times New Roman" w:hAnsi="Times New Roman" w:eastAsia="Microsoft YaHei"/>
                <w:sz w:val="17"/>
              </w:rPr>
              <w:t>14.073</w:t>
            </w:r>
          </w:p>
        </w:tc>
        <w:tc>
          <w:tcPr>
            <w:tcW w:type="dxa" w:w="1152"/>
          </w:tcPr>
          <w:p>
            <w:pPr>
              <w:spacing w:after="0"/>
            </w:pPr>
            <w:r>
              <w:rPr>
                <w:rFonts w:ascii="Times New Roman" w:hAnsi="Times New Roman" w:eastAsia="Microsoft YaHei"/>
                <w:sz w:val="17"/>
              </w:rPr>
              <w:t>+0.161</w:t>
            </w:r>
          </w:p>
        </w:tc>
        <w:tc>
          <w:tcPr>
            <w:tcW w:type="dxa" w:w="1152"/>
          </w:tcPr>
          <w:p>
            <w:pPr>
              <w:spacing w:after="0"/>
            </w:pPr>
            <w:r>
              <w:rPr>
                <w:rFonts w:ascii="Times New Roman" w:hAnsi="Times New Roman" w:eastAsia="Microsoft YaHei"/>
                <w:sz w:val="17"/>
              </w:rPr>
              <w:t>0</w:t>
            </w:r>
          </w:p>
        </w:tc>
      </w:tr>
      <w:tr>
        <w:tc>
          <w:tcPr>
            <w:tcW w:type="dxa" w:w="1440"/>
          </w:tcPr>
          <w:p>
            <w:pPr>
              <w:spacing w:after="0"/>
            </w:pPr>
            <w:r>
              <w:rPr>
                <w:rFonts w:ascii="Times New Roman" w:hAnsi="Times New Roman" w:eastAsia="Microsoft YaHei"/>
                <w:sz w:val="17"/>
              </w:rPr>
              <w:t>esterase_7b4q</w:t>
            </w:r>
          </w:p>
        </w:tc>
        <w:tc>
          <w:tcPr>
            <w:tcW w:type="dxa" w:w="1440"/>
          </w:tcPr>
          <w:p>
            <w:pPr>
              <w:spacing w:after="0"/>
            </w:pPr>
            <w:r>
              <w:rPr>
                <w:rFonts w:ascii="Times New Roman" w:hAnsi="Times New Roman" w:eastAsia="Microsoft YaHei"/>
                <w:sz w:val="17"/>
              </w:rPr>
              <w:t>lipase_esterase</w:t>
            </w:r>
          </w:p>
        </w:tc>
        <w:tc>
          <w:tcPr>
            <w:tcW w:type="dxa" w:w="3456"/>
          </w:tcPr>
          <w:p>
            <w:pPr>
              <w:spacing w:after="0"/>
            </w:pPr>
            <w:r>
              <w:rPr>
                <w:rFonts w:ascii="Times New Roman" w:hAnsi="Times New Roman" w:eastAsia="Microsoft YaHei"/>
                <w:sz w:val="17"/>
              </w:rPr>
              <w:t>M52L;Y61F;H121S;Y123Q</w:t>
            </w:r>
          </w:p>
        </w:tc>
        <w:tc>
          <w:tcPr>
            <w:tcW w:type="dxa" w:w="1152"/>
          </w:tcPr>
          <w:p>
            <w:pPr>
              <w:spacing w:after="0"/>
            </w:pPr>
            <w:r>
              <w:rPr>
                <w:rFonts w:ascii="Times New Roman" w:hAnsi="Times New Roman" w:eastAsia="Microsoft YaHei"/>
                <w:sz w:val="17"/>
              </w:rPr>
              <w:t>5.308</w:t>
            </w:r>
          </w:p>
        </w:tc>
        <w:tc>
          <w:tcPr>
            <w:tcW w:type="dxa" w:w="1296"/>
          </w:tcPr>
          <w:p>
            <w:pPr>
              <w:spacing w:after="0"/>
            </w:pPr>
            <w:r>
              <w:rPr>
                <w:rFonts w:ascii="Times New Roman" w:hAnsi="Times New Roman" w:eastAsia="Microsoft YaHei"/>
                <w:sz w:val="17"/>
              </w:rPr>
              <w:t>9.410</w:t>
            </w:r>
          </w:p>
        </w:tc>
        <w:tc>
          <w:tcPr>
            <w:tcW w:type="dxa" w:w="1152"/>
          </w:tcPr>
          <w:p>
            <w:pPr>
              <w:spacing w:after="0"/>
            </w:pPr>
            <w:r>
              <w:rPr>
                <w:rFonts w:ascii="Times New Roman" w:hAnsi="Times New Roman" w:eastAsia="Microsoft YaHei"/>
                <w:sz w:val="17"/>
              </w:rPr>
              <w:t>+0.055</w:t>
            </w:r>
          </w:p>
        </w:tc>
        <w:tc>
          <w:tcPr>
            <w:tcW w:type="dxa" w:w="1152"/>
          </w:tcPr>
          <w:p>
            <w:pPr>
              <w:spacing w:after="0"/>
            </w:pPr>
            <w:r>
              <w:rPr>
                <w:rFonts w:ascii="Times New Roman" w:hAnsi="Times New Roman" w:eastAsia="Microsoft YaHei"/>
                <w:sz w:val="17"/>
              </w:rPr>
              <w:t>0</w:t>
            </w:r>
          </w:p>
        </w:tc>
      </w:tr>
      <w:tr>
        <w:tc>
          <w:tcPr>
            <w:tcW w:type="dxa" w:w="1440"/>
          </w:tcPr>
          <w:p>
            <w:pPr>
              <w:spacing w:after="0"/>
            </w:pPr>
            <w:r>
              <w:rPr>
                <w:rFonts w:ascii="Times New Roman" w:hAnsi="Times New Roman" w:eastAsia="Microsoft YaHei"/>
                <w:sz w:val="17"/>
              </w:rPr>
              <w:t>sod_1y67</w:t>
            </w:r>
          </w:p>
        </w:tc>
        <w:tc>
          <w:tcPr>
            <w:tcW w:type="dxa" w:w="1440"/>
          </w:tcPr>
          <w:p>
            <w:pPr>
              <w:spacing w:after="0"/>
            </w:pPr>
            <w:r>
              <w:rPr>
                <w:rFonts w:ascii="Times New Roman" w:hAnsi="Times New Roman" w:eastAsia="Microsoft YaHei"/>
                <w:sz w:val="17"/>
              </w:rPr>
              <w:t>superoxide_dismutase</w:t>
            </w:r>
          </w:p>
        </w:tc>
        <w:tc>
          <w:tcPr>
            <w:tcW w:type="dxa" w:w="3456"/>
          </w:tcPr>
          <w:p>
            <w:pPr>
              <w:spacing w:after="0"/>
            </w:pPr>
            <w:r>
              <w:rPr>
                <w:rFonts w:ascii="Times New Roman" w:hAnsi="Times New Roman" w:eastAsia="Microsoft YaHei"/>
                <w:sz w:val="17"/>
              </w:rPr>
              <w:t>Y10F;H18Q;W175F;Y180Q</w:t>
            </w:r>
          </w:p>
        </w:tc>
        <w:tc>
          <w:tcPr>
            <w:tcW w:type="dxa" w:w="1152"/>
          </w:tcPr>
          <w:p>
            <w:pPr>
              <w:spacing w:after="0"/>
            </w:pPr>
            <w:r>
              <w:rPr>
                <w:rFonts w:ascii="Times New Roman" w:hAnsi="Times New Roman" w:eastAsia="Microsoft YaHei"/>
                <w:sz w:val="17"/>
              </w:rPr>
              <w:t>5.044</w:t>
            </w:r>
          </w:p>
        </w:tc>
        <w:tc>
          <w:tcPr>
            <w:tcW w:type="dxa" w:w="1296"/>
          </w:tcPr>
          <w:p>
            <w:pPr>
              <w:spacing w:after="0"/>
            </w:pPr>
            <w:r>
              <w:rPr>
                <w:rFonts w:ascii="Times New Roman" w:hAnsi="Times New Roman" w:eastAsia="Microsoft YaHei"/>
                <w:sz w:val="17"/>
              </w:rPr>
              <w:t>3.557</w:t>
            </w:r>
          </w:p>
        </w:tc>
        <w:tc>
          <w:tcPr>
            <w:tcW w:type="dxa" w:w="1152"/>
          </w:tcPr>
          <w:p>
            <w:pPr>
              <w:spacing w:after="0"/>
            </w:pPr>
            <w:r>
              <w:rPr>
                <w:rFonts w:ascii="Times New Roman" w:hAnsi="Times New Roman" w:eastAsia="Microsoft YaHei"/>
                <w:sz w:val="17"/>
              </w:rPr>
              <w:t>+0.035</w:t>
            </w:r>
          </w:p>
        </w:tc>
        <w:tc>
          <w:tcPr>
            <w:tcW w:type="dxa" w:w="1152"/>
          </w:tcPr>
          <w:p>
            <w:pPr>
              <w:spacing w:after="0"/>
            </w:pPr>
            <w:r>
              <w:rPr>
                <w:rFonts w:ascii="Times New Roman" w:hAnsi="Times New Roman" w:eastAsia="Microsoft YaHei"/>
                <w:sz w:val="17"/>
              </w:rPr>
              <w:t>5</w:t>
            </w:r>
          </w:p>
        </w:tc>
      </w:tr>
      <w:tr>
        <w:tc>
          <w:tcPr>
            <w:tcW w:type="dxa" w:w="1440"/>
          </w:tcPr>
          <w:p>
            <w:pPr>
              <w:spacing w:after="0"/>
            </w:pPr>
            <w:r>
              <w:rPr>
                <w:rFonts w:ascii="Times New Roman" w:hAnsi="Times New Roman" w:eastAsia="Microsoft YaHei"/>
                <w:sz w:val="17"/>
              </w:rPr>
              <w:t>CLD_3Q09_NOTOPIC</w:t>
            </w:r>
          </w:p>
        </w:tc>
        <w:tc>
          <w:tcPr>
            <w:tcW w:type="dxa" w:w="1440"/>
          </w:tcPr>
          <w:p>
            <w:pPr>
              <w:spacing w:after="0"/>
            </w:pPr>
            <w:r>
              <w:rPr>
                <w:rFonts w:ascii="Times New Roman" w:hAnsi="Times New Roman" w:eastAsia="Microsoft YaHei"/>
                <w:sz w:val="17"/>
              </w:rPr>
              <w:t>cld</w:t>
            </w:r>
          </w:p>
        </w:tc>
        <w:tc>
          <w:tcPr>
            <w:tcW w:type="dxa" w:w="3456"/>
          </w:tcPr>
          <w:p>
            <w:pPr>
              <w:spacing w:after="0"/>
            </w:pPr>
            <w:r>
              <w:rPr>
                <w:rFonts w:ascii="Times New Roman" w:hAnsi="Times New Roman" w:eastAsia="Microsoft YaHei"/>
                <w:sz w:val="17"/>
              </w:rPr>
              <w:t>W155F;W156F;M167I;M212L;W227F</w:t>
            </w:r>
          </w:p>
        </w:tc>
        <w:tc>
          <w:tcPr>
            <w:tcW w:type="dxa" w:w="1152"/>
          </w:tcPr>
          <w:p>
            <w:pPr>
              <w:spacing w:after="0"/>
            </w:pPr>
            <w:r>
              <w:rPr>
                <w:rFonts w:ascii="Times New Roman" w:hAnsi="Times New Roman" w:eastAsia="Microsoft YaHei"/>
                <w:sz w:val="17"/>
              </w:rPr>
              <w:t>4.022</w:t>
            </w:r>
          </w:p>
        </w:tc>
        <w:tc>
          <w:tcPr>
            <w:tcW w:type="dxa" w:w="1296"/>
          </w:tcPr>
          <w:p>
            <w:pPr>
              <w:spacing w:after="0"/>
            </w:pPr>
            <w:r>
              <w:rPr>
                <w:rFonts w:ascii="Times New Roman" w:hAnsi="Times New Roman" w:eastAsia="Microsoft YaHei"/>
                <w:sz w:val="17"/>
              </w:rPr>
              <w:t>3.719</w:t>
            </w:r>
          </w:p>
        </w:tc>
        <w:tc>
          <w:tcPr>
            <w:tcW w:type="dxa" w:w="1152"/>
          </w:tcPr>
          <w:p>
            <w:pPr>
              <w:spacing w:after="0"/>
            </w:pPr>
            <w:r>
              <w:rPr>
                <w:rFonts w:ascii="Times New Roman" w:hAnsi="Times New Roman" w:eastAsia="Microsoft YaHei"/>
                <w:sz w:val="17"/>
              </w:rPr>
              <w:t>-0.424</w:t>
            </w:r>
          </w:p>
        </w:tc>
        <w:tc>
          <w:tcPr>
            <w:tcW w:type="dxa" w:w="1152"/>
          </w:tcPr>
          <w:p>
            <w:pPr>
              <w:spacing w:after="0"/>
            </w:pPr>
            <w:r>
              <w:rPr>
                <w:rFonts w:ascii="Times New Roman" w:hAnsi="Times New Roman" w:eastAsia="Microsoft YaHei"/>
                <w:sz w:val="17"/>
              </w:rPr>
              <w:t>0</w:t>
            </w:r>
          </w:p>
        </w:tc>
      </w:tr>
      <w:tr>
        <w:tc>
          <w:tcPr>
            <w:tcW w:type="dxa" w:w="1440"/>
          </w:tcPr>
          <w:p>
            <w:pPr>
              <w:spacing w:after="0"/>
            </w:pPr>
            <w:r>
              <w:rPr>
                <w:rFonts w:ascii="Times New Roman" w:hAnsi="Times New Roman" w:eastAsia="Microsoft YaHei"/>
                <w:sz w:val="17"/>
              </w:rPr>
              <w:t>CLD_3Q09_TOPIC</w:t>
            </w:r>
          </w:p>
        </w:tc>
        <w:tc>
          <w:tcPr>
            <w:tcW w:type="dxa" w:w="1440"/>
          </w:tcPr>
          <w:p>
            <w:pPr>
              <w:spacing w:after="0"/>
            </w:pPr>
            <w:r>
              <w:rPr>
                <w:rFonts w:ascii="Times New Roman" w:hAnsi="Times New Roman" w:eastAsia="Microsoft YaHei"/>
                <w:sz w:val="17"/>
              </w:rPr>
              <w:t>cld</w:t>
            </w:r>
          </w:p>
        </w:tc>
        <w:tc>
          <w:tcPr>
            <w:tcW w:type="dxa" w:w="3456"/>
          </w:tcPr>
          <w:p>
            <w:pPr>
              <w:spacing w:after="0"/>
            </w:pPr>
            <w:r>
              <w:rPr>
                <w:rFonts w:ascii="Times New Roman" w:hAnsi="Times New Roman" w:eastAsia="Microsoft YaHei"/>
                <w:sz w:val="17"/>
              </w:rPr>
              <w:t>W155F;W156F;M167L;M212L;W227F</w:t>
            </w:r>
          </w:p>
        </w:tc>
        <w:tc>
          <w:tcPr>
            <w:tcW w:type="dxa" w:w="1152"/>
          </w:tcPr>
          <w:p>
            <w:pPr>
              <w:spacing w:after="0"/>
            </w:pPr>
            <w:r>
              <w:rPr>
                <w:rFonts w:ascii="Times New Roman" w:hAnsi="Times New Roman" w:eastAsia="Microsoft YaHei"/>
                <w:sz w:val="17"/>
              </w:rPr>
              <w:t>4.918</w:t>
            </w:r>
          </w:p>
        </w:tc>
        <w:tc>
          <w:tcPr>
            <w:tcW w:type="dxa" w:w="1296"/>
          </w:tcPr>
          <w:p>
            <w:pPr>
              <w:spacing w:after="0"/>
            </w:pPr>
            <w:r>
              <w:rPr>
                <w:rFonts w:ascii="Times New Roman" w:hAnsi="Times New Roman" w:eastAsia="Microsoft YaHei"/>
                <w:sz w:val="17"/>
              </w:rPr>
              <w:t>4.999</w:t>
            </w:r>
          </w:p>
        </w:tc>
        <w:tc>
          <w:tcPr>
            <w:tcW w:type="dxa" w:w="1152"/>
          </w:tcPr>
          <w:p>
            <w:pPr>
              <w:spacing w:after="0"/>
            </w:pPr>
            <w:r>
              <w:rPr>
                <w:rFonts w:ascii="Times New Roman" w:hAnsi="Times New Roman" w:eastAsia="Microsoft YaHei"/>
                <w:sz w:val="17"/>
              </w:rPr>
              <w:t>-0.256</w:t>
            </w:r>
          </w:p>
        </w:tc>
        <w:tc>
          <w:tcPr>
            <w:tcW w:type="dxa" w:w="1152"/>
          </w:tcPr>
          <w:p>
            <w:pPr>
              <w:spacing w:after="0"/>
            </w:pPr>
            <w:r>
              <w:rPr>
                <w:rFonts w:ascii="Times New Roman" w:hAnsi="Times New Roman" w:eastAsia="Microsoft YaHei"/>
                <w:sz w:val="17"/>
              </w:rPr>
              <w:t>0</w:t>
            </w:r>
          </w:p>
        </w:tc>
      </w:tr>
    </w:tbl>
    <w:p>
      <w:pPr>
        <w:sectPr>
          <w:pgSz w:w="12240" w:h="15840"/>
          <w:pgMar w:top="1008" w:right="1152" w:bottom="1008" w:left="1152" w:header="720" w:footer="720" w:gutter="0"/>
          <w:cols w:space="720"/>
          <w:docGrid w:linePitch="360"/>
        </w:sectPr>
      </w:pPr>
    </w:p>
    <w:p>
      <w:pPr>
        <w:spacing w:before="160" w:after="80"/>
      </w:pPr>
      <w:r>
        <w:rPr>
          <w:rFonts w:ascii="Times New Roman" w:hAnsi="Times New Roman" w:eastAsia="Microsoft YaHei"/>
          <w:b/>
          <w:sz w:val="26"/>
        </w:rPr>
        <w:t>Methods</w:t>
      </w:r>
    </w:p>
    <w:p>
      <w:pPr>
        <w:spacing w:before="80" w:after="80"/>
      </w:pPr>
      <w:r>
        <w:rPr>
          <w:rFonts w:ascii="Times New Roman" w:hAnsi="Times New Roman" w:eastAsia="Microsoft YaHei"/>
          <w:b/>
          <w:sz w:val="23"/>
        </w:rPr>
        <w:t>Overall framework</w:t>
      </w:r>
    </w:p>
    <w:p>
      <w:pPr>
        <w:spacing w:after="80" w:line="276" w:lineRule="auto"/>
      </w:pPr>
      <w:r>
        <w:rPr>
          <w:rFonts w:ascii="Times New Roman" w:hAnsi="Times New Roman" w:eastAsia="Microsoft YaHei"/>
          <w:b w:val="0"/>
          <w:i w:val="0"/>
          <w:sz w:val="22"/>
        </w:rPr>
        <w:t>MARS-FIELD is formulated as a unified evidence-to-sequence controller rather than a collection of disconnected proposal tools. The system absorbs five evidence classes: geometry-conditioned structural features, phylogenetic sequence profiles, ancestral lineage signals, retrieval-based motif memory, and environment-conditioned engineering context. These signals are combined into a shared residue field over the design positions.</w:t>
      </w:r>
    </w:p>
    <w:p>
      <w:pPr>
        <w:spacing w:before="80" w:after="80"/>
      </w:pPr>
      <w:r>
        <w:rPr>
          <w:rFonts w:ascii="Times New Roman" w:hAnsi="Times New Roman" w:eastAsia="Microsoft YaHei"/>
          <w:b/>
          <w:sz w:val="23"/>
        </w:rPr>
        <w:t>Evidence streams and field construction</w:t>
      </w:r>
    </w:p>
    <w:p>
      <w:pPr>
        <w:spacing w:after="80" w:line="276" w:lineRule="auto"/>
      </w:pPr>
      <w:r>
        <w:rPr>
          <w:rFonts w:ascii="Times New Roman" w:hAnsi="Times New Roman" w:eastAsia="Microsoft YaHei"/>
          <w:b w:val="0"/>
          <w:i w:val="0"/>
          <w:sz w:val="22"/>
        </w:rPr>
        <w:t>Structural evidence is derived from residue-level geometric features, including solvent exposure, flexibility, protected distances, and hotspot annotations. Evolutionary evidence is derived from homolog profiles and family-differential residue preferences. Ancestral evidence is represented as posterior residue preferences and confidence-weighted lineage-derived recommendations. Retrieval evidence is encoded as structure-derived motif memory. Environment evidence is encoded as target-level context tokens, including oxidation-hotspot burden, flexible-surface burden, design-window size, and prior availability flags.</w:t>
      </w:r>
    </w:p>
    <w:p>
      <w:pPr>
        <w:spacing w:after="80" w:line="276" w:lineRule="auto"/>
      </w:pPr>
      <w:r>
        <w:rPr>
          <w:rFonts w:ascii="Times New Roman" w:hAnsi="Times New Roman" w:eastAsia="Microsoft YaHei"/>
          <w:b w:val="0"/>
          <w:i w:val="0"/>
          <w:sz w:val="22"/>
        </w:rPr>
        <w:t>The neural field contains geometry, phylogeny, ancestry, retrieval, and environment branches. Ancestry and retrieval are each connected to learned memory banks, allowing site representations to be fused with lineage memory and retrieval prototype memory. The resulting site hidden states drive both unary residue preferences and low-rank pairwise interaction terms.</w:t>
      </w:r>
    </w:p>
    <w:p>
      <w:pPr>
        <w:spacing w:before="80" w:after="80"/>
      </w:pPr>
      <w:r>
        <w:rPr>
          <w:rFonts w:ascii="Times New Roman" w:hAnsi="Times New Roman" w:eastAsia="Microsoft YaHei"/>
          <w:b/>
          <w:sz w:val="23"/>
        </w:rPr>
        <w:t>Candidate-level neural controller</w:t>
      </w:r>
    </w:p>
    <w:p>
      <w:pPr>
        <w:spacing w:after="80" w:line="276" w:lineRule="auto"/>
      </w:pPr>
      <w:r>
        <w:rPr>
          <w:rFonts w:ascii="Times New Roman" w:hAnsi="Times New Roman" w:eastAsia="Microsoft YaHei"/>
          <w:b w:val="0"/>
          <w:i w:val="0"/>
          <w:sz w:val="22"/>
        </w:rPr>
        <w:t>Candidate-level decision making combines sequence-conditioned residue embeddings with candidate-specific evidence features, including source type, support count, mutation burden, component-wise engineering terms, rank-calibrated selector features, and selector-prior context. Pairwise summaries are fused into the same candidate embedding. The controller outputs candidate-level selection, engineering, and policy predictions.</w:t>
      </w:r>
    </w:p>
    <w:p>
      <w:pPr>
        <w:spacing w:after="80" w:line="276" w:lineRule="auto"/>
      </w:pPr>
      <w:r>
        <w:rPr>
          <w:rFonts w:ascii="Times New Roman" w:hAnsi="Times New Roman" w:eastAsia="Microsoft YaHei"/>
          <w:b w:val="0"/>
          <w:i w:val="0"/>
          <w:sz w:val="22"/>
        </w:rPr>
        <w:t>Training uses multiple calibration losses: regression to target-wise normalized selection scores, engineering-score regression, pairwise policy ranking, decoder-field residue supervision, winner-guard loss, non-decoder-guard loss, simplicity-guard loss, and selector-anchor distillation. Together, these losses stabilize the learned controller against over-eager branch replacement.</w:t>
      </w:r>
    </w:p>
    <w:p>
      <w:pPr>
        <w:spacing w:before="80" w:after="80"/>
      </w:pPr>
      <w:r>
        <w:rPr>
          <w:rFonts w:ascii="Times New Roman" w:hAnsi="Times New Roman" w:eastAsia="Microsoft YaHei"/>
          <w:b/>
          <w:sz w:val="23"/>
        </w:rPr>
        <w:t>Neural field decoder</w:t>
      </w:r>
    </w:p>
    <w:p>
      <w:pPr>
        <w:spacing w:after="80" w:line="276" w:lineRule="auto"/>
      </w:pPr>
      <w:r>
        <w:rPr>
          <w:rFonts w:ascii="Times New Roman" w:hAnsi="Times New Roman" w:eastAsia="Microsoft YaHei"/>
          <w:b w:val="0"/>
          <w:i w:val="0"/>
          <w:sz w:val="22"/>
        </w:rPr>
        <w:t>For each target, the pipeline constructs a runtime neural batch from the current target state, trains a leave-one-target-out neural field model using the remaining benchmark targets, and converts the learned unary and pairwise outputs into decode-ready residue fields. To keep decode-time generation grounded, neural field outputs are combined with evidence-derived prior position fields and prior pairwise terms before constrained beam decoding. This teacher-forced neural field produces neural_decoder candidates inside the main pipeline.</w:t>
      </w:r>
    </w:p>
    <w:p>
      <w:pPr>
        <w:spacing w:before="80" w:after="80"/>
      </w:pPr>
      <w:r>
        <w:rPr>
          <w:rFonts w:ascii="Times New Roman" w:hAnsi="Times New Roman" w:eastAsia="Microsoft YaHei"/>
          <w:b/>
          <w:sz w:val="23"/>
        </w:rPr>
        <w:t>Benchmark protocol</w:t>
      </w:r>
    </w:p>
    <w:p>
      <w:pPr>
        <w:spacing w:after="80" w:line="276" w:lineRule="auto"/>
      </w:pPr>
      <w:r>
        <w:rPr>
          <w:rFonts w:ascii="Times New Roman" w:hAnsi="Times New Roman" w:eastAsia="Microsoft YaHei"/>
          <w:b w:val="0"/>
          <w:i w:val="0"/>
          <w:sz w:val="22"/>
        </w:rPr>
        <w:t>The main benchmark panel contains twelve targets spanning ten protein families. Neural training is leave-one-target-out at the target level. The main paper-facing deployment arm is benchmark_twelvepack_final, which enables both neural reranking and neural field decoding while using a hybrid final policy. Paired comparisons are made against the incumbent benchmark. Primary metrics are policy selection score, engineering score (mars_score), and neural decoder utilization.</w:t>
      </w:r>
    </w:p>
    <w:p>
      <w:pPr>
        <w:spacing w:before="160" w:after="80"/>
      </w:pPr>
      <w:r>
        <w:rPr>
          <w:rFonts w:ascii="Times New Roman" w:hAnsi="Times New Roman" w:eastAsia="Microsoft YaHei"/>
          <w:b/>
          <w:sz w:val="26"/>
        </w:rPr>
        <w:t>Interpretation of key benchmark metrics</w:t>
      </w:r>
    </w:p>
    <w:p>
      <w:pPr>
        <w:spacing w:after="80" w:line="276" w:lineRule="auto"/>
      </w:pPr>
      <w:r>
        <w:rPr>
          <w:rFonts w:ascii="Times New Roman" w:hAnsi="Times New Roman" w:eastAsia="Microsoft YaHei"/>
          <w:b w:val="0"/>
          <w:i w:val="0"/>
          <w:sz w:val="22"/>
        </w:rPr>
        <w:t>1. `neural decoder enabled: 12/12` means the end-to-end neural generation branch is general enough to run on every benchmark target rather than being a hand-picked demo.</w:t>
      </w:r>
    </w:p>
    <w:p>
      <w:pPr>
        <w:spacing w:after="80" w:line="276" w:lineRule="auto"/>
      </w:pPr>
      <w:r>
        <w:rPr>
          <w:rFonts w:ascii="Times New Roman" w:hAnsi="Times New Roman" w:eastAsia="Microsoft YaHei"/>
          <w:b w:val="0"/>
          <w:i w:val="0"/>
          <w:sz w:val="22"/>
        </w:rPr>
        <w:t>2. `retained novel neural-decoder candidates: 34` means the neural field is contributing non-redundant designs that were not already present in the incumbent candidate pool.</w:t>
      </w:r>
    </w:p>
    <w:p>
      <w:pPr>
        <w:spacing w:after="80" w:line="276" w:lineRule="auto"/>
      </w:pPr>
      <w:r>
        <w:rPr>
          <w:rFonts w:ascii="Times New Roman" w:hAnsi="Times New Roman" w:eastAsia="Microsoft YaHei"/>
          <w:b w:val="0"/>
          <w:i w:val="0"/>
          <w:sz w:val="22"/>
        </w:rPr>
        <w:t>3. `policy score improved on 9/12` means the final controller is beneficial on most targets under paired comparison, not just in isolated examples.</w:t>
      </w:r>
    </w:p>
    <w:p>
      <w:pPr>
        <w:spacing w:after="80" w:line="276" w:lineRule="auto"/>
      </w:pPr>
      <w:r>
        <w:rPr>
          <w:rFonts w:ascii="Times New Roman" w:hAnsi="Times New Roman" w:eastAsia="Microsoft YaHei"/>
          <w:b w:val="0"/>
          <w:i w:val="0"/>
          <w:sz w:val="22"/>
        </w:rPr>
        <w:t>4. `negative on 3/12` means the system still has calibration-limited targets, which should be discussed honestly as remaining weaknesses rather than hidden.</w:t>
      </w:r>
    </w:p>
    <w:p>
      <w:pPr>
        <w:spacing w:after="80" w:line="276" w:lineRule="auto"/>
      </w:pPr>
      <w:r>
        <w:rPr>
          <w:rFonts w:ascii="Times New Roman" w:hAnsi="Times New Roman" w:eastAsia="Microsoft YaHei"/>
          <w:b w:val="0"/>
          <w:i w:val="0"/>
          <w:sz w:val="22"/>
        </w:rPr>
        <w:t>5. `mean paired delta about -0.001` means that after introducing the end-to-end neural field decoder, the benchmark does not collapse globally. The near-zero mean shows overall stability, while the 9/12 positive count shows that gains are distributed across most targets.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