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9" w:lineRule="auto" w:after="80"/>
        <w:jc w:val="center"/>
      </w:pPr>
      <w:r>
        <w:rPr>
          <w:rFonts w:ascii="Times New Roman" w:hAnsi="Times New Roman" w:eastAsia="Microsoft YaHei"/>
          <w:b/>
          <w:i w:val="0"/>
          <w:color w:val="1F4E79"/>
          <w:sz w:val="40"/>
        </w:rPr>
        <w:t>MARS-FIELD</w:t>
      </w:r>
    </w:p>
    <w:p>
      <w:pPr>
        <w:spacing w:line="269" w:lineRule="auto" w:after="80"/>
        <w:jc w:val="center"/>
      </w:pPr>
      <w:r>
        <w:rPr>
          <w:rFonts w:ascii="Times New Roman" w:hAnsi="Times New Roman" w:eastAsia="Microsoft YaHei"/>
          <w:b w:val="0"/>
          <w:i/>
          <w:sz w:val="26"/>
        </w:rPr>
        <w:t>A unified evidence-to-sequence controller for protein engineering</w:t>
      </w:r>
    </w:p>
    <w:p>
      <w:pPr>
        <w:spacing w:line="269" w:lineRule="auto" w:after="80"/>
        <w:jc w:val="center"/>
      </w:pPr>
      <w:r>
        <w:rPr>
          <w:rFonts w:ascii="Times New Roman" w:hAnsi="Times New Roman" w:eastAsia="Microsoft YaHei"/>
          <w:b w:val="0"/>
          <w:i w:val="0"/>
          <w:sz w:val="21"/>
        </w:rPr>
        <w:t>Submission-style draft v6</w:t>
      </w:r>
    </w:p>
    <w:p>
      <w:pPr>
        <w:spacing w:before="160" w:after="60"/>
      </w:pPr>
      <w:r>
        <w:rPr>
          <w:rFonts w:ascii="Times New Roman" w:hAnsi="Times New Roman" w:eastAsia="Microsoft YaHei"/>
          <w:b/>
          <w:i w:val="0"/>
          <w:sz w:val="29"/>
        </w:rPr>
        <w:t>Abstract</w:t>
      </w:r>
    </w:p>
    <w:p>
      <w:pPr>
        <w:spacing w:line="269" w:lineRule="auto" w:after="80"/>
      </w:pPr>
      <w:r>
        <w:rPr>
          <w:rFonts w:ascii="Times New Roman" w:hAnsi="Times New Roman" w:eastAsia="Microsoft YaHei"/>
          <w:b w:val="0"/>
          <w:i w:val="0"/>
          <w:sz w:val="21"/>
        </w:rPr>
        <w:t>We present MARS-FIELD, a unified evidence-to-sequence controller that projects geometry-conditioned structural evidence, phylogenetic profiles, ancestral lineage information, retrieval-based motif memory, and environment-conditioned engineering context into a shared residue field. The current implementation couples this field to a candidate-level neural controller and a decode-time neural field generator inside the benchmark-time main path. Across a twelve-target benchmark spanning ten protein families, the final controller improved paired policy score on 9 of 12 targets relative to the incumbent benchmark, enabled neural decoding on all 12 targets, and retained 34 novel neural-decoder-derived candidates across 5 targets. These results support MARS-FIELD as a stable neuralized controller-decoder system that moves beyond heuristic score stacking toward an evidence-conditioned field architecture.</w:t>
      </w:r>
    </w:p>
    <w:p>
      <w:pPr>
        <w:spacing w:before="160" w:after="60"/>
      </w:pPr>
      <w:r>
        <w:rPr>
          <w:rFonts w:ascii="Times New Roman" w:hAnsi="Times New Roman" w:eastAsia="Microsoft YaHei"/>
          <w:b/>
          <w:i w:val="0"/>
          <w:sz w:val="29"/>
        </w:rPr>
        <w:t>Introduction</w:t>
      </w:r>
    </w:p>
    <w:p>
      <w:pPr>
        <w:spacing w:line="269" w:lineRule="auto" w:after="80"/>
      </w:pPr>
      <w:r>
        <w:rPr>
          <w:rFonts w:ascii="Times New Roman" w:hAnsi="Times New Roman" w:eastAsia="Microsoft YaHei"/>
          <w:b w:val="0"/>
          <w:i w:val="0"/>
          <w:sz w:val="21"/>
        </w:rPr>
        <w:t>Protein engineering pipelines often integrate structural analysis, evolutionary context, ancestral reconstruction, and machine-learning proposal generators as loosely connected modules. Although this strategy enables rapid iteration, it also creates a conceptual weakness: the system behaves as an ensemble of partially redundant signals rather than as a unified controller. This becomes especially limiting when the objective is not simply sequence plausibility but robust engineering under multiple constraints, including oxidation risk, flexible-surface burden, motif preservation, and environment-conditioned performance targets.</w:t>
      </w:r>
    </w:p>
    <w:p>
      <w:pPr>
        <w:spacing w:line="269" w:lineRule="auto" w:after="80"/>
      </w:pPr>
      <w:r>
        <w:rPr>
          <w:rFonts w:ascii="Times New Roman" w:hAnsi="Times New Roman" w:eastAsia="Microsoft YaHei"/>
          <w:b w:val="0"/>
          <w:i w:val="0"/>
          <w:sz w:val="21"/>
        </w:rPr>
        <w:t>MARS-FIELD addresses this problem by treating protein engineering as an evidence-to-sequence control task. Geometric, phylogenetic, ancestral, retrieval-based, and environment-conditioned signals are projected into a shared residue field over the design positions. This field is the native decision object of the method: it defines residue-wise preferences and pairwise couplings, which are then used to score incumbents and decode new sequence proposals under engineering constraints.</w:t>
      </w:r>
    </w:p>
    <w:p>
      <w:pPr>
        <w:spacing w:line="269" w:lineRule="auto" w:after="80"/>
      </w:pPr>
      <w:r>
        <w:rPr>
          <w:rFonts w:ascii="Times New Roman" w:hAnsi="Times New Roman" w:eastAsia="Microsoft YaHei"/>
          <w:b w:val="0"/>
          <w:i w:val="0"/>
          <w:sz w:val="21"/>
        </w:rPr>
        <w:t>The present implementation moves beyond a reranker-centric architecture in two ways. First, ancestry and retrieval are represented as learned memory-linked branches within the neural controller. Second, the neural branch is now coupled to a decode-time neural field generator in the main benchmark path. The goal of this work is therefore not to claim a final fully joint protein design foundation model, but to demonstrate that a unified evidence-conditioned field-controller system can be built in a way that is benchmark-stable, interpretable, and capable of neural proposal generation.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344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mars_field_architecture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44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Microsoft YaHei"/>
          <w:b w:val="0"/>
          <w:i/>
          <w:sz w:val="17"/>
        </w:rPr>
        <w:t>Figure 1 | MARS-FIELD integrates heterogeneous evidence into a shared residue field. The method operates on site-wise residue energies and pairwise couplings rather than on a generator vote.</w:t>
      </w:r>
    </w:p>
    <w:p>
      <w:pPr>
        <w:spacing w:before="160" w:after="60"/>
      </w:pPr>
      <w:r>
        <w:rPr>
          <w:rFonts w:ascii="Times New Roman" w:hAnsi="Times New Roman" w:eastAsia="Microsoft YaHei"/>
          <w:b/>
          <w:i w:val="0"/>
          <w:sz w:val="29"/>
        </w:rPr>
        <w:t>Results</w:t>
      </w:r>
    </w:p>
    <w:p>
      <w:pPr>
        <w:spacing w:line="269" w:lineRule="auto" w:after="80"/>
      </w:pPr>
      <w:r>
        <w:rPr>
          <w:rFonts w:ascii="Times New Roman" w:hAnsi="Times New Roman" w:eastAsia="Microsoft YaHei"/>
          <w:b w:val="0"/>
          <w:i w:val="0"/>
          <w:sz w:val="21"/>
        </w:rPr>
        <w:t>The final controller improved paired policy score on 9 of 12 targets and decreased it on 3 targets, with a mean paired delta of -0.001. This near-neutral mean indicates that the benchmark remains globally stable after neural decoder integration, while the directionality of the paired effects shows that positive target-level gains substantially outnumber negative ones.</w:t>
      </w:r>
    </w:p>
    <w:p>
      <w:pPr>
        <w:spacing w:line="269" w:lineRule="auto" w:after="80"/>
      </w:pPr>
      <w:r>
        <w:rPr>
          <w:rFonts w:ascii="Times New Roman" w:hAnsi="Times New Roman" w:eastAsia="Microsoft YaHei"/>
          <w:b w:val="0"/>
          <w:i w:val="0"/>
          <w:sz w:val="21"/>
        </w:rPr>
        <w:t>Neural decoding was enabled on all 12 targets, produced 373 preview candidates, retained 34 novel candidates after engineering and safety filtering, and contributed retained novel candidates on 5 targets. This demonstrates that the neural branch is functioning as a genuine proposal source rather than as a passive auxiliary scorer.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63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benchmark_claim_v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63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Microsoft YaHei"/>
          <w:b w:val="0"/>
          <w:i/>
          <w:sz w:val="17"/>
        </w:rPr>
        <w:t>Figure 2 | Benchmark claim figure. Paired policy shifts, headline metrics, neural decoder utilization, and family-level summary support the benchmark-level claim.</w:t>
      </w:r>
    </w:p>
    <w:p>
      <w:pPr>
        <w:spacing w:line="269" w:lineRule="auto" w:after="80"/>
      </w:pPr>
      <w:r>
        <w:rPr>
          <w:rFonts w:ascii="Times New Roman" w:hAnsi="Times New Roman" w:eastAsia="Microsoft YaHei"/>
          <w:b w:val="0"/>
          <w:i w:val="0"/>
          <w:sz w:val="21"/>
        </w:rPr>
        <w:t>Ablation and diagnostic analyses show that the current method remains strongly grounded in chemically and evolutionarily meaningful constraints. Oxidation-aware and evolutionary signals remain dominant regulators of the design landscape, while neural gate profiles reveal target-specific evidence usage rather than a uniform black-box weighting scheme. The remaining regressions are concentrated in a small number of explicit calibration-limited cases, including the CLD topic-conditioned targets and subtilisin.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3306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mechanism_limitations_v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30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Microsoft YaHei"/>
          <w:b w:val="0"/>
          <w:i/>
          <w:sz w:val="17"/>
        </w:rPr>
        <w:t>Figure 3 | Mechanism and limitation figure. Ablations identify dominant constraints, neural diagnostics show target-dependent evidence usage, and failures remain concentrated rather than diffuse.</w:t>
      </w:r>
    </w:p>
    <w:p>
      <w:pPr>
        <w:spacing w:line="269" w:lineRule="auto" w:after="80"/>
      </w:pPr>
      <w:r>
        <w:rPr>
          <w:rFonts w:ascii="Times New Roman" w:hAnsi="Times New Roman" w:eastAsia="Microsoft YaHei"/>
          <w:b w:val="0"/>
          <w:i w:val="0"/>
          <w:sz w:val="21"/>
        </w:rPr>
        <w:t>Representative case studies further show that the controller does not behave identically across targets. In 1LBT, the method behaves conservatively and preserves a known safe incumbent despite active neural decoding. In TEM1, the incumbent remains stable while the neural branch surfaces an interpretable learned alternative. In PETase, the controller reproduces a canonical redesign across related structures. In CLD, the system exposes a calibration stress test in which incumbent stability and a stronger local engineering alternative remain in tension.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41020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case_studies_master_v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102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Microsoft YaHei"/>
          <w:b w:val="0"/>
          <w:i/>
          <w:sz w:val="17"/>
        </w:rPr>
        <w:t>Figure 4 | PSE-derived case-study composite. 1LBT, TEM1, PETase, and CLD reveal distinct controller regimes: safety preservation, stable incumbent with learned alternative, reproducible redesign, and calibration stress test.</w:t>
      </w:r>
    </w:p>
    <w:p>
      <w:pPr>
        <w:spacing w:before="160" w:after="60"/>
      </w:pPr>
      <w:r>
        <w:rPr>
          <w:rFonts w:ascii="Times New Roman" w:hAnsi="Times New Roman" w:eastAsia="Microsoft YaHei"/>
          <w:b/>
          <w:i w:val="0"/>
          <w:sz w:val="29"/>
        </w:rPr>
        <w:t>Methods</w:t>
      </w:r>
    </w:p>
    <w:p>
      <w:pPr>
        <w:spacing w:line="269" w:lineRule="auto" w:after="80"/>
      </w:pPr>
      <w:r>
        <w:rPr>
          <w:rFonts w:ascii="Times New Roman" w:hAnsi="Times New Roman" w:eastAsia="Microsoft YaHei"/>
          <w:b w:val="0"/>
          <w:i w:val="0"/>
          <w:sz w:val="21"/>
        </w:rPr>
        <w:t>The main benchmark consists of twelve targets spanning ten protein families. Each target defines a local design window on a fixed wild-type structural scaffold. Neural controller training is leave-one-target-out at the target level. The main deployment arm used here is benchmark_twelvepack_final, which enables both neural reranking and neural field decoding while using a hybrid final policy for stable deployment.</w:t>
      </w:r>
    </w:p>
    <w:p>
      <w:pPr>
        <w:spacing w:line="269" w:lineRule="auto" w:after="80"/>
      </w:pPr>
      <w:r>
        <w:rPr>
          <w:rFonts w:ascii="Times New Roman" w:hAnsi="Times New Roman" w:eastAsia="Microsoft YaHei"/>
          <w:b w:val="0"/>
          <w:i w:val="0"/>
          <w:sz w:val="21"/>
        </w:rPr>
        <w:t>MARS-FIELD integrates five evidence streams: geometry-conditioned structural features, phylogenetic profile evidence, ancestral lineage evidence, retrieval-based motif memory, and environment-conditioned engineering context. These signals are projected into a shared residue field containing both residue-wise and pairwise preferences. The neural field contains geometry, phylogeny, ancestry, retrieval, and environment branches; ancestry and retrieval each interact with learned memory banks to fuse local residue representations with lineage memory and retrieval prototype memory.</w:t>
      </w:r>
    </w:p>
    <w:p>
      <w:pPr>
        <w:spacing w:line="269" w:lineRule="auto" w:after="80"/>
      </w:pPr>
      <w:r>
        <w:rPr>
          <w:rFonts w:ascii="Times New Roman" w:hAnsi="Times New Roman" w:eastAsia="Microsoft YaHei"/>
          <w:b w:val="0"/>
          <w:i w:val="0"/>
          <w:sz w:val="21"/>
        </w:rPr>
        <w:t>Candidate-level decision making combines sequence-conditioned residue embeddings with candidate-specific evidence features, including source identity, support count, mutation burden, component-wise engineering scores, selector-rank priors, gaps to the best incumbent, and other calibration-aware signals. Training uses multiple objectives, including selection regression, engineering regression, policy regression, pairwise ranking, decoder-field supervision, winner-guard loss, non-decoder guard loss, simplicity guard loss, selector-anchor distillation, recovery loss, ancestry alignment, retrieval alignment, pairwise consistency, environment reconstruction, and gate regularization.</w:t>
      </w:r>
    </w:p>
    <w:p>
      <w:pPr>
        <w:spacing w:line="269" w:lineRule="auto" w:after="80"/>
      </w:pPr>
      <w:r>
        <w:rPr>
          <w:rFonts w:ascii="Times New Roman" w:hAnsi="Times New Roman" w:eastAsia="Microsoft YaHei"/>
          <w:b w:val="0"/>
          <w:i w:val="0"/>
          <w:sz w:val="21"/>
        </w:rPr>
        <w:t>For each target, the pipeline constructs a runtime neural batch from the current target state, trains a leave-one-target-out neural field model using the remaining targets, combines learned unary and pairwise outputs with evidence-derived prior position fields and prior pairwise terms, and decodes neural_decoder candidates under constrained beam search. The final hybrid policy permits learned branch adoption only when the alternative remains sufficiently aligned with incumbent selection-score stability while preserving engineering support.</w:t>
      </w:r>
    </w:p>
    <w:p>
      <w:pPr>
        <w:spacing w:before="160" w:after="60"/>
      </w:pPr>
      <w:r>
        <w:rPr>
          <w:rFonts w:ascii="Times New Roman" w:hAnsi="Times New Roman" w:eastAsia="Microsoft YaHei"/>
          <w:b/>
          <w:i w:val="0"/>
          <w:sz w:val="29"/>
        </w:rPr>
        <w:t>Discussion</w:t>
      </w:r>
    </w:p>
    <w:p>
      <w:pPr>
        <w:spacing w:line="269" w:lineRule="auto" w:after="80"/>
      </w:pPr>
      <w:r>
        <w:rPr>
          <w:rFonts w:ascii="Times New Roman" w:hAnsi="Times New Roman" w:eastAsia="Microsoft YaHei"/>
          <w:b w:val="0"/>
          <w:i w:val="0"/>
          <w:sz w:val="21"/>
        </w:rPr>
        <w:t>The central conclusion of this work is that a unified residue-field controller provides a more coherent algorithmic basis for protein engineering than an ensemble of disconnected proposal branches. In the current implementation, MARS-FIELD integrates heterogeneous evidence streams into a shared residue field, uses a calibrated neural controller to score candidates, and activates a decode-time neural branch inside the main benchmark path. This is qualitatively different from earlier stack-and-rerank pipelines because the neural branch now participates in generation as well as selection.</w:t>
      </w:r>
    </w:p>
    <w:p>
      <w:pPr>
        <w:spacing w:line="269" w:lineRule="auto" w:after="80"/>
      </w:pPr>
      <w:r>
        <w:rPr>
          <w:rFonts w:ascii="Times New Roman" w:hAnsi="Times New Roman" w:eastAsia="Microsoft YaHei"/>
          <w:b w:val="0"/>
          <w:i w:val="0"/>
          <w:sz w:val="21"/>
        </w:rPr>
        <w:t>The remaining limitations are also clearer in this formulation. The system is now strong enough to be described as an engineering-honest end-to-end controller-decoder architecture, but it is not yet the fully joint proposal-generator / field / decoder research endpoint. The remaining gap is therefore no longer missing plumbing; it is a genuine research frontier centered on joint optimization and improved calibration on a small number of hard targets.</w:t>
      </w:r>
    </w:p>
    <w:p>
      <w:pPr>
        <w:spacing w:line="269" w:lineRule="auto" w:after="80"/>
      </w:pPr>
      <w:r>
        <w:rPr>
          <w:rFonts w:ascii="Times New Roman" w:hAnsi="Times New Roman" w:eastAsia="Microsoft YaHei"/>
          <w:b w:val="0"/>
          <w:i w:val="0"/>
          <w:sz w:val="21"/>
        </w:rPr>
        <w:t>For manuscript positioning, the strongest claim is not that MARS-FIELD already solves every regime equally well, but that it establishes a stable bridge between heuristic engineering stacks and future fully joint protein design controllers. It combines a unified evidence-to-sequence formulation, real neural proposal generation, benchmark-scale stability, and explicit mechanistic accounting of both gains and failures.</w:t>
      </w:r>
    </w:p>
    <w:p>
      <w:pPr>
        <w:spacing w:before="160" w:after="60"/>
      </w:pPr>
      <w:r>
        <w:rPr>
          <w:rFonts w:ascii="Times New Roman" w:hAnsi="Times New Roman" w:eastAsia="Microsoft YaHei"/>
          <w:b/>
          <w:i w:val="0"/>
          <w:sz w:val="29"/>
        </w:rPr>
        <w:t>Selected References</w:t>
      </w:r>
    </w:p>
    <w:p>
      <w:pPr>
        <w:spacing w:line="269" w:lineRule="auto" w:after="80"/>
      </w:pPr>
      <w:r>
        <w:rPr>
          <w:rFonts w:ascii="Times New Roman" w:hAnsi="Times New Roman" w:eastAsia="Microsoft YaHei"/>
          <w:b w:val="0"/>
          <w:i w:val="0"/>
          <w:sz w:val="18"/>
        </w:rPr>
        <w:t>1. Jumper, J. et al. Highly accurate protein structure prediction with AlphaFold. Nature 596, 583-589 (2021).</w:t>
      </w:r>
    </w:p>
    <w:p>
      <w:pPr>
        <w:spacing w:line="269" w:lineRule="auto" w:after="80"/>
      </w:pPr>
      <w:r>
        <w:rPr>
          <w:rFonts w:ascii="Times New Roman" w:hAnsi="Times New Roman" w:eastAsia="Microsoft YaHei"/>
          <w:b w:val="0"/>
          <w:i w:val="0"/>
          <w:sz w:val="18"/>
        </w:rPr>
        <w:t>2. Dauparas, J. et al. Robust deep learning-based protein sequence design using ProteinMPNN. Science 378, 49-56 (2022).</w:t>
      </w:r>
    </w:p>
    <w:p>
      <w:pPr>
        <w:spacing w:line="269" w:lineRule="auto" w:after="80"/>
      </w:pPr>
      <w:r>
        <w:rPr>
          <w:rFonts w:ascii="Times New Roman" w:hAnsi="Times New Roman" w:eastAsia="Microsoft YaHei"/>
          <w:b w:val="0"/>
          <w:i w:val="0"/>
          <w:sz w:val="18"/>
        </w:rPr>
        <w:t>3. Hsu, C. et al. Learning inverse folding from millions of predicted structures. Proc. ICML, PMLR 162, 8946-8970 (2022).</w:t>
      </w:r>
    </w:p>
    <w:p>
      <w:pPr>
        <w:spacing w:line="269" w:lineRule="auto" w:after="80"/>
      </w:pPr>
      <w:r>
        <w:rPr>
          <w:rFonts w:ascii="Times New Roman" w:hAnsi="Times New Roman" w:eastAsia="Microsoft YaHei"/>
          <w:b w:val="0"/>
          <w:i w:val="0"/>
          <w:sz w:val="18"/>
        </w:rPr>
        <w:t>4. Lin, Z. et al. Evolutionary-scale prediction of atomic-level protein structure with a language model. Science 379, 1123-1130 (2023).</w:t>
      </w:r>
    </w:p>
    <w:p>
      <w:pPr>
        <w:spacing w:line="269" w:lineRule="auto" w:after="80"/>
      </w:pPr>
      <w:r>
        <w:rPr>
          <w:rFonts w:ascii="Times New Roman" w:hAnsi="Times New Roman" w:eastAsia="Microsoft YaHei"/>
          <w:b w:val="0"/>
          <w:i w:val="0"/>
          <w:sz w:val="18"/>
        </w:rPr>
        <w:t>5. van Kempen, M. et al. Fast and accurate protein structure search with Foldseek. Nat. Biotechnol. 42, 243-246 (2024).</w:t>
      </w:r>
    </w:p>
    <w:p>
      <w:pPr>
        <w:spacing w:line="269" w:lineRule="auto" w:after="80"/>
      </w:pPr>
      <w:r>
        <w:rPr>
          <w:rFonts w:ascii="Times New Roman" w:hAnsi="Times New Roman" w:eastAsia="Microsoft YaHei"/>
          <w:b w:val="0"/>
          <w:i w:val="0"/>
          <w:sz w:val="18"/>
        </w:rPr>
        <w:t>6. Alley, E. C. et al. Unified rational protein engineering with sequence-based deep representation learning. Nat. Methods 16, 1315-1322 (2019).</w:t>
      </w:r>
    </w:p>
    <w:p>
      <w:pPr>
        <w:spacing w:line="269" w:lineRule="auto" w:after="80"/>
      </w:pPr>
      <w:r>
        <w:rPr>
          <w:rFonts w:ascii="Times New Roman" w:hAnsi="Times New Roman" w:eastAsia="Microsoft YaHei"/>
          <w:b w:val="0"/>
          <w:i w:val="0"/>
          <w:sz w:val="18"/>
        </w:rPr>
        <w:t>7. Chisholm, L. O. et al. Ancestral reconstruction and the evolution of protein energy landscapes. Annu. Rev. Biophys. 53, 127-146 (2024).</w:t>
      </w:r>
    </w:p>
    <w:p>
      <w:pPr>
        <w:spacing w:line="269" w:lineRule="auto" w:after="80"/>
      </w:pPr>
      <w:r>
        <w:rPr>
          <w:rFonts w:ascii="Times New Roman" w:hAnsi="Times New Roman" w:eastAsia="Microsoft YaHei"/>
          <w:b w:val="0"/>
          <w:i w:val="0"/>
          <w:sz w:val="18"/>
        </w:rPr>
        <w:t>8. Matthews, D. S. et al. Leveraging ancestral sequence reconstruction for protein representation learning. Nat. Mach. Intell. 6, 1542-1555 (2024).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