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69" w:lineRule="auto" w:after="80"/>
        <w:jc w:val="center"/>
      </w:pPr>
      <w:r>
        <w:rPr>
          <w:rFonts w:ascii="Times New Roman" w:hAnsi="Times New Roman" w:eastAsia="Microsoft YaHei"/>
          <w:b/>
          <w:i w:val="0"/>
          <w:color w:val="1F4E79"/>
          <w:sz w:val="40"/>
        </w:rPr>
        <w:t>MARS-FIELD</w:t>
      </w:r>
    </w:p>
    <w:p>
      <w:pPr>
        <w:spacing w:line="269" w:lineRule="auto" w:after="80"/>
        <w:jc w:val="center"/>
      </w:pPr>
      <w:r>
        <w:rPr>
          <w:rFonts w:ascii="Times New Roman" w:hAnsi="Times New Roman" w:eastAsia="Microsoft YaHei"/>
          <w:b w:val="0"/>
          <w:i/>
          <w:sz w:val="26"/>
        </w:rPr>
        <w:t>A unified evidence-to-sequence controller for protein engineering</w:t>
      </w:r>
    </w:p>
    <w:p>
      <w:pPr>
        <w:spacing w:line="269" w:lineRule="auto" w:after="80"/>
        <w:jc w:val="center"/>
      </w:pPr>
      <w:r>
        <w:rPr>
          <w:rFonts w:ascii="Times New Roman" w:hAnsi="Times New Roman" w:eastAsia="Microsoft YaHei"/>
          <w:b w:val="0"/>
          <w:i w:val="0"/>
          <w:sz w:val="21"/>
        </w:rPr>
        <w:t>Submission-style draft v7</w:t>
      </w:r>
    </w:p>
    <w:p>
      <w:pPr>
        <w:spacing w:before="160" w:after="60"/>
      </w:pPr>
      <w:r>
        <w:rPr>
          <w:rFonts w:ascii="Times New Roman" w:hAnsi="Times New Roman" w:eastAsia="Microsoft YaHei"/>
          <w:b/>
          <w:i w:val="0"/>
          <w:sz w:val="29"/>
        </w:rPr>
        <w:t>Main Figures</w:t>
      </w:r>
    </w:p>
    <w:p>
      <w:pPr>
        <w:jc w:val="center"/>
      </w:pPr>
      <w:r>
        <w:drawing>
          <wp:inline xmlns:a="http://schemas.openxmlformats.org/drawingml/2006/main" xmlns:pic="http://schemas.openxmlformats.org/drawingml/2006/picture">
            <wp:extent cx="5623560" cy="3344314"/>
            <wp:docPr id="1" name="Picture 1"/>
            <wp:cNvGraphicFramePr>
              <a:graphicFrameLocks noChangeAspect="1"/>
            </wp:cNvGraphicFramePr>
            <a:graphic>
              <a:graphicData uri="http://schemas.openxmlformats.org/drawingml/2006/picture">
                <pic:pic>
                  <pic:nvPicPr>
                    <pic:cNvPr id="0" name="figure1_mars_field_architecture_v2.png"/>
                    <pic:cNvPicPr/>
                  </pic:nvPicPr>
                  <pic:blipFill>
                    <a:blip r:embed="rId9"/>
                    <a:stretch>
                      <a:fillRect/>
                    </a:stretch>
                  </pic:blipFill>
                  <pic:spPr>
                    <a:xfrm>
                      <a:off x="0" y="0"/>
                      <a:ext cx="5623560" cy="3344314"/>
                    </a:xfrm>
                    <a:prstGeom prst="rect"/>
                  </pic:spPr>
                </pic:pic>
              </a:graphicData>
            </a:graphic>
          </wp:inline>
        </w:drawing>
      </w:r>
    </w:p>
    <w:p>
      <w:pPr>
        <w:spacing w:after="120"/>
        <w:jc w:val="center"/>
      </w:pPr>
      <w:r>
        <w:rPr>
          <w:rFonts w:ascii="Times New Roman" w:hAnsi="Times New Roman" w:eastAsia="Microsoft YaHei"/>
          <w:b w:val="0"/>
          <w:i/>
          <w:sz w:val="17"/>
        </w:rPr>
        <w:t>Figure 1 | MARS-FIELD integrates heterogeneous evidence into a shared residue field.</w:t>
      </w:r>
    </w:p>
    <w:p>
      <w:pPr>
        <w:jc w:val="center"/>
      </w:pPr>
      <w:r>
        <w:drawing>
          <wp:inline xmlns:a="http://schemas.openxmlformats.org/drawingml/2006/main" xmlns:pic="http://schemas.openxmlformats.org/drawingml/2006/picture">
            <wp:extent cx="5623560" cy="3463688"/>
            <wp:docPr id="2" name="Picture 2"/>
            <wp:cNvGraphicFramePr>
              <a:graphicFrameLocks noChangeAspect="1"/>
            </wp:cNvGraphicFramePr>
            <a:graphic>
              <a:graphicData uri="http://schemas.openxmlformats.org/drawingml/2006/picture">
                <pic:pic>
                  <pic:nvPicPr>
                    <pic:cNvPr id="0" name="figure2_benchmark_claim_v5.png"/>
                    <pic:cNvPicPr/>
                  </pic:nvPicPr>
                  <pic:blipFill>
                    <a:blip r:embed="rId10"/>
                    <a:stretch>
                      <a:fillRect/>
                    </a:stretch>
                  </pic:blipFill>
                  <pic:spPr>
                    <a:xfrm>
                      <a:off x="0" y="0"/>
                      <a:ext cx="5623560" cy="3463688"/>
                    </a:xfrm>
                    <a:prstGeom prst="rect"/>
                  </pic:spPr>
                </pic:pic>
              </a:graphicData>
            </a:graphic>
          </wp:inline>
        </w:drawing>
      </w:r>
    </w:p>
    <w:p>
      <w:pPr>
        <w:spacing w:after="120"/>
        <w:jc w:val="center"/>
      </w:pPr>
      <w:r>
        <w:rPr>
          <w:rFonts w:ascii="Times New Roman" w:hAnsi="Times New Roman" w:eastAsia="Microsoft YaHei"/>
          <w:b w:val="0"/>
          <w:i/>
          <w:sz w:val="17"/>
        </w:rPr>
        <w:t>Figure 2 | Benchmark claim figure.</w:t>
      </w:r>
    </w:p>
    <w:p>
      <w:pPr>
        <w:jc w:val="center"/>
      </w:pPr>
      <w:r>
        <w:drawing>
          <wp:inline xmlns:a="http://schemas.openxmlformats.org/drawingml/2006/main" xmlns:pic="http://schemas.openxmlformats.org/drawingml/2006/picture">
            <wp:extent cx="5623560" cy="3330652"/>
            <wp:docPr id="3" name="Picture 3"/>
            <wp:cNvGraphicFramePr>
              <a:graphicFrameLocks noChangeAspect="1"/>
            </wp:cNvGraphicFramePr>
            <a:graphic>
              <a:graphicData uri="http://schemas.openxmlformats.org/drawingml/2006/picture">
                <pic:pic>
                  <pic:nvPicPr>
                    <pic:cNvPr id="0" name="figure3_mechanism_limitations_v5.png"/>
                    <pic:cNvPicPr/>
                  </pic:nvPicPr>
                  <pic:blipFill>
                    <a:blip r:embed="rId11"/>
                    <a:stretch>
                      <a:fillRect/>
                    </a:stretch>
                  </pic:blipFill>
                  <pic:spPr>
                    <a:xfrm>
                      <a:off x="0" y="0"/>
                      <a:ext cx="5623560" cy="3330652"/>
                    </a:xfrm>
                    <a:prstGeom prst="rect"/>
                  </pic:spPr>
                </pic:pic>
              </a:graphicData>
            </a:graphic>
          </wp:inline>
        </w:drawing>
      </w:r>
    </w:p>
    <w:p>
      <w:pPr>
        <w:spacing w:after="120"/>
        <w:jc w:val="center"/>
      </w:pPr>
      <w:r>
        <w:rPr>
          <w:rFonts w:ascii="Times New Roman" w:hAnsi="Times New Roman" w:eastAsia="Microsoft YaHei"/>
          <w:b w:val="0"/>
          <w:i/>
          <w:sz w:val="17"/>
        </w:rPr>
        <w:t>Figure 3 | Mechanism and limitation figure.</w:t>
      </w:r>
    </w:p>
    <w:p>
      <w:pPr>
        <w:jc w:val="center"/>
      </w:pPr>
      <w:r>
        <w:drawing>
          <wp:inline xmlns:a="http://schemas.openxmlformats.org/drawingml/2006/main" xmlns:pic="http://schemas.openxmlformats.org/drawingml/2006/picture">
            <wp:extent cx="5623560" cy="4102034"/>
            <wp:docPr id="4" name="Picture 4"/>
            <wp:cNvGraphicFramePr>
              <a:graphicFrameLocks noChangeAspect="1"/>
            </wp:cNvGraphicFramePr>
            <a:graphic>
              <a:graphicData uri="http://schemas.openxmlformats.org/drawingml/2006/picture">
                <pic:pic>
                  <pic:nvPicPr>
                    <pic:cNvPr id="0" name="figure4_case_studies_master_v3.png"/>
                    <pic:cNvPicPr/>
                  </pic:nvPicPr>
                  <pic:blipFill>
                    <a:blip r:embed="rId12"/>
                    <a:stretch>
                      <a:fillRect/>
                    </a:stretch>
                  </pic:blipFill>
                  <pic:spPr>
                    <a:xfrm>
                      <a:off x="0" y="0"/>
                      <a:ext cx="5623560" cy="4102034"/>
                    </a:xfrm>
                    <a:prstGeom prst="rect"/>
                  </pic:spPr>
                </pic:pic>
              </a:graphicData>
            </a:graphic>
          </wp:inline>
        </w:drawing>
      </w:r>
    </w:p>
    <w:p>
      <w:pPr>
        <w:spacing w:after="120"/>
        <w:jc w:val="center"/>
      </w:pPr>
      <w:r>
        <w:rPr>
          <w:rFonts w:ascii="Times New Roman" w:hAnsi="Times New Roman" w:eastAsia="Microsoft YaHei"/>
          <w:b w:val="0"/>
          <w:i/>
          <w:sz w:val="17"/>
        </w:rPr>
        <w:t>Figure 4 | PSE-derived case-study composite.</w:t>
      </w:r>
    </w:p>
    <w:p>
      <w:pPr>
        <w:spacing w:before="160" w:after="60"/>
      </w:pPr>
      <w:r>
        <w:rPr>
          <w:rFonts w:ascii="Times New Roman" w:hAnsi="Times New Roman" w:eastAsia="Microsoft YaHei"/>
          <w:b/>
          <w:i w:val="0"/>
          <w:sz w:val="29"/>
        </w:rPr>
        <w:t>Introduction and Discussion</w:t>
      </w:r>
    </w:p>
    <w:p>
      <w:pPr>
        <w:spacing w:before="160" w:after="60"/>
      </w:pPr>
      <w:r>
        <w:rPr>
          <w:rFonts w:ascii="Times New Roman" w:hAnsi="Times New Roman" w:eastAsia="Microsoft YaHei"/>
          <w:b/>
          <w:i w:val="0"/>
          <w:sz w:val="29"/>
        </w:rPr>
        <w:t>MARS-FIELD Introduction and Discussion Draft v1</w:t>
      </w:r>
    </w:p>
    <w:p>
      <w:pPr>
        <w:spacing w:before="100" w:after="60"/>
      </w:pPr>
      <w:r>
        <w:rPr>
          <w:rFonts w:ascii="Times New Roman" w:hAnsi="Times New Roman" w:eastAsia="Microsoft YaHei"/>
          <w:b/>
          <w:i w:val="0"/>
          <w:sz w:val="24"/>
        </w:rPr>
        <w:t>Introduction</w:t>
      </w:r>
    </w:p>
    <w:p>
      <w:pPr>
        <w:spacing w:line="269" w:lineRule="auto" w:after="80"/>
      </w:pPr>
      <w:r>
        <w:rPr>
          <w:rFonts w:ascii="Times New Roman" w:hAnsi="Times New Roman" w:eastAsia="Microsoft YaHei"/>
          <w:b w:val="0"/>
          <w:i w:val="0"/>
          <w:sz w:val="21"/>
        </w:rPr>
        <w:t>Protein engineering increasingly relies on computational design pipelines that combine structural analysis, sequence-derived priors, and machine-learning proposal engines. In practice, however, these components are often assembled as loosely connected modules. Structure-aware generators, profile priors, ancestral sequence reconstructions, retrieval-based templates, and engineering heuristics are frequently used in parallel or in succession, with the final decision made by a hand-tuned ranking function. This modularity has been useful for rapid iteration, but it has also created a conceptual gap: many pipelines behave as ensembles of partially redundant signals rather than as a unified learning system.</w:t>
      </w:r>
    </w:p>
    <w:p>
      <w:pPr>
        <w:spacing w:line="269" w:lineRule="auto" w:after="80"/>
      </w:pPr>
      <w:r>
        <w:rPr>
          <w:rFonts w:ascii="Times New Roman" w:hAnsi="Times New Roman" w:eastAsia="Microsoft YaHei"/>
          <w:b w:val="0"/>
          <w:i w:val="0"/>
          <w:sz w:val="21"/>
        </w:rPr>
        <w:t>This gap is particularly limiting in realistic engineering settings, where the design objective is not merely sequence plausibility. Engineering-relevant design requires balancing backbone compatibility, evolutionary tolerability, ancestral recovery, retrieval-supported local motifs, and context-specific constraints such as oxidation risk, exposed flexibility, or environment-conditioned stress goals. These signals are heterogeneous in scale, reliability, and semantics. As a result, naïve combinations often collapse into either heuristic score stacking or generator voting, neither of which provides a satisfying algorithmic formulation.</w:t>
      </w:r>
    </w:p>
    <w:p>
      <w:pPr>
        <w:spacing w:line="269" w:lineRule="auto" w:after="80"/>
      </w:pPr>
      <w:r>
        <w:rPr>
          <w:rFonts w:ascii="Times New Roman" w:hAnsi="Times New Roman" w:eastAsia="Microsoft YaHei"/>
          <w:b w:val="0"/>
          <w:i w:val="0"/>
          <w:sz w:val="21"/>
        </w:rPr>
        <w:t>We developed `MARS-FIELD` to address this problem. The central idea is to treat protein engineering not as a competition among candidate generators, but as an evidence-to-sequence control problem. In `MARS-FIELD`, geometric, phylogenetic, ancestral, retrieval-based, and environment-conditioned signals are projected into a shared residue field over the design positions. This field is the native decision object of the method: it defines residue-wise preferences and pairwise couplings, which are then used both to evaluate incumbent candidates and to decode new ones under engineering constraints. In this view, external generators and priors are not independent voters. They are evidence streams that shape a common residue-level decision space.</w:t>
      </w:r>
    </w:p>
    <w:p>
      <w:pPr>
        <w:spacing w:line="269" w:lineRule="auto" w:after="80"/>
      </w:pPr>
      <w:r>
        <w:rPr>
          <w:rFonts w:ascii="Times New Roman" w:hAnsi="Times New Roman" w:eastAsia="Microsoft YaHei"/>
          <w:b w:val="0"/>
          <w:i w:val="0"/>
          <w:sz w:val="21"/>
        </w:rPr>
        <w:t>The present implementation takes a step beyond our earlier engineering approximations in two ways. First, ancestry and retrieval are no longer treated as isolated recommendation tables, but are represented as learned branches with memory structure inside the neural controller. Second, the neural branch is no longer restricted to reranking. The main benchmark path now includes a neural field decoder that generates candidates from the shared residue field itself. This makes the system meaningfully closer to an end-to-end field-controller architecture, even though full joint optimization of proposal generation, field construction, and decoding remains a future step.</w:t>
      </w:r>
    </w:p>
    <w:p>
      <w:pPr>
        <w:spacing w:line="269" w:lineRule="auto" w:after="80"/>
      </w:pPr>
      <w:r>
        <w:rPr>
          <w:rFonts w:ascii="Times New Roman" w:hAnsi="Times New Roman" w:eastAsia="Microsoft YaHei"/>
          <w:b w:val="0"/>
          <w:i w:val="0"/>
          <w:sz w:val="21"/>
        </w:rPr>
        <w:t>Our goal in this work is therefore not to claim a perfectly end-to-end protein design foundation model. Rather, it is to demonstrate that a unified evidence-to-sequence controller can be built in a way that is mechanistically interpretable, benchmark-stable, and capable of decode-time neural proposal generation. We evaluate `MARS-FIELD` on a twelve-target benchmark spanning ten protein families and show that the final controller remains globally stable after neural decoder integration, improves paired policy score on most targets, and introduces retained novel neural-decoder candidates on a meaningful subset of the panel.</w:t>
      </w:r>
    </w:p>
    <w:p>
      <w:pPr>
        <w:spacing w:before="100" w:after="60"/>
      </w:pPr>
      <w:r>
        <w:rPr>
          <w:rFonts w:ascii="Times New Roman" w:hAnsi="Times New Roman" w:eastAsia="Microsoft YaHei"/>
          <w:b/>
          <w:i w:val="0"/>
          <w:sz w:val="24"/>
        </w:rPr>
        <w:t>Discussion</w:t>
      </w:r>
    </w:p>
    <w:p>
      <w:pPr>
        <w:spacing w:line="269" w:lineRule="auto" w:after="80"/>
      </w:pPr>
      <w:r>
        <w:rPr>
          <w:rFonts w:ascii="Times New Roman" w:hAnsi="Times New Roman" w:eastAsia="Microsoft YaHei"/>
          <w:b w:val="0"/>
          <w:i w:val="0"/>
          <w:sz w:val="21"/>
        </w:rPr>
        <w:t>The main conclusion of this study is that a unified residue-field controller provides a more coherent algorithmic basis for protein engineering than an ensemble of disconnected proposal branches. In the current implementation, `MARS-FIELD` integrates heterogeneous evidence streams into a shared residue field, uses a calibrated neural controller to score candidates, and activates a decode-time neural branch within the main benchmark path. This makes the system substantively different from earlier stack-and-rerank pipelines: the neural branch is now involved not only in candidate scoring, but also in proposal generation.</w:t>
      </w:r>
    </w:p>
    <w:p>
      <w:pPr>
        <w:spacing w:line="269" w:lineRule="auto" w:after="80"/>
      </w:pPr>
      <w:r>
        <w:rPr>
          <w:rFonts w:ascii="Times New Roman" w:hAnsi="Times New Roman" w:eastAsia="Microsoft YaHei"/>
          <w:b w:val="0"/>
          <w:i w:val="0"/>
          <w:sz w:val="21"/>
        </w:rPr>
        <w:t>An important aspect of the current results is stability. Introducing a more learned controller and a decode-time neural branch could easily have destabilized the benchmark. Instead, the final controller improved paired policy score on 9 of 12 targets, decreased it on 3 targets, and produced an approximately neutral mean paired delta. We interpret this as a strong engineering result. The near-neutral mean should not be read as lack of effect; it should be read as evidence that the controller can absorb a more ambitious neural architecture without broad failure. At the same time, the fact that gains outnumber losses indicates that the new architecture is not merely complexity for its own sake.</w:t>
      </w:r>
    </w:p>
    <w:p>
      <w:pPr>
        <w:spacing w:line="269" w:lineRule="auto" w:after="80"/>
      </w:pPr>
      <w:r>
        <w:rPr>
          <w:rFonts w:ascii="Times New Roman" w:hAnsi="Times New Roman" w:eastAsia="Microsoft YaHei"/>
          <w:b w:val="0"/>
          <w:i w:val="0"/>
          <w:sz w:val="21"/>
        </w:rPr>
        <w:t>The neural decoder statistics further support this interpretation. Neural decoding was active on all twelve targets, yet retained novel candidates appeared on only five. We view this selectivity as a virtue. A robust engineering controller should not inject novelty uniformly. Instead, it should selectively exploit neural exploration where the field is well supported and filter it out where it is not. In this sense, `1LBT` is as important as the more visibly successful targets: it shows that the neural field can be active without forcing adoption of unsafe or weak decoded alternatives.</w:t>
      </w:r>
    </w:p>
    <w:p>
      <w:pPr>
        <w:spacing w:line="269" w:lineRule="auto" w:after="80"/>
      </w:pPr>
      <w:r>
        <w:rPr>
          <w:rFonts w:ascii="Times New Roman" w:hAnsi="Times New Roman" w:eastAsia="Microsoft YaHei"/>
          <w:b w:val="0"/>
          <w:i w:val="0"/>
          <w:sz w:val="21"/>
        </w:rPr>
        <w:t>The component ablations also reveal that the current method remains strongly grounded in engineering-relevant constraints. Oxidation-aware evidence and evolutionary context remain among the most influential components of the system, and removing them causes widespread shifts in the top candidate. This observation is important because it shows that the neural branch is not simply overwhelming the rest of the pipeline. Instead, the current controller is best understood as a neuralized integration layer sitting on top of still-essential chemical and evolutionary constraints.</w:t>
      </w:r>
    </w:p>
    <w:p>
      <w:pPr>
        <w:spacing w:line="269" w:lineRule="auto" w:after="80"/>
      </w:pPr>
      <w:r>
        <w:rPr>
          <w:rFonts w:ascii="Times New Roman" w:hAnsi="Times New Roman" w:eastAsia="Microsoft YaHei"/>
          <w:b w:val="0"/>
          <w:i w:val="0"/>
          <w:sz w:val="21"/>
        </w:rPr>
        <w:t>Our results also clarify where the method remains limited. First, the neural field decoder is active and productive, but its retained contributions remain target-dependent. Some targets clearly benefit from decoder-derived alternatives, whereas others remain dominated by incumbent or local candidates. Second, the remaining regressions are concentrated but real. The CLD targets and subtilisin reveal that calibration between high-engineering local optima and stable final policy remains imperfect. Third, the present implementation is still not fully jointly trained across proposal generation, field construction, and decoding. The system is now close enough to call an end-to-end field-controller architecture in an engineering-honest sense, but the final research endpoint would require joint optimization rather than the current staged supervision.</w:t>
      </w:r>
    </w:p>
    <w:p>
      <w:pPr>
        <w:spacing w:line="269" w:lineRule="auto" w:after="80"/>
      </w:pPr>
      <w:r>
        <w:rPr>
          <w:rFonts w:ascii="Times New Roman" w:hAnsi="Times New Roman" w:eastAsia="Microsoft YaHei"/>
          <w:b w:val="0"/>
          <w:i w:val="0"/>
          <w:sz w:val="21"/>
        </w:rPr>
        <w:t>These limitations point directly to the next research steps. The most obvious next direction is to replace proposal-conditioned supervision with tighter joint optimization between the field and the decoder. A second direction is to improve how the controller trades off between high local engineering signal and incumbent stability on stress-test families such as CLD. A third is to make retrieval memory and ancestry branches more directly differentiable with respect to upstream evidence construction, reducing reliance on externally prepared evidence tensors.</w:t>
      </w:r>
    </w:p>
    <w:p>
      <w:pPr>
        <w:spacing w:line="269" w:lineRule="auto" w:after="80"/>
      </w:pPr>
      <w:r>
        <w:rPr>
          <w:rFonts w:ascii="Times New Roman" w:hAnsi="Times New Roman" w:eastAsia="Microsoft YaHei"/>
          <w:b w:val="0"/>
          <w:i w:val="0"/>
          <w:sz w:val="21"/>
        </w:rPr>
        <w:t>Even with these limitations, we believe the present implementation is already useful as both a method paper and an engineering system. Methodologically, it provides a more coherent framing of protein engineering as evidence-conditioned field control. Practically, it offers a stable controller that can absorb neural decode-time generation without losing panel-level benchmark reliability. For these reasons, `MARS-FIELD` should be viewed as a credible bridge between traditional engineering pipelines and future fully joint protein design controllers.</w:t>
      </w:r>
    </w:p>
    <w:p>
      <w:pPr>
        <w:spacing w:before="160" w:after="60"/>
      </w:pPr>
      <w:r>
        <w:rPr>
          <w:rFonts w:ascii="Times New Roman" w:hAnsi="Times New Roman" w:eastAsia="Microsoft YaHei"/>
          <w:b/>
          <w:i w:val="0"/>
          <w:sz w:val="29"/>
        </w:rPr>
        <w:t>Related Work</w:t>
      </w:r>
    </w:p>
    <w:p>
      <w:pPr>
        <w:spacing w:before="160" w:after="60"/>
      </w:pPr>
      <w:r>
        <w:rPr>
          <w:rFonts w:ascii="Times New Roman" w:hAnsi="Times New Roman" w:eastAsia="Microsoft YaHei"/>
          <w:b/>
          <w:i w:val="0"/>
          <w:sz w:val="29"/>
        </w:rPr>
        <w:t>MARS-FIELD Related Work and References Draft v1</w:t>
      </w:r>
    </w:p>
    <w:p>
      <w:pPr>
        <w:spacing w:before="100" w:after="60"/>
      </w:pPr>
      <w:r>
        <w:rPr>
          <w:rFonts w:ascii="Times New Roman" w:hAnsi="Times New Roman" w:eastAsia="Microsoft YaHei"/>
          <w:b/>
          <w:i w:val="0"/>
          <w:sz w:val="24"/>
        </w:rPr>
        <w:t>Related work</w:t>
      </w:r>
    </w:p>
    <w:p>
      <w:pPr>
        <w:spacing w:line="269" w:lineRule="auto" w:after="80"/>
      </w:pPr>
      <w:r>
        <w:rPr>
          <w:rFonts w:ascii="Times New Roman" w:hAnsi="Times New Roman" w:eastAsia="Microsoft YaHei"/>
          <w:b w:val="0"/>
          <w:i w:val="0"/>
          <w:sz w:val="21"/>
        </w:rPr>
        <w:t>`MARS-FIELD` sits at the intersection of structure-guided protein design, evolutionary prior integration, retrieval-based structural memory, and learned controller-decoder systems. The most relevant prior work can be divided into four categories.</w:t>
      </w:r>
    </w:p>
    <w:p>
      <w:pPr>
        <w:spacing w:before="100" w:after="60"/>
      </w:pPr>
      <w:r>
        <w:rPr>
          <w:rFonts w:ascii="Times New Roman" w:hAnsi="Times New Roman" w:eastAsia="Microsoft YaHei"/>
          <w:b/>
          <w:i w:val="0"/>
          <w:sz w:val="21"/>
        </w:rPr>
        <w:t>Structure prediction and structure-conditioned sequence modeling</w:t>
      </w:r>
    </w:p>
    <w:p>
      <w:pPr>
        <w:spacing w:line="269" w:lineRule="auto" w:after="80"/>
      </w:pPr>
      <w:r>
        <w:rPr>
          <w:rFonts w:ascii="Times New Roman" w:hAnsi="Times New Roman" w:eastAsia="Microsoft YaHei"/>
          <w:b w:val="0"/>
          <w:i w:val="0"/>
          <w:sz w:val="21"/>
        </w:rPr>
        <w:t>Modern structure-aware protein modeling has been transformed by the success of large-scale structure prediction and inverse-folding systems. AlphaFold established that high-accuracy atomic structure prediction can be achieved at scale, thereby providing a structural substrate for downstream design workflows [1]. ProteinMPNN subsequently demonstrated the power of structure-conditioned sequence design, showing that neural inverse folding can generate high-quality sequences compatible with fixed backbones [2]. Related inverse-folding approaches, including large-scale learning from predicted structures, further expanded the scope of structure-conditioned sequence modeling [3]. These works strongly motivate the use of structure-conditioned information in design, but they do not by themselves define how heterogeneous engineering evidence should be unified when the design objective extends beyond structure compatibility alone.</w:t>
      </w:r>
    </w:p>
    <w:p>
      <w:pPr>
        <w:spacing w:before="100" w:after="60"/>
      </w:pPr>
      <w:r>
        <w:rPr>
          <w:rFonts w:ascii="Times New Roman" w:hAnsi="Times New Roman" w:eastAsia="Microsoft YaHei"/>
          <w:b/>
          <w:i w:val="0"/>
          <w:sz w:val="21"/>
        </w:rPr>
        <w:t>Retrieval-based structural comparison</w:t>
      </w:r>
    </w:p>
    <w:p>
      <w:pPr>
        <w:spacing w:line="269" w:lineRule="auto" w:after="80"/>
      </w:pPr>
      <w:r>
        <w:rPr>
          <w:rFonts w:ascii="Times New Roman" w:hAnsi="Times New Roman" w:eastAsia="Microsoft YaHei"/>
          <w:b w:val="0"/>
          <w:i w:val="0"/>
          <w:sz w:val="21"/>
        </w:rPr>
        <w:t>Foldseek and related fast structural-search methods made it possible to retrieve local or global structural analogues at large scale [5]. For protein engineering, this retrieval capacity is highly valuable because it provides access to motif-level or neighborhood-level structural memory. However, retrieval alone does not define how structural neighbors should be transformed into a learned design controller. In `MARS-FIELD`, retrieval is therefore not treated as a stand-alone search module, but as a retrieval-memory branch whose outputs enter a shared residue-field representation.</w:t>
      </w:r>
    </w:p>
    <w:p>
      <w:pPr>
        <w:spacing w:before="100" w:after="60"/>
      </w:pPr>
      <w:r>
        <w:rPr>
          <w:rFonts w:ascii="Times New Roman" w:hAnsi="Times New Roman" w:eastAsia="Microsoft YaHei"/>
          <w:b/>
          <w:i w:val="0"/>
          <w:sz w:val="21"/>
        </w:rPr>
        <w:t>Sequence-based protein representation learning</w:t>
      </w:r>
    </w:p>
    <w:p>
      <w:pPr>
        <w:spacing w:line="269" w:lineRule="auto" w:after="80"/>
      </w:pPr>
      <w:r>
        <w:rPr>
          <w:rFonts w:ascii="Times New Roman" w:hAnsi="Times New Roman" w:eastAsia="Microsoft YaHei"/>
          <w:b w:val="0"/>
          <w:i w:val="0"/>
          <w:sz w:val="21"/>
        </w:rPr>
        <w:t>Sequence-based deep representation learning has already shown that general protein embeddings can support rational engineering and transfer across functional contexts [6]. These approaches established that neural protein representations can capture useful evolutionary and biochemical regularities. However, many sequence-only approaches remain relatively weak at representing residue-level structural context, local pairwise couplings, or engineering-specific constraints such as oxidation hotspots and surface liabilities. `MARS-FIELD` differs by explicitly combining structural, evolutionary, ancestral, retrieval, and engineering context in a residue-level control framework.</w:t>
      </w:r>
    </w:p>
    <w:p>
      <w:pPr>
        <w:spacing w:before="100" w:after="60"/>
      </w:pPr>
      <w:r>
        <w:rPr>
          <w:rFonts w:ascii="Times New Roman" w:hAnsi="Times New Roman" w:eastAsia="Microsoft YaHei"/>
          <w:b/>
          <w:i w:val="0"/>
          <w:sz w:val="21"/>
        </w:rPr>
        <w:t>Ancestral sequence reconstruction and lineage-aware learning</w:t>
      </w:r>
    </w:p>
    <w:p>
      <w:pPr>
        <w:spacing w:line="269" w:lineRule="auto" w:after="80"/>
      </w:pPr>
      <w:r>
        <w:rPr>
          <w:rFonts w:ascii="Times New Roman" w:hAnsi="Times New Roman" w:eastAsia="Microsoft YaHei"/>
          <w:b w:val="0"/>
          <w:i w:val="0"/>
          <w:sz w:val="21"/>
        </w:rPr>
        <w:t>Ancestral sequence reconstruction has long been recognized as a powerful source of stability and functional insight in protein evolution and engineering [7]. More recently, ancestry has also been used as a learning signal in modern representation-learning frameworks [8]. These developments are especially relevant to `MARS-FIELD`, because the current controller includes an explicit ancestral-lineage branch and a lineage-memory mechanism rather than treating ASR as a one-off heuristic recommendation. This allows ancestry to contribute as a structured prior within the controller rather than as an isolated preprocessing artifact.</w:t>
      </w:r>
    </w:p>
    <w:p>
      <w:pPr>
        <w:spacing w:before="100" w:after="60"/>
      </w:pPr>
      <w:r>
        <w:rPr>
          <w:rFonts w:ascii="Times New Roman" w:hAnsi="Times New Roman" w:eastAsia="Microsoft YaHei"/>
          <w:b/>
          <w:i w:val="0"/>
          <w:sz w:val="24"/>
        </w:rPr>
        <w:t>Positioning of MARS-FIELD</w:t>
      </w:r>
    </w:p>
    <w:p>
      <w:pPr>
        <w:spacing w:line="269" w:lineRule="auto" w:after="80"/>
      </w:pPr>
      <w:r>
        <w:rPr>
          <w:rFonts w:ascii="Times New Roman" w:hAnsi="Times New Roman" w:eastAsia="Microsoft YaHei"/>
          <w:b w:val="0"/>
          <w:i w:val="0"/>
          <w:sz w:val="21"/>
        </w:rPr>
        <w:t>The present work differs from prior pipelines in one central way: it treats heterogeneous evidence as input to a shared residue-field controller rather than as a set of independent proposal or filtering tools. In that sense, `MARS-FIELD` is closer to an evidence-conditioned control system than to a conventional structure-plus-scoring pipeline.</w:t>
      </w:r>
    </w:p>
    <w:p>
      <w:pPr>
        <w:spacing w:line="269" w:lineRule="auto" w:after="80"/>
      </w:pPr>
      <w:r>
        <w:rPr>
          <w:rFonts w:ascii="Times New Roman" w:hAnsi="Times New Roman" w:eastAsia="Microsoft YaHei"/>
          <w:b w:val="0"/>
          <w:i w:val="0"/>
          <w:sz w:val="21"/>
        </w:rPr>
        <w:t>At the same time, we do not yet claim a fully joint protein design foundation model. The current implementation still uses staged supervision and a hybrid final policy. The contribution of `MARS-FIELD` is therefore not that it completes the final end-state of joint protein design, but that it demonstrates a credible intermediate architecture in which:</w:t>
      </w:r>
    </w:p>
    <w:p>
      <w:pPr>
        <w:pStyle w:val="ListBullet"/>
        <w:spacing w:line="259" w:lineRule="auto" w:after="40"/>
      </w:pPr>
      <w:r>
        <w:rPr>
          <w:rFonts w:ascii="Times New Roman" w:hAnsi="Times New Roman" w:eastAsia="Microsoft YaHei"/>
          <w:b w:val="0"/>
          <w:i w:val="0"/>
          <w:sz w:val="20"/>
        </w:rPr>
        <w:t>multi-modal evidence is unified in a shared residue field</w:t>
      </w:r>
    </w:p>
    <w:p>
      <w:pPr>
        <w:pStyle w:val="ListBullet"/>
        <w:spacing w:line="259" w:lineRule="auto" w:after="40"/>
      </w:pPr>
      <w:r>
        <w:rPr>
          <w:rFonts w:ascii="Times New Roman" w:hAnsi="Times New Roman" w:eastAsia="Microsoft YaHei"/>
          <w:b w:val="0"/>
          <w:i w:val="0"/>
          <w:sz w:val="20"/>
        </w:rPr>
        <w:t>a learned controller performs calibrated candidate selection</w:t>
      </w:r>
    </w:p>
    <w:p>
      <w:pPr>
        <w:pStyle w:val="ListBullet"/>
        <w:spacing w:line="259" w:lineRule="auto" w:after="40"/>
      </w:pPr>
      <w:r>
        <w:rPr>
          <w:rFonts w:ascii="Times New Roman" w:hAnsi="Times New Roman" w:eastAsia="Microsoft YaHei"/>
          <w:b w:val="0"/>
          <w:i w:val="0"/>
          <w:sz w:val="20"/>
        </w:rPr>
        <w:t>a decode-time neural branch is active in the benchmark-time main path</w:t>
      </w:r>
    </w:p>
    <w:p>
      <w:pPr>
        <w:pStyle w:val="ListBullet"/>
        <w:spacing w:line="259" w:lineRule="auto" w:after="40"/>
      </w:pPr>
      <w:r>
        <w:rPr>
          <w:rFonts w:ascii="Times New Roman" w:hAnsi="Times New Roman" w:eastAsia="Microsoft YaHei"/>
          <w:b w:val="0"/>
          <w:i w:val="0"/>
          <w:sz w:val="20"/>
        </w:rPr>
        <w:t>the resulting system remains broadly benchmark-stable</w:t>
      </w:r>
    </w:p>
    <w:p>
      <w:pPr>
        <w:spacing w:line="269" w:lineRule="auto" w:after="80"/>
      </w:pPr>
      <w:r>
        <w:rPr>
          <w:rFonts w:ascii="Times New Roman" w:hAnsi="Times New Roman" w:eastAsia="Microsoft YaHei"/>
          <w:b w:val="0"/>
          <w:i w:val="0"/>
          <w:sz w:val="21"/>
        </w:rPr>
        <w:t>This places `MARS-FIELD` as a bridge between traditional engineering stacks and future fully joint field-generator-decoder systems.</w:t>
      </w:r>
    </w:p>
    <w:p>
      <w:pPr>
        <w:spacing w:before="100" w:after="60"/>
      </w:pPr>
      <w:r>
        <w:rPr>
          <w:rFonts w:ascii="Times New Roman" w:hAnsi="Times New Roman" w:eastAsia="Microsoft YaHei"/>
          <w:b/>
          <w:i w:val="0"/>
          <w:sz w:val="24"/>
        </w:rPr>
        <w:t>Selected references</w:t>
      </w:r>
    </w:p>
    <w:p>
      <w:pPr>
        <w:pStyle w:val="ListNumber"/>
        <w:spacing w:line="259" w:lineRule="auto" w:after="40"/>
      </w:pPr>
      <w:r>
        <w:rPr>
          <w:rFonts w:ascii="Times New Roman" w:hAnsi="Times New Roman" w:eastAsia="Microsoft YaHei"/>
          <w:b w:val="0"/>
          <w:i w:val="0"/>
          <w:sz w:val="20"/>
        </w:rPr>
        <w:t>Jumper, J. et al. Highly accurate protein structure prediction with AlphaFold. *Nature* **596**, 583-589 (2021).</w:t>
      </w:r>
    </w:p>
    <w:p>
      <w:pPr>
        <w:pStyle w:val="ListNumber"/>
        <w:spacing w:line="259" w:lineRule="auto" w:after="40"/>
      </w:pPr>
      <w:r>
        <w:rPr>
          <w:rFonts w:ascii="Times New Roman" w:hAnsi="Times New Roman" w:eastAsia="Microsoft YaHei"/>
          <w:b w:val="0"/>
          <w:i w:val="0"/>
          <w:sz w:val="20"/>
        </w:rPr>
        <w:t>Dauparas, J. et al. Robust deep learning-based protein sequence design using ProteinMPNN. *Science* **378**, 49-56 (2022).</w:t>
      </w:r>
    </w:p>
    <w:p>
      <w:pPr>
        <w:pStyle w:val="ListNumber"/>
        <w:spacing w:line="259" w:lineRule="auto" w:after="40"/>
      </w:pPr>
      <w:r>
        <w:rPr>
          <w:rFonts w:ascii="Times New Roman" w:hAnsi="Times New Roman" w:eastAsia="Microsoft YaHei"/>
          <w:b w:val="0"/>
          <w:i w:val="0"/>
          <w:sz w:val="20"/>
        </w:rPr>
        <w:t>Hsu, C. et al. Learning inverse folding from millions of predicted structures. In *Proceedings of the 39th International Conference on Machine Learning*, PMLR 162, 8946-8970 (2022).</w:t>
      </w:r>
    </w:p>
    <w:p>
      <w:pPr>
        <w:pStyle w:val="ListNumber"/>
        <w:spacing w:line="259" w:lineRule="auto" w:after="40"/>
      </w:pPr>
      <w:r>
        <w:rPr>
          <w:rFonts w:ascii="Times New Roman" w:hAnsi="Times New Roman" w:eastAsia="Microsoft YaHei"/>
          <w:b w:val="0"/>
          <w:i w:val="0"/>
          <w:sz w:val="20"/>
        </w:rPr>
        <w:t>Lin, Z. et al. Evolutionary-scale prediction of atomic-level protein structure with a language model. *Science* **379**, 1123-1130 (2023).</w:t>
      </w:r>
    </w:p>
    <w:p>
      <w:pPr>
        <w:pStyle w:val="ListNumber"/>
        <w:spacing w:line="259" w:lineRule="auto" w:after="40"/>
      </w:pPr>
      <w:r>
        <w:rPr>
          <w:rFonts w:ascii="Times New Roman" w:hAnsi="Times New Roman" w:eastAsia="Microsoft YaHei"/>
          <w:b w:val="0"/>
          <w:i w:val="0"/>
          <w:sz w:val="20"/>
        </w:rPr>
        <w:t>van Kempen, M. et al. Fast and accurate protein structure search with Foldseek. *Nature Biotechnology* **42**, 243-246 (2024).</w:t>
      </w:r>
    </w:p>
    <w:p>
      <w:pPr>
        <w:pStyle w:val="ListNumber"/>
        <w:spacing w:line="259" w:lineRule="auto" w:after="40"/>
      </w:pPr>
      <w:r>
        <w:rPr>
          <w:rFonts w:ascii="Times New Roman" w:hAnsi="Times New Roman" w:eastAsia="Microsoft YaHei"/>
          <w:b w:val="0"/>
          <w:i w:val="0"/>
          <w:sz w:val="20"/>
        </w:rPr>
        <w:t>Alley, E. C. et al. Unified rational protein engineering with sequence-based deep representation learning. *Nature Methods* **16**, 1315-1322 (2019).</w:t>
      </w:r>
    </w:p>
    <w:p>
      <w:pPr>
        <w:pStyle w:val="ListNumber"/>
        <w:spacing w:line="259" w:lineRule="auto" w:after="40"/>
      </w:pPr>
      <w:r>
        <w:rPr>
          <w:rFonts w:ascii="Times New Roman" w:hAnsi="Times New Roman" w:eastAsia="Microsoft YaHei"/>
          <w:b w:val="0"/>
          <w:i w:val="0"/>
          <w:sz w:val="20"/>
        </w:rPr>
        <w:t>Chisholm, L. O. et al. Ancestral reconstruction and the evolution of protein energy landscapes. *Annual Review of Biophysics* **53**, 127-146 (2024).</w:t>
      </w:r>
    </w:p>
    <w:p>
      <w:pPr>
        <w:pStyle w:val="ListNumber"/>
        <w:spacing w:line="259" w:lineRule="auto" w:after="40"/>
      </w:pPr>
      <w:r>
        <w:rPr>
          <w:rFonts w:ascii="Times New Roman" w:hAnsi="Times New Roman" w:eastAsia="Microsoft YaHei"/>
          <w:b w:val="0"/>
          <w:i w:val="0"/>
          <w:sz w:val="20"/>
        </w:rPr>
        <w:t>Matthews, D. S. et al. Leveraging ancestral sequence reconstruction for protein representation learning. *Nature Machine Intelligence* **6**, 1542-1555 (2024).</w:t>
      </w:r>
    </w:p>
    <w:p>
      <w:pPr>
        <w:spacing w:before="160" w:after="60"/>
      </w:pPr>
      <w:r>
        <w:rPr>
          <w:rFonts w:ascii="Times New Roman" w:hAnsi="Times New Roman" w:eastAsia="Microsoft YaHei"/>
          <w:b/>
          <w:i w:val="0"/>
          <w:sz w:val="29"/>
        </w:rPr>
        <w:t>Methods</w:t>
      </w:r>
    </w:p>
    <w:p>
      <w:pPr>
        <w:spacing w:before="160" w:after="60"/>
      </w:pPr>
      <w:r>
        <w:rPr>
          <w:rFonts w:ascii="Times New Roman" w:hAnsi="Times New Roman" w:eastAsia="Microsoft YaHei"/>
          <w:b/>
          <w:i w:val="0"/>
          <w:sz w:val="29"/>
        </w:rPr>
        <w:t>MARS-FIELD Methods (Full Draft) v1</w:t>
      </w:r>
    </w:p>
    <w:p>
      <w:pPr>
        <w:spacing w:before="100" w:after="60"/>
      </w:pPr>
      <w:r>
        <w:rPr>
          <w:rFonts w:ascii="Times New Roman" w:hAnsi="Times New Roman" w:eastAsia="Microsoft YaHei"/>
          <w:b/>
          <w:i w:val="0"/>
          <w:sz w:val="24"/>
        </w:rPr>
        <w:t>Overview</w:t>
      </w:r>
    </w:p>
    <w:p>
      <w:pPr>
        <w:spacing w:line="269" w:lineRule="auto" w:after="80"/>
      </w:pPr>
      <w:r>
        <w:rPr>
          <w:rFonts w:ascii="Times New Roman" w:hAnsi="Times New Roman" w:eastAsia="Microsoft YaHei"/>
          <w:b w:val="0"/>
          <w:i w:val="0"/>
          <w:sz w:val="21"/>
        </w:rPr>
        <w:t>`MARS-FIELD` is formulated as a unified evidence-to-sequence controller for protein engineering. Rather than combining independent proposal engines and hand-tuned post hoc heuristics, the method projects heterogeneous evidence streams into a shared residue field over the design positions, then uses a neural controller and a constrained decoder to rank incumbent candidates and generate new ones under engineering constraints.</w:t>
      </w:r>
    </w:p>
    <w:p>
      <w:pPr>
        <w:spacing w:line="269" w:lineRule="auto" w:after="80"/>
      </w:pPr>
      <w:r>
        <w:rPr>
          <w:rFonts w:ascii="Times New Roman" w:hAnsi="Times New Roman" w:eastAsia="Microsoft YaHei"/>
          <w:b w:val="0"/>
          <w:i w:val="0"/>
          <w:sz w:val="21"/>
        </w:rPr>
        <w:t>At the current stage, the method has three interacting layers:</w:t>
      </w:r>
    </w:p>
    <w:p>
      <w:pPr>
        <w:pStyle w:val="ListNumber"/>
        <w:spacing w:line="259" w:lineRule="auto" w:after="40"/>
      </w:pPr>
      <w:r>
        <w:rPr>
          <w:rFonts w:ascii="Times New Roman" w:hAnsi="Times New Roman" w:eastAsia="Microsoft YaHei"/>
          <w:b w:val="0"/>
          <w:i w:val="0"/>
          <w:sz w:val="20"/>
        </w:rPr>
        <w:t>multi-modal evidence construction</w:t>
      </w:r>
    </w:p>
    <w:p>
      <w:pPr>
        <w:pStyle w:val="ListNumber"/>
        <w:spacing w:line="259" w:lineRule="auto" w:after="40"/>
      </w:pPr>
      <w:r>
        <w:rPr>
          <w:rFonts w:ascii="Times New Roman" w:hAnsi="Times New Roman" w:eastAsia="Microsoft YaHei"/>
          <w:b w:val="0"/>
          <w:i w:val="0"/>
          <w:sz w:val="20"/>
        </w:rPr>
        <w:t>shared residue-field construction</w:t>
      </w:r>
    </w:p>
    <w:p>
      <w:pPr>
        <w:pStyle w:val="ListNumber"/>
        <w:spacing w:line="259" w:lineRule="auto" w:after="40"/>
      </w:pPr>
      <w:r>
        <w:rPr>
          <w:rFonts w:ascii="Times New Roman" w:hAnsi="Times New Roman" w:eastAsia="Microsoft YaHei"/>
          <w:b w:val="0"/>
          <w:i w:val="0"/>
          <w:sz w:val="20"/>
        </w:rPr>
        <w:t>controller-decoder inference and calibrated selection</w:t>
      </w:r>
    </w:p>
    <w:p>
      <w:pPr>
        <w:spacing w:line="269" w:lineRule="auto" w:after="80"/>
      </w:pPr>
      <w:r>
        <w:rPr>
          <w:rFonts w:ascii="Times New Roman" w:hAnsi="Times New Roman" w:eastAsia="Microsoft YaHei"/>
          <w:b w:val="0"/>
          <w:i w:val="0"/>
          <w:sz w:val="21"/>
        </w:rPr>
        <w:t>The present implementation is not yet a fully jointly optimized proposal-generator / field / decoder system. However, the benchmark-time main path now includes both a learned neural controller and a decode-time neural field generator, making the current system meaningfully closer to an end-to-end controller-decoder architecture than to a simple candidate reranker.</w:t>
      </w:r>
    </w:p>
    <w:p>
      <w:pPr>
        <w:spacing w:before="100" w:after="60"/>
      </w:pPr>
      <w:r>
        <w:rPr>
          <w:rFonts w:ascii="Times New Roman" w:hAnsi="Times New Roman" w:eastAsia="Microsoft YaHei"/>
          <w:b/>
          <w:i w:val="0"/>
          <w:sz w:val="24"/>
        </w:rPr>
        <w:t>Benchmark panel and target curation</w:t>
      </w:r>
    </w:p>
    <w:p>
      <w:pPr>
        <w:spacing w:line="269" w:lineRule="auto" w:after="80"/>
      </w:pPr>
      <w:r>
        <w:rPr>
          <w:rFonts w:ascii="Times New Roman" w:hAnsi="Times New Roman" w:eastAsia="Microsoft YaHei"/>
          <w:b w:val="0"/>
          <w:i w:val="0"/>
          <w:sz w:val="21"/>
        </w:rPr>
        <w:t>The main benchmark consists of twelve targets spanning ten protein families. Each target is defined by a local design window, a fixed wild-type structure, a wild-type sequence, a set of protected positions, and optional evolutionary, family, ancestral, or environmental prior files. The targets are instantiated through per-target YAML configuration files, and benchmark execution is driven by benchmark-level YAML manifests.</w:t>
      </w:r>
    </w:p>
    <w:p>
      <w:pPr>
        <w:spacing w:line="269" w:lineRule="auto" w:after="80"/>
      </w:pPr>
      <w:r>
        <w:rPr>
          <w:rFonts w:ascii="Times New Roman" w:hAnsi="Times New Roman" w:eastAsia="Microsoft YaHei"/>
          <w:b w:val="0"/>
          <w:i w:val="0"/>
          <w:sz w:val="21"/>
        </w:rPr>
        <w:t>The benchmark panel includes:</w:t>
      </w:r>
    </w:p>
    <w:p>
      <w:pPr>
        <w:pStyle w:val="ListBullet"/>
        <w:spacing w:line="259" w:lineRule="auto" w:after="40"/>
      </w:pPr>
      <w:r>
        <w:rPr>
          <w:rFonts w:ascii="Times New Roman" w:hAnsi="Times New Roman" w:eastAsia="Microsoft YaHei"/>
          <w:b w:val="0"/>
          <w:i w:val="0"/>
          <w:sz w:val="20"/>
        </w:rPr>
        <w:t>`1LBT` (`lipase_b`)</w:t>
      </w:r>
    </w:p>
    <w:p>
      <w:pPr>
        <w:pStyle w:val="ListBullet"/>
        <w:spacing w:line="259" w:lineRule="auto" w:after="40"/>
      </w:pPr>
      <w:r>
        <w:rPr>
          <w:rFonts w:ascii="Times New Roman" w:hAnsi="Times New Roman" w:eastAsia="Microsoft YaHei"/>
          <w:b w:val="0"/>
          <w:i w:val="0"/>
          <w:sz w:val="20"/>
        </w:rPr>
        <w:t>`tem1_1btl` (`beta_lactamase`)</w:t>
      </w:r>
    </w:p>
    <w:p>
      <w:pPr>
        <w:pStyle w:val="ListBullet"/>
        <w:spacing w:line="259" w:lineRule="auto" w:after="40"/>
      </w:pPr>
      <w:r>
        <w:rPr>
          <w:rFonts w:ascii="Times New Roman" w:hAnsi="Times New Roman" w:eastAsia="Microsoft YaHei"/>
          <w:b w:val="0"/>
          <w:i w:val="0"/>
          <w:sz w:val="20"/>
        </w:rPr>
        <w:t>`petase_5xfy` and `petase_5xh3` (`cutinase`)</w:t>
      </w:r>
    </w:p>
    <w:p>
      <w:pPr>
        <w:pStyle w:val="ListBullet"/>
        <w:spacing w:line="259" w:lineRule="auto" w:after="40"/>
      </w:pPr>
      <w:r>
        <w:rPr>
          <w:rFonts w:ascii="Times New Roman" w:hAnsi="Times New Roman" w:eastAsia="Microsoft YaHei"/>
          <w:b w:val="0"/>
          <w:i w:val="0"/>
          <w:sz w:val="20"/>
        </w:rPr>
        <w:t>`sfgfp_2b3p` (`gfp_like`)</w:t>
      </w:r>
    </w:p>
    <w:p>
      <w:pPr>
        <w:pStyle w:val="ListBullet"/>
        <w:spacing w:line="259" w:lineRule="auto" w:after="40"/>
      </w:pPr>
      <w:r>
        <w:rPr>
          <w:rFonts w:ascii="Times New Roman" w:hAnsi="Times New Roman" w:eastAsia="Microsoft YaHei"/>
          <w:b w:val="0"/>
          <w:i w:val="0"/>
          <w:sz w:val="20"/>
        </w:rPr>
        <w:t>`t4l_171l` (`lysozyme`)</w:t>
      </w:r>
    </w:p>
    <w:p>
      <w:pPr>
        <w:pStyle w:val="ListBullet"/>
        <w:spacing w:line="259" w:lineRule="auto" w:after="40"/>
      </w:pPr>
      <w:r>
        <w:rPr>
          <w:rFonts w:ascii="Times New Roman" w:hAnsi="Times New Roman" w:eastAsia="Microsoft YaHei"/>
          <w:b w:val="0"/>
          <w:i w:val="0"/>
          <w:sz w:val="20"/>
        </w:rPr>
        <w:t>`subtilisin_2st1` (`subtilisin`)</w:t>
      </w:r>
    </w:p>
    <w:p>
      <w:pPr>
        <w:pStyle w:val="ListBullet"/>
        <w:spacing w:line="259" w:lineRule="auto" w:after="40"/>
      </w:pPr>
      <w:r>
        <w:rPr>
          <w:rFonts w:ascii="Times New Roman" w:hAnsi="Times New Roman" w:eastAsia="Microsoft YaHei"/>
          <w:b w:val="0"/>
          <w:i w:val="0"/>
          <w:sz w:val="20"/>
        </w:rPr>
        <w:t>`adk_1s3g` (`adenylate_kinase`)</w:t>
      </w:r>
    </w:p>
    <w:p>
      <w:pPr>
        <w:pStyle w:val="ListBullet"/>
        <w:spacing w:line="259" w:lineRule="auto" w:after="40"/>
      </w:pPr>
      <w:r>
        <w:rPr>
          <w:rFonts w:ascii="Times New Roman" w:hAnsi="Times New Roman" w:eastAsia="Microsoft YaHei"/>
          <w:b w:val="0"/>
          <w:i w:val="0"/>
          <w:sz w:val="20"/>
        </w:rPr>
        <w:t>`esterase_7b4q` (`lipase_esterase`)</w:t>
      </w:r>
    </w:p>
    <w:p>
      <w:pPr>
        <w:pStyle w:val="ListBullet"/>
        <w:spacing w:line="259" w:lineRule="auto" w:after="40"/>
      </w:pPr>
      <w:r>
        <w:rPr>
          <w:rFonts w:ascii="Times New Roman" w:hAnsi="Times New Roman" w:eastAsia="Microsoft YaHei"/>
          <w:b w:val="0"/>
          <w:i w:val="0"/>
          <w:sz w:val="20"/>
        </w:rPr>
        <w:t>`sod_1y67` (`superoxide_dismutase`)</w:t>
      </w:r>
    </w:p>
    <w:p>
      <w:pPr>
        <w:pStyle w:val="ListBullet"/>
        <w:spacing w:line="259" w:lineRule="auto" w:after="40"/>
      </w:pPr>
      <w:r>
        <w:rPr>
          <w:rFonts w:ascii="Times New Roman" w:hAnsi="Times New Roman" w:eastAsia="Microsoft YaHei"/>
          <w:b w:val="0"/>
          <w:i w:val="0"/>
          <w:sz w:val="20"/>
        </w:rPr>
        <w:t>`CLD_3Q09_NOTOPIC` and `CLD_3Q09_TOPIC` (`cld`)</w:t>
      </w:r>
    </w:p>
    <w:p>
      <w:pPr>
        <w:spacing w:line="269" w:lineRule="auto" w:after="80"/>
      </w:pPr>
      <w:r>
        <w:rPr>
          <w:rFonts w:ascii="Times New Roman" w:hAnsi="Times New Roman" w:eastAsia="Microsoft YaHei"/>
          <w:b w:val="0"/>
          <w:i w:val="0"/>
          <w:sz w:val="21"/>
        </w:rPr>
        <w:t>Three targets use family priors (`adk_1s3g`, `esterase_7b4q`, `sod_1y67`), two use ancestral priors (`CLD_3Q09_NOTOPIC`, `CLD_3Q09_TOPIC`), and template-aware weighting is enabled for all twelve targets in the final benchmark path.</w:t>
      </w:r>
    </w:p>
    <w:p>
      <w:pPr>
        <w:spacing w:line="269" w:lineRule="auto" w:after="80"/>
      </w:pPr>
      <w:r>
        <w:rPr>
          <w:rFonts w:ascii="Times New Roman" w:hAnsi="Times New Roman" w:eastAsia="Microsoft YaHei"/>
          <w:b w:val="0"/>
          <w:i w:val="0"/>
          <w:sz w:val="21"/>
        </w:rPr>
        <w:t>All neural training used in the benchmark is leave-one-target-out at the target level. For a held-out target `t`, the neural controller and neural field generator are trained using the remaining benchmark targets and are then applied to `t`.</w:t>
      </w:r>
    </w:p>
    <w:p>
      <w:pPr>
        <w:spacing w:before="100" w:after="60"/>
      </w:pPr>
      <w:r>
        <w:rPr>
          <w:rFonts w:ascii="Times New Roman" w:hAnsi="Times New Roman" w:eastAsia="Microsoft YaHei"/>
          <w:b/>
          <w:i w:val="0"/>
          <w:sz w:val="24"/>
        </w:rPr>
        <w:t>Structural feature extraction and design-window definition</w:t>
      </w:r>
    </w:p>
    <w:p>
      <w:pPr>
        <w:spacing w:line="269" w:lineRule="auto" w:after="80"/>
      </w:pPr>
      <w:r>
        <w:rPr>
          <w:rFonts w:ascii="Times New Roman" w:hAnsi="Times New Roman" w:eastAsia="Microsoft YaHei"/>
          <w:b w:val="0"/>
          <w:i w:val="0"/>
          <w:sz w:val="21"/>
        </w:rPr>
        <w:t>Each target begins with a structure-processing step that extracts per-residue geometric and engineering features from the input structure. These include:</w:t>
      </w:r>
    </w:p>
    <w:p>
      <w:pPr>
        <w:pStyle w:val="ListBullet"/>
        <w:spacing w:line="259" w:lineRule="auto" w:after="40"/>
      </w:pPr>
      <w:r>
        <w:rPr>
          <w:rFonts w:ascii="Times New Roman" w:hAnsi="Times New Roman" w:eastAsia="Microsoft YaHei"/>
          <w:b w:val="0"/>
          <w:i w:val="0"/>
          <w:sz w:val="20"/>
        </w:rPr>
        <w:t>solvent-accessible surface area</w:t>
      </w:r>
    </w:p>
    <w:p>
      <w:pPr>
        <w:pStyle w:val="ListBullet"/>
        <w:spacing w:line="259" w:lineRule="auto" w:after="40"/>
      </w:pPr>
      <w:r>
        <w:rPr>
          <w:rFonts w:ascii="Times New Roman" w:hAnsi="Times New Roman" w:eastAsia="Microsoft YaHei"/>
          <w:b w:val="0"/>
          <w:i w:val="0"/>
          <w:sz w:val="20"/>
        </w:rPr>
        <w:t>mean B-factor or equivalent local flexibility proxy</w:t>
      </w:r>
    </w:p>
    <w:p>
      <w:pPr>
        <w:pStyle w:val="ListBullet"/>
        <w:spacing w:line="259" w:lineRule="auto" w:after="40"/>
      </w:pPr>
      <w:r>
        <w:rPr>
          <w:rFonts w:ascii="Times New Roman" w:hAnsi="Times New Roman" w:eastAsia="Microsoft YaHei"/>
          <w:b w:val="0"/>
          <w:i w:val="0"/>
          <w:sz w:val="20"/>
        </w:rPr>
        <w:t>minimum distance to protected positions</w:t>
      </w:r>
    </w:p>
    <w:p>
      <w:pPr>
        <w:pStyle w:val="ListBullet"/>
        <w:spacing w:line="259" w:lineRule="auto" w:after="40"/>
      </w:pPr>
      <w:r>
        <w:rPr>
          <w:rFonts w:ascii="Times New Roman" w:hAnsi="Times New Roman" w:eastAsia="Microsoft YaHei"/>
          <w:b w:val="0"/>
          <w:i w:val="0"/>
          <w:sz w:val="20"/>
        </w:rPr>
        <w:t>disulfide participation</w:t>
      </w:r>
    </w:p>
    <w:p>
      <w:pPr>
        <w:pStyle w:val="ListBullet"/>
        <w:spacing w:line="259" w:lineRule="auto" w:after="40"/>
      </w:pPr>
      <w:r>
        <w:rPr>
          <w:rFonts w:ascii="Times New Roman" w:hAnsi="Times New Roman" w:eastAsia="Microsoft YaHei"/>
          <w:b w:val="0"/>
          <w:i w:val="0"/>
          <w:sz w:val="20"/>
        </w:rPr>
        <w:t>glycosylation motif membership</w:t>
      </w:r>
    </w:p>
    <w:p>
      <w:pPr>
        <w:spacing w:line="269" w:lineRule="auto" w:after="80"/>
      </w:pPr>
      <w:r>
        <w:rPr>
          <w:rFonts w:ascii="Times New Roman" w:hAnsi="Times New Roman" w:eastAsia="Microsoft YaHei"/>
          <w:b w:val="0"/>
          <w:i w:val="0"/>
          <w:sz w:val="21"/>
        </w:rPr>
        <w:t>Two engineering-relevant structural masks are then derived:</w:t>
      </w:r>
    </w:p>
    <w:p>
      <w:pPr>
        <w:pStyle w:val="ListBullet"/>
        <w:spacing w:line="259" w:lineRule="auto" w:after="40"/>
      </w:pPr>
      <w:r>
        <w:rPr>
          <w:rFonts w:ascii="Times New Roman" w:hAnsi="Times New Roman" w:eastAsia="Microsoft YaHei"/>
          <w:b w:val="0"/>
          <w:i w:val="0"/>
          <w:sz w:val="20"/>
        </w:rPr>
        <w:t>oxidation hotspots</w:t>
      </w:r>
    </w:p>
    <w:p>
      <w:pPr>
        <w:pStyle w:val="ListBullet"/>
        <w:spacing w:line="259" w:lineRule="auto" w:after="40"/>
      </w:pPr>
      <w:r>
        <w:rPr>
          <w:rFonts w:ascii="Times New Roman" w:hAnsi="Times New Roman" w:eastAsia="Microsoft YaHei"/>
          <w:b w:val="0"/>
          <w:i w:val="0"/>
          <w:sz w:val="20"/>
        </w:rPr>
        <w:t>flexible surface positions</w:t>
      </w:r>
    </w:p>
    <w:p>
      <w:pPr>
        <w:spacing w:line="269" w:lineRule="auto" w:after="80"/>
      </w:pPr>
      <w:r>
        <w:rPr>
          <w:rFonts w:ascii="Times New Roman" w:hAnsi="Times New Roman" w:eastAsia="Microsoft YaHei"/>
          <w:b w:val="0"/>
          <w:i w:val="0"/>
          <w:sz w:val="21"/>
        </w:rPr>
        <w:t>Oxidation hotspots are detected using structure-derived exposure and protected-distance thresholds together with residue-type sensitivity. Flexible surface positions are detected using exposure-driven heuristics, and are subsequently merged with explicitly designable positions when required by the target configuration.</w:t>
      </w:r>
    </w:p>
    <w:p>
      <w:pPr>
        <w:spacing w:line="269" w:lineRule="auto" w:after="80"/>
      </w:pPr>
      <w:r>
        <w:rPr>
          <w:rFonts w:ascii="Times New Roman" w:hAnsi="Times New Roman" w:eastAsia="Microsoft YaHei"/>
          <w:b w:val="0"/>
          <w:i w:val="0"/>
          <w:sz w:val="21"/>
        </w:rPr>
        <w:t>The design window is specified as the set of mutable positions declared in the target configuration. The final structure bundle therefore contains:</w:t>
      </w:r>
    </w:p>
    <w:p>
      <w:pPr>
        <w:pStyle w:val="ListBullet"/>
        <w:spacing w:line="259" w:lineRule="auto" w:after="40"/>
      </w:pPr>
      <w:r>
        <w:rPr>
          <w:rFonts w:ascii="Times New Roman" w:hAnsi="Times New Roman" w:eastAsia="Microsoft YaHei"/>
          <w:b w:val="0"/>
          <w:i w:val="0"/>
          <w:sz w:val="20"/>
        </w:rPr>
        <w:t>wild-type sequence</w:t>
      </w:r>
    </w:p>
    <w:p>
      <w:pPr>
        <w:pStyle w:val="ListBullet"/>
        <w:spacing w:line="259" w:lineRule="auto" w:after="40"/>
      </w:pPr>
      <w:r>
        <w:rPr>
          <w:rFonts w:ascii="Times New Roman" w:hAnsi="Times New Roman" w:eastAsia="Microsoft YaHei"/>
          <w:b w:val="0"/>
          <w:i w:val="0"/>
          <w:sz w:val="20"/>
        </w:rPr>
        <w:t>design positions</w:t>
      </w:r>
    </w:p>
    <w:p>
      <w:pPr>
        <w:pStyle w:val="ListBullet"/>
        <w:spacing w:line="259" w:lineRule="auto" w:after="40"/>
      </w:pPr>
      <w:r>
        <w:rPr>
          <w:rFonts w:ascii="Times New Roman" w:hAnsi="Times New Roman" w:eastAsia="Microsoft YaHei"/>
          <w:b w:val="0"/>
          <w:i w:val="0"/>
          <w:sz w:val="20"/>
        </w:rPr>
        <w:t>protected positions</w:t>
      </w:r>
    </w:p>
    <w:p>
      <w:pPr>
        <w:pStyle w:val="ListBullet"/>
        <w:spacing w:line="259" w:lineRule="auto" w:after="40"/>
      </w:pPr>
      <w:r>
        <w:rPr>
          <w:rFonts w:ascii="Times New Roman" w:hAnsi="Times New Roman" w:eastAsia="Microsoft YaHei"/>
          <w:b w:val="0"/>
          <w:i w:val="0"/>
          <w:sz w:val="20"/>
        </w:rPr>
        <w:t>structural feature table</w:t>
      </w:r>
    </w:p>
    <w:p>
      <w:pPr>
        <w:pStyle w:val="ListBullet"/>
        <w:spacing w:line="259" w:lineRule="auto" w:after="40"/>
      </w:pPr>
      <w:r>
        <w:rPr>
          <w:rFonts w:ascii="Times New Roman" w:hAnsi="Times New Roman" w:eastAsia="Microsoft YaHei"/>
          <w:b w:val="0"/>
          <w:i w:val="0"/>
          <w:sz w:val="20"/>
        </w:rPr>
        <w:t>oxidation-hotspot set</w:t>
      </w:r>
    </w:p>
    <w:p>
      <w:pPr>
        <w:pStyle w:val="ListBullet"/>
        <w:spacing w:line="259" w:lineRule="auto" w:after="40"/>
      </w:pPr>
      <w:r>
        <w:rPr>
          <w:rFonts w:ascii="Times New Roman" w:hAnsi="Times New Roman" w:eastAsia="Microsoft YaHei"/>
          <w:b w:val="0"/>
          <w:i w:val="0"/>
          <w:sz w:val="20"/>
        </w:rPr>
        <w:t>flexible-surface set</w:t>
      </w:r>
    </w:p>
    <w:p>
      <w:pPr>
        <w:spacing w:before="100" w:after="60"/>
      </w:pPr>
      <w:r>
        <w:rPr>
          <w:rFonts w:ascii="Times New Roman" w:hAnsi="Times New Roman" w:eastAsia="Microsoft YaHei"/>
          <w:b/>
          <w:i w:val="0"/>
          <w:sz w:val="24"/>
        </w:rPr>
        <w:t>Phylogenetic and family priors</w:t>
      </w:r>
    </w:p>
    <w:p>
      <w:pPr>
        <w:spacing w:line="269" w:lineRule="auto" w:after="80"/>
      </w:pPr>
      <w:r>
        <w:rPr>
          <w:rFonts w:ascii="Times New Roman" w:hAnsi="Times New Roman" w:eastAsia="Microsoft YaHei"/>
          <w:b w:val="0"/>
          <w:i w:val="0"/>
          <w:sz w:val="21"/>
        </w:rPr>
        <w:t>The phylogenetic branch uses homolog or family-aligned sequence sets to construct residue-level priors over the design positions. The current implementation supports:</w:t>
      </w:r>
    </w:p>
    <w:p>
      <w:pPr>
        <w:pStyle w:val="ListBullet"/>
        <w:spacing w:line="259" w:lineRule="auto" w:after="40"/>
      </w:pPr>
      <w:r>
        <w:rPr>
          <w:rFonts w:ascii="Times New Roman" w:hAnsi="Times New Roman" w:eastAsia="Microsoft YaHei"/>
          <w:b w:val="0"/>
          <w:i w:val="0"/>
          <w:sz w:val="20"/>
        </w:rPr>
        <w:t>homolog profile priors</w:t>
      </w:r>
    </w:p>
    <w:p>
      <w:pPr>
        <w:pStyle w:val="ListBullet"/>
        <w:spacing w:line="259" w:lineRule="auto" w:after="40"/>
      </w:pPr>
      <w:r>
        <w:rPr>
          <w:rFonts w:ascii="Times New Roman" w:hAnsi="Times New Roman" w:eastAsia="Microsoft YaHei"/>
          <w:b w:val="0"/>
          <w:i w:val="0"/>
          <w:sz w:val="20"/>
        </w:rPr>
        <w:t>family differential priors</w:t>
      </w:r>
    </w:p>
    <w:p>
      <w:pPr>
        <w:pStyle w:val="ListBullet"/>
        <w:spacing w:line="259" w:lineRule="auto" w:after="40"/>
      </w:pPr>
      <w:r>
        <w:rPr>
          <w:rFonts w:ascii="Times New Roman" w:hAnsi="Times New Roman" w:eastAsia="Microsoft YaHei"/>
          <w:b w:val="0"/>
          <w:i w:val="0"/>
          <w:sz w:val="20"/>
        </w:rPr>
        <w:t>template-aware weighting</w:t>
      </w:r>
    </w:p>
    <w:p>
      <w:pPr>
        <w:spacing w:line="269" w:lineRule="auto" w:after="80"/>
      </w:pPr>
      <w:r>
        <w:rPr>
          <w:rFonts w:ascii="Times New Roman" w:hAnsi="Times New Roman" w:eastAsia="Microsoft YaHei"/>
          <w:b w:val="0"/>
          <w:i w:val="0"/>
          <w:sz w:val="21"/>
        </w:rPr>
        <w:t>For each design position `i`, the homolog profile defines a residue distribution over the amino-acid alphabet. Family differential priors provide branch- or family-specific enrichment relative to a reference sequence population. Template-aware weighting modulates the importance of evolutionary support according to structural context, allowing the system to reweight profile evidence when local structural conditions justify stronger or weaker prior influence.</w:t>
      </w:r>
    </w:p>
    <w:p>
      <w:pPr>
        <w:spacing w:line="269" w:lineRule="auto" w:after="80"/>
      </w:pPr>
      <w:r>
        <w:rPr>
          <w:rFonts w:ascii="Times New Roman" w:hAnsi="Times New Roman" w:eastAsia="Microsoft YaHei"/>
          <w:b w:val="0"/>
          <w:i w:val="0"/>
          <w:sz w:val="21"/>
        </w:rPr>
        <w:t>These components are represented both as explicit evidence terms in the engineering field and as inputs to the neural controller. In the current neural batch representation, evolutionary inputs include residue-level profile mass and family-differential support encoded as a per-position vector.</w:t>
      </w:r>
    </w:p>
    <w:p>
      <w:pPr>
        <w:spacing w:before="100" w:after="60"/>
      </w:pPr>
      <w:r>
        <w:rPr>
          <w:rFonts w:ascii="Times New Roman" w:hAnsi="Times New Roman" w:eastAsia="Microsoft YaHei"/>
          <w:b/>
          <w:i w:val="0"/>
          <w:sz w:val="24"/>
        </w:rPr>
        <w:t>Ancestral lineage field</w:t>
      </w:r>
    </w:p>
    <w:p>
      <w:pPr>
        <w:spacing w:line="269" w:lineRule="auto" w:after="80"/>
      </w:pPr>
      <w:r>
        <w:rPr>
          <w:rFonts w:ascii="Times New Roman" w:hAnsi="Times New Roman" w:eastAsia="Microsoft YaHei"/>
          <w:b w:val="0"/>
          <w:i w:val="0"/>
          <w:sz w:val="21"/>
        </w:rPr>
        <w:t>The ancestral lineage branch converts ancestral sequence reconstruction outputs into a position-wise ancestral field. For each design position `i`, the ancestral representation may include:</w:t>
      </w:r>
    </w:p>
    <w:p>
      <w:pPr>
        <w:pStyle w:val="ListBullet"/>
        <w:spacing w:line="259" w:lineRule="auto" w:after="40"/>
      </w:pPr>
      <w:r>
        <w:rPr>
          <w:rFonts w:ascii="Times New Roman" w:hAnsi="Times New Roman" w:eastAsia="Microsoft YaHei"/>
          <w:b w:val="0"/>
          <w:i w:val="0"/>
          <w:sz w:val="20"/>
        </w:rPr>
        <w:t>posterior residue distribution</w:t>
      </w:r>
    </w:p>
    <w:p>
      <w:pPr>
        <w:pStyle w:val="ListBullet"/>
        <w:spacing w:line="259" w:lineRule="auto" w:after="40"/>
      </w:pPr>
      <w:r>
        <w:rPr>
          <w:rFonts w:ascii="Times New Roman" w:hAnsi="Times New Roman" w:eastAsia="Microsoft YaHei"/>
          <w:b w:val="0"/>
          <w:i w:val="0"/>
          <w:sz w:val="20"/>
        </w:rPr>
        <w:t>posterior confidence</w:t>
      </w:r>
    </w:p>
    <w:p>
      <w:pPr>
        <w:pStyle w:val="ListBullet"/>
        <w:spacing w:line="259" w:lineRule="auto" w:after="40"/>
      </w:pPr>
      <w:r>
        <w:rPr>
          <w:rFonts w:ascii="Times New Roman" w:hAnsi="Times New Roman" w:eastAsia="Microsoft YaHei"/>
          <w:b w:val="0"/>
          <w:i w:val="0"/>
          <w:sz w:val="20"/>
        </w:rPr>
        <w:t>posterior entropy</w:t>
      </w:r>
    </w:p>
    <w:p>
      <w:pPr>
        <w:pStyle w:val="ListBullet"/>
        <w:spacing w:line="259" w:lineRule="auto" w:after="40"/>
      </w:pPr>
      <w:r>
        <w:rPr>
          <w:rFonts w:ascii="Times New Roman" w:hAnsi="Times New Roman" w:eastAsia="Microsoft YaHei"/>
          <w:b w:val="0"/>
          <w:i w:val="0"/>
          <w:sz w:val="20"/>
        </w:rPr>
        <w:t>recommendation mass</w:t>
      </w:r>
    </w:p>
    <w:p>
      <w:pPr>
        <w:pStyle w:val="ListBullet"/>
        <w:spacing w:line="259" w:lineRule="auto" w:after="40"/>
      </w:pPr>
      <w:r>
        <w:rPr>
          <w:rFonts w:ascii="Times New Roman" w:hAnsi="Times New Roman" w:eastAsia="Microsoft YaHei"/>
          <w:b w:val="0"/>
          <w:i w:val="0"/>
          <w:sz w:val="20"/>
        </w:rPr>
        <w:t>maximum recommendation support</w:t>
      </w:r>
    </w:p>
    <w:p>
      <w:pPr>
        <w:spacing w:line="269" w:lineRule="auto" w:after="80"/>
      </w:pPr>
      <w:r>
        <w:rPr>
          <w:rFonts w:ascii="Times New Roman" w:hAnsi="Times New Roman" w:eastAsia="Microsoft YaHei"/>
          <w:b w:val="0"/>
          <w:i w:val="0"/>
          <w:sz w:val="21"/>
        </w:rPr>
        <w:t>This branch is important because it injects lineage-derived probability structure into the residue field rather than treating ASR as a one-off hard prior. In the engineering field, ancestry contributes position-wise residue recommendations. In the neural controller, ancestry is represented as a dedicated branch whose latent site embeddings are fused with a learned lineage-memory bank.</w:t>
      </w:r>
    </w:p>
    <w:p>
      <w:pPr>
        <w:spacing w:line="269" w:lineRule="auto" w:after="80"/>
      </w:pPr>
      <w:r>
        <w:rPr>
          <w:rFonts w:ascii="Times New Roman" w:hAnsi="Times New Roman" w:eastAsia="Microsoft YaHei"/>
          <w:b w:val="0"/>
          <w:i w:val="0"/>
          <w:sz w:val="21"/>
        </w:rPr>
        <w:t>Formally, if `p_anc(i, a)` is the ancestral posterior over amino acid `a` at site `i`, then ancestry contributes to both:</w:t>
      </w:r>
    </w:p>
    <w:p>
      <w:pPr>
        <w:pStyle w:val="ListBullet"/>
        <w:spacing w:line="259" w:lineRule="auto" w:after="40"/>
      </w:pPr>
      <w:r>
        <w:rPr>
          <w:rFonts w:ascii="Times New Roman" w:hAnsi="Times New Roman" w:eastAsia="Microsoft YaHei"/>
          <w:b w:val="0"/>
          <w:i w:val="0"/>
          <w:sz w:val="20"/>
        </w:rPr>
        <w:t>explicit residue support in the engineering field</w:t>
      </w:r>
    </w:p>
    <w:p>
      <w:pPr>
        <w:pStyle w:val="ListBullet"/>
        <w:spacing w:line="259" w:lineRule="auto" w:after="40"/>
      </w:pPr>
      <w:r>
        <w:rPr>
          <w:rFonts w:ascii="Times New Roman" w:hAnsi="Times New Roman" w:eastAsia="Microsoft YaHei"/>
          <w:b w:val="0"/>
          <w:i w:val="0"/>
          <w:sz w:val="20"/>
        </w:rPr>
        <w:t>latent ancestry branch input in the neural field</w:t>
      </w:r>
    </w:p>
    <w:p>
      <w:pPr>
        <w:spacing w:line="269" w:lineRule="auto" w:after="80"/>
      </w:pPr>
      <w:r>
        <w:rPr>
          <w:rFonts w:ascii="Times New Roman" w:hAnsi="Times New Roman" w:eastAsia="Microsoft YaHei"/>
          <w:b w:val="0"/>
          <w:i w:val="0"/>
          <w:sz w:val="21"/>
        </w:rPr>
        <w:t>The current benchmark includes both ASR-free and ASR-enabled targets, allowing us to evaluate whether ancestry helps selectively rather than uniformly.</w:t>
      </w:r>
    </w:p>
    <w:p>
      <w:pPr>
        <w:spacing w:before="100" w:after="60"/>
      </w:pPr>
      <w:r>
        <w:rPr>
          <w:rFonts w:ascii="Times New Roman" w:hAnsi="Times New Roman" w:eastAsia="Microsoft YaHei"/>
          <w:b/>
          <w:i w:val="0"/>
          <w:sz w:val="24"/>
        </w:rPr>
        <w:t>Retrieval motif atlas and prototype memory</w:t>
      </w:r>
    </w:p>
    <w:p>
      <w:pPr>
        <w:spacing w:line="269" w:lineRule="auto" w:after="80"/>
      </w:pPr>
      <w:r>
        <w:rPr>
          <w:rFonts w:ascii="Times New Roman" w:hAnsi="Times New Roman" w:eastAsia="Microsoft YaHei"/>
          <w:b w:val="0"/>
          <w:i w:val="0"/>
          <w:sz w:val="21"/>
        </w:rPr>
        <w:t>The retrieval branch represents a structure-derived local memory rather than a simple nearest-neighbor annotation table. In the engineering field, retrieval contributes residue-level support via structure-local motif memory and local neighbor support. In the neural controller, retrieval is represented as a dedicated latent branch with a learned retrieval-memory bank.</w:t>
      </w:r>
    </w:p>
    <w:p>
      <w:pPr>
        <w:spacing w:line="269" w:lineRule="auto" w:after="80"/>
      </w:pPr>
      <w:r>
        <w:rPr>
          <w:rFonts w:ascii="Times New Roman" w:hAnsi="Times New Roman" w:eastAsia="Microsoft YaHei"/>
          <w:b w:val="0"/>
          <w:i w:val="0"/>
          <w:sz w:val="21"/>
        </w:rPr>
        <w:t>The current retrieval input representation includes:</w:t>
      </w:r>
    </w:p>
    <w:p>
      <w:pPr>
        <w:pStyle w:val="ListBullet"/>
        <w:spacing w:line="259" w:lineRule="auto" w:after="40"/>
      </w:pPr>
      <w:r>
        <w:rPr>
          <w:rFonts w:ascii="Times New Roman" w:hAnsi="Times New Roman" w:eastAsia="Microsoft YaHei"/>
          <w:b w:val="0"/>
          <w:i w:val="0"/>
          <w:sz w:val="20"/>
        </w:rPr>
        <w:t>residue-support distribution from retrieval neighbors</w:t>
      </w:r>
    </w:p>
    <w:p>
      <w:pPr>
        <w:pStyle w:val="ListBullet"/>
        <w:spacing w:line="259" w:lineRule="auto" w:after="40"/>
      </w:pPr>
      <w:r>
        <w:rPr>
          <w:rFonts w:ascii="Times New Roman" w:hAnsi="Times New Roman" w:eastAsia="Microsoft YaHei"/>
          <w:b w:val="0"/>
          <w:i w:val="0"/>
          <w:sz w:val="20"/>
        </w:rPr>
        <w:t>neighborhood count</w:t>
      </w:r>
    </w:p>
    <w:p>
      <w:pPr>
        <w:pStyle w:val="ListBullet"/>
        <w:spacing w:line="259" w:lineRule="auto" w:after="40"/>
      </w:pPr>
      <w:r>
        <w:rPr>
          <w:rFonts w:ascii="Times New Roman" w:hAnsi="Times New Roman" w:eastAsia="Microsoft YaHei"/>
          <w:b w:val="0"/>
          <w:i w:val="0"/>
          <w:sz w:val="20"/>
        </w:rPr>
        <w:t>top structural similarity</w:t>
      </w:r>
    </w:p>
    <w:p>
      <w:pPr>
        <w:pStyle w:val="ListBullet"/>
        <w:spacing w:line="259" w:lineRule="auto" w:after="40"/>
      </w:pPr>
      <w:r>
        <w:rPr>
          <w:rFonts w:ascii="Times New Roman" w:hAnsi="Times New Roman" w:eastAsia="Microsoft YaHei"/>
          <w:b w:val="0"/>
          <w:i w:val="0"/>
          <w:sz w:val="20"/>
        </w:rPr>
        <w:t>top retrieval weight</w:t>
      </w:r>
    </w:p>
    <w:p>
      <w:pPr>
        <w:pStyle w:val="ListBullet"/>
        <w:spacing w:line="259" w:lineRule="auto" w:after="40"/>
      </w:pPr>
      <w:r>
        <w:rPr>
          <w:rFonts w:ascii="Times New Roman" w:hAnsi="Times New Roman" w:eastAsia="Microsoft YaHei"/>
          <w:b w:val="0"/>
          <w:i w:val="0"/>
          <w:sz w:val="20"/>
        </w:rPr>
        <w:t>support sum</w:t>
      </w:r>
    </w:p>
    <w:p>
      <w:pPr>
        <w:pStyle w:val="ListBullet"/>
        <w:spacing w:line="259" w:lineRule="auto" w:after="40"/>
      </w:pPr>
      <w:r>
        <w:rPr>
          <w:rFonts w:ascii="Times New Roman" w:hAnsi="Times New Roman" w:eastAsia="Microsoft YaHei"/>
          <w:b w:val="0"/>
          <w:i w:val="0"/>
          <w:sz w:val="20"/>
        </w:rPr>
        <w:t>unique supporting target count</w:t>
      </w:r>
    </w:p>
    <w:p>
      <w:pPr>
        <w:spacing w:line="269" w:lineRule="auto" w:after="80"/>
      </w:pPr>
      <w:r>
        <w:rPr>
          <w:rFonts w:ascii="Times New Roman" w:hAnsi="Times New Roman" w:eastAsia="Microsoft YaHei"/>
          <w:b w:val="0"/>
          <w:i w:val="0"/>
          <w:sz w:val="21"/>
        </w:rPr>
        <w:t>These quantities are encoded as a per-position retrieval vector and then passed through a retrieval projection layer, followed by a learned prototype-memory fusion step. The purpose of this design is to avoid treating retrieval as a fixed external rule. Instead, the controller can decide when retrieval support should dominate, when it should be moderated, and when it should be ignored.</w:t>
      </w:r>
    </w:p>
    <w:p>
      <w:pPr>
        <w:spacing w:before="100" w:after="60"/>
      </w:pPr>
      <w:r>
        <w:rPr>
          <w:rFonts w:ascii="Times New Roman" w:hAnsi="Times New Roman" w:eastAsia="Microsoft YaHei"/>
          <w:b/>
          <w:i w:val="0"/>
          <w:sz w:val="24"/>
        </w:rPr>
        <w:t>Shared residue field</w:t>
      </w:r>
    </w:p>
    <w:p>
      <w:pPr>
        <w:spacing w:line="269" w:lineRule="auto" w:after="80"/>
      </w:pPr>
      <w:r>
        <w:rPr>
          <w:rFonts w:ascii="Times New Roman" w:hAnsi="Times New Roman" w:eastAsia="Microsoft YaHei"/>
          <w:b w:val="0"/>
          <w:i w:val="0"/>
          <w:sz w:val="21"/>
        </w:rPr>
        <w:t>The conceptual core of `MARS-FIELD` is the shared residue field. The field has two coupled components:</w:t>
      </w:r>
    </w:p>
    <w:p>
      <w:pPr>
        <w:pStyle w:val="ListBullet"/>
        <w:spacing w:line="259" w:lineRule="auto" w:after="40"/>
      </w:pPr>
      <w:r>
        <w:rPr>
          <w:rFonts w:ascii="Times New Roman" w:hAnsi="Times New Roman" w:eastAsia="Microsoft YaHei"/>
          <w:b w:val="0"/>
          <w:i w:val="0"/>
          <w:sz w:val="20"/>
        </w:rPr>
        <w:t>a site-wise residue-energy layer `U(i, a)`</w:t>
      </w:r>
    </w:p>
    <w:p>
      <w:pPr>
        <w:pStyle w:val="ListBullet"/>
        <w:spacing w:line="259" w:lineRule="auto" w:after="40"/>
      </w:pPr>
      <w:r>
        <w:rPr>
          <w:rFonts w:ascii="Times New Roman" w:hAnsi="Times New Roman" w:eastAsia="Microsoft YaHei"/>
          <w:b w:val="0"/>
          <w:i w:val="0"/>
          <w:sz w:val="20"/>
        </w:rPr>
        <w:t>a pairwise coupling layer `C(i, j, a, b)`</w:t>
      </w:r>
    </w:p>
    <w:p>
      <w:pPr>
        <w:spacing w:line="269" w:lineRule="auto" w:after="80"/>
      </w:pPr>
      <w:r>
        <w:rPr>
          <w:rFonts w:ascii="Times New Roman" w:hAnsi="Times New Roman" w:eastAsia="Microsoft YaHei"/>
          <w:b w:val="0"/>
          <w:i w:val="0"/>
          <w:sz w:val="21"/>
        </w:rPr>
        <w:t>For a candidate sequence `x`, the field energy is written as:</w:t>
      </w:r>
    </w:p>
    <w:p>
      <w:pPr>
        <w:spacing w:line="269" w:lineRule="auto" w:after="80"/>
      </w:pPr>
      <w:r>
        <w:rPr>
          <w:rFonts w:ascii="Times New Roman" w:hAnsi="Times New Roman" w:eastAsia="Microsoft YaHei"/>
          <w:b w:val="0"/>
          <w:i w:val="0"/>
          <w:sz w:val="21"/>
        </w:rPr>
        <w:t>`E(x) = sum_i U(i, x_i) + sum_(i,j in N) C(i, j, x_i, x_j)`</w:t>
      </w:r>
    </w:p>
    <w:p>
      <w:pPr>
        <w:spacing w:line="269" w:lineRule="auto" w:after="80"/>
      </w:pPr>
      <w:r>
        <w:rPr>
          <w:rFonts w:ascii="Times New Roman" w:hAnsi="Times New Roman" w:eastAsia="Microsoft YaHei"/>
          <w:b w:val="0"/>
          <w:i w:val="0"/>
          <w:sz w:val="21"/>
        </w:rPr>
        <w:t>where `N` denotes the set of design-position pairs for which a coupling term is defined.</w:t>
      </w:r>
    </w:p>
    <w:p>
      <w:pPr>
        <w:spacing w:line="269" w:lineRule="auto" w:after="80"/>
      </w:pPr>
      <w:r>
        <w:rPr>
          <w:rFonts w:ascii="Times New Roman" w:hAnsi="Times New Roman" w:eastAsia="Microsoft YaHei"/>
          <w:b w:val="0"/>
          <w:i w:val="0"/>
          <w:sz w:val="21"/>
        </w:rPr>
        <w:t>In the engineering field, `U(i, a)` is constructed from the unified evidence fields produced by structural, evolutionary, ancestral, retrieval, and proposal-derived evidence. Pairwise terms are constructed from proposal-derived pairwise support over top-ranked candidates and filtered by structural proximity.</w:t>
      </w:r>
    </w:p>
    <w:p>
      <w:pPr>
        <w:spacing w:line="269" w:lineRule="auto" w:after="80"/>
      </w:pPr>
      <w:r>
        <w:rPr>
          <w:rFonts w:ascii="Times New Roman" w:hAnsi="Times New Roman" w:eastAsia="Microsoft YaHei"/>
          <w:b w:val="0"/>
          <w:i w:val="0"/>
          <w:sz w:val="21"/>
        </w:rPr>
        <w:t>In the neural field, `U(i, a)` is produced by a learned site encoder and residue-prototype scoring head, while `C(i, j, a, b)` is produced by a low-rank pairwise head conditioned on latent site embeddings and pair features.</w:t>
      </w:r>
    </w:p>
    <w:p>
      <w:pPr>
        <w:spacing w:before="100" w:after="60"/>
      </w:pPr>
      <w:r>
        <w:rPr>
          <w:rFonts w:ascii="Times New Roman" w:hAnsi="Times New Roman" w:eastAsia="Microsoft YaHei"/>
          <w:b/>
          <w:i w:val="0"/>
          <w:sz w:val="24"/>
        </w:rPr>
        <w:t>Candidate controller architecture</w:t>
      </w:r>
    </w:p>
    <w:p>
      <w:pPr>
        <w:spacing w:line="269" w:lineRule="auto" w:after="80"/>
      </w:pPr>
      <w:r>
        <w:rPr>
          <w:rFonts w:ascii="Times New Roman" w:hAnsi="Times New Roman" w:eastAsia="Microsoft YaHei"/>
          <w:b w:val="0"/>
          <w:i w:val="0"/>
          <w:sz w:val="21"/>
        </w:rPr>
        <w:t>The neural controller contains five evidence branches:</w:t>
      </w:r>
    </w:p>
    <w:p>
      <w:pPr>
        <w:pStyle w:val="ListBullet"/>
        <w:spacing w:line="259" w:lineRule="auto" w:after="40"/>
      </w:pPr>
      <w:r>
        <w:rPr>
          <w:rFonts w:ascii="Times New Roman" w:hAnsi="Times New Roman" w:eastAsia="Microsoft YaHei"/>
          <w:b w:val="0"/>
          <w:i w:val="0"/>
          <w:sz w:val="20"/>
        </w:rPr>
        <w:t>geometry branch</w:t>
      </w:r>
    </w:p>
    <w:p>
      <w:pPr>
        <w:pStyle w:val="ListBullet"/>
        <w:spacing w:line="259" w:lineRule="auto" w:after="40"/>
      </w:pPr>
      <w:r>
        <w:rPr>
          <w:rFonts w:ascii="Times New Roman" w:hAnsi="Times New Roman" w:eastAsia="Microsoft YaHei"/>
          <w:b w:val="0"/>
          <w:i w:val="0"/>
          <w:sz w:val="20"/>
        </w:rPr>
        <w:t>phylogeny branch</w:t>
      </w:r>
    </w:p>
    <w:p>
      <w:pPr>
        <w:pStyle w:val="ListBullet"/>
        <w:spacing w:line="259" w:lineRule="auto" w:after="40"/>
      </w:pPr>
      <w:r>
        <w:rPr>
          <w:rFonts w:ascii="Times New Roman" w:hAnsi="Times New Roman" w:eastAsia="Microsoft YaHei"/>
          <w:b w:val="0"/>
          <w:i w:val="0"/>
          <w:sz w:val="20"/>
        </w:rPr>
        <w:t>ancestry branch</w:t>
      </w:r>
    </w:p>
    <w:p>
      <w:pPr>
        <w:pStyle w:val="ListBullet"/>
        <w:spacing w:line="259" w:lineRule="auto" w:after="40"/>
      </w:pPr>
      <w:r>
        <w:rPr>
          <w:rFonts w:ascii="Times New Roman" w:hAnsi="Times New Roman" w:eastAsia="Microsoft YaHei"/>
          <w:b w:val="0"/>
          <w:i w:val="0"/>
          <w:sz w:val="20"/>
        </w:rPr>
        <w:t>retrieval branch</w:t>
      </w:r>
    </w:p>
    <w:p>
      <w:pPr>
        <w:pStyle w:val="ListBullet"/>
        <w:spacing w:line="259" w:lineRule="auto" w:after="40"/>
      </w:pPr>
      <w:r>
        <w:rPr>
          <w:rFonts w:ascii="Times New Roman" w:hAnsi="Times New Roman" w:eastAsia="Microsoft YaHei"/>
          <w:b w:val="0"/>
          <w:i w:val="0"/>
          <w:sz w:val="20"/>
        </w:rPr>
        <w:t>environment branch</w:t>
      </w:r>
    </w:p>
    <w:p>
      <w:pPr>
        <w:spacing w:line="269" w:lineRule="auto" w:after="80"/>
      </w:pPr>
      <w:r>
        <w:rPr>
          <w:rFonts w:ascii="Times New Roman" w:hAnsi="Times New Roman" w:eastAsia="Microsoft YaHei"/>
          <w:b w:val="0"/>
          <w:i w:val="0"/>
          <w:sz w:val="21"/>
        </w:rPr>
        <w:t>Each branch is first projected into a shared hidden dimension. The ancestry and retrieval branches are then each fused with a learned memory bank:</w:t>
      </w:r>
    </w:p>
    <w:p>
      <w:pPr>
        <w:pStyle w:val="ListBullet"/>
        <w:spacing w:line="259" w:lineRule="auto" w:after="40"/>
      </w:pPr>
      <w:r>
        <w:rPr>
          <w:rFonts w:ascii="Times New Roman" w:hAnsi="Times New Roman" w:eastAsia="Microsoft YaHei"/>
          <w:b w:val="0"/>
          <w:i w:val="0"/>
          <w:sz w:val="20"/>
        </w:rPr>
        <w:t>lineage memory for ancestral signals</w:t>
      </w:r>
    </w:p>
    <w:p>
      <w:pPr>
        <w:pStyle w:val="ListBullet"/>
        <w:spacing w:line="259" w:lineRule="auto" w:after="40"/>
      </w:pPr>
      <w:r>
        <w:rPr>
          <w:rFonts w:ascii="Times New Roman" w:hAnsi="Times New Roman" w:eastAsia="Microsoft YaHei"/>
          <w:b w:val="0"/>
          <w:i w:val="0"/>
          <w:sz w:val="20"/>
        </w:rPr>
        <w:t>retrieval memory for motif-atlas and neighborhood signals</w:t>
      </w:r>
    </w:p>
    <w:p>
      <w:pPr>
        <w:spacing w:line="269" w:lineRule="auto" w:after="80"/>
      </w:pPr>
      <w:r>
        <w:rPr>
          <w:rFonts w:ascii="Times New Roman" w:hAnsi="Times New Roman" w:eastAsia="Microsoft YaHei"/>
          <w:b w:val="0"/>
          <w:i w:val="0"/>
          <w:sz w:val="21"/>
        </w:rPr>
        <w:t>The environment branch produces both an environment token and branch-specific modulation parameters. These parameters multiplicatively and additively modulate the geometry, phylogeny, ancestry, and retrieval branch embeddings before branch fusion.</w:t>
      </w:r>
    </w:p>
    <w:p>
      <w:pPr>
        <w:spacing w:line="269" w:lineRule="auto" w:after="80"/>
      </w:pPr>
      <w:r>
        <w:rPr>
          <w:rFonts w:ascii="Times New Roman" w:hAnsi="Times New Roman" w:eastAsia="Microsoft YaHei"/>
          <w:b w:val="0"/>
          <w:i w:val="0"/>
          <w:sz w:val="21"/>
        </w:rPr>
        <w:t>Branch fusion is implemented through a learned gating mechanism. Let the branch embeddings be:</w:t>
      </w:r>
    </w:p>
    <w:p>
      <w:pPr>
        <w:pStyle w:val="ListBullet"/>
        <w:spacing w:line="259" w:lineRule="auto" w:after="40"/>
      </w:pPr>
      <w:r>
        <w:rPr>
          <w:rFonts w:ascii="Times New Roman" w:hAnsi="Times New Roman" w:eastAsia="Microsoft YaHei"/>
          <w:b w:val="0"/>
          <w:i w:val="0"/>
          <w:sz w:val="20"/>
        </w:rPr>
        <w:t>`h_geom(i)`</w:t>
      </w:r>
    </w:p>
    <w:p>
      <w:pPr>
        <w:pStyle w:val="ListBullet"/>
        <w:spacing w:line="259" w:lineRule="auto" w:after="40"/>
      </w:pPr>
      <w:r>
        <w:rPr>
          <w:rFonts w:ascii="Times New Roman" w:hAnsi="Times New Roman" w:eastAsia="Microsoft YaHei"/>
          <w:b w:val="0"/>
          <w:i w:val="0"/>
          <w:sz w:val="20"/>
        </w:rPr>
        <w:t>`h_phylo(i)`</w:t>
      </w:r>
    </w:p>
    <w:p>
      <w:pPr>
        <w:pStyle w:val="ListBullet"/>
        <w:spacing w:line="259" w:lineRule="auto" w:after="40"/>
      </w:pPr>
      <w:r>
        <w:rPr>
          <w:rFonts w:ascii="Times New Roman" w:hAnsi="Times New Roman" w:eastAsia="Microsoft YaHei"/>
          <w:b w:val="0"/>
          <w:i w:val="0"/>
          <w:sz w:val="20"/>
        </w:rPr>
        <w:t>`h_asr(i)`</w:t>
      </w:r>
    </w:p>
    <w:p>
      <w:pPr>
        <w:pStyle w:val="ListBullet"/>
        <w:spacing w:line="259" w:lineRule="auto" w:after="40"/>
      </w:pPr>
      <w:r>
        <w:rPr>
          <w:rFonts w:ascii="Times New Roman" w:hAnsi="Times New Roman" w:eastAsia="Microsoft YaHei"/>
          <w:b w:val="0"/>
          <w:i w:val="0"/>
          <w:sz w:val="20"/>
        </w:rPr>
        <w:t>`h_retr(i)`</w:t>
      </w:r>
    </w:p>
    <w:p>
      <w:pPr>
        <w:pStyle w:val="ListBullet"/>
        <w:spacing w:line="259" w:lineRule="auto" w:after="40"/>
      </w:pPr>
      <w:r>
        <w:rPr>
          <w:rFonts w:ascii="Times New Roman" w:hAnsi="Times New Roman" w:eastAsia="Microsoft YaHei"/>
          <w:b w:val="0"/>
          <w:i w:val="0"/>
          <w:sz w:val="20"/>
        </w:rPr>
        <w:t>`h_env(i)`</w:t>
      </w:r>
    </w:p>
    <w:p>
      <w:pPr>
        <w:spacing w:line="269" w:lineRule="auto" w:after="80"/>
      </w:pPr>
      <w:r>
        <w:rPr>
          <w:rFonts w:ascii="Times New Roman" w:hAnsi="Times New Roman" w:eastAsia="Microsoft YaHei"/>
          <w:b w:val="0"/>
          <w:i w:val="0"/>
          <w:sz w:val="21"/>
        </w:rPr>
        <w:t>Then the controller computes branch weights:</w:t>
      </w:r>
    </w:p>
    <w:p>
      <w:pPr>
        <w:spacing w:line="269" w:lineRule="auto" w:after="80"/>
      </w:pPr>
      <w:r>
        <w:rPr>
          <w:rFonts w:ascii="Times New Roman" w:hAnsi="Times New Roman" w:eastAsia="Microsoft YaHei"/>
          <w:b w:val="0"/>
          <w:i w:val="0"/>
          <w:sz w:val="21"/>
        </w:rPr>
        <w:t>`alpha(i) = softmax(G([h_geom(i), h_phylo(i), h_asr(i), h_retr(i), h_env(i)]))`</w:t>
      </w:r>
    </w:p>
    <w:p>
      <w:pPr>
        <w:spacing w:line="269" w:lineRule="auto" w:after="80"/>
      </w:pPr>
      <w:r>
        <w:rPr>
          <w:rFonts w:ascii="Times New Roman" w:hAnsi="Times New Roman" w:eastAsia="Microsoft YaHei"/>
          <w:b w:val="0"/>
          <w:i w:val="0"/>
          <w:sz w:val="21"/>
        </w:rPr>
        <w:t>and forms a fused site representation:</w:t>
      </w:r>
    </w:p>
    <w:p>
      <w:pPr>
        <w:spacing w:line="269" w:lineRule="auto" w:after="80"/>
      </w:pPr>
      <w:r>
        <w:rPr>
          <w:rFonts w:ascii="Times New Roman" w:hAnsi="Times New Roman" w:eastAsia="Microsoft YaHei"/>
          <w:b w:val="0"/>
          <w:i w:val="0"/>
          <w:sz w:val="21"/>
        </w:rPr>
        <w:t>`h_i = MLP([alpha_geom(i) * h_geom(i), alpha_phylo(i) * h_phylo(i), alpha_asr(i) * h_asr(i), alpha_retr(i) * h_retr(i), alpha_env(i) * h_env(i)])`</w:t>
      </w:r>
    </w:p>
    <w:p>
      <w:pPr>
        <w:spacing w:line="269" w:lineRule="auto" w:after="80"/>
      </w:pPr>
      <w:r>
        <w:rPr>
          <w:rFonts w:ascii="Times New Roman" w:hAnsi="Times New Roman" w:eastAsia="Microsoft YaHei"/>
          <w:b w:val="0"/>
          <w:i w:val="0"/>
          <w:sz w:val="21"/>
        </w:rPr>
        <w:t>This site representation drives:</w:t>
      </w:r>
    </w:p>
    <w:p>
      <w:pPr>
        <w:pStyle w:val="ListBullet"/>
        <w:spacing w:line="259" w:lineRule="auto" w:after="40"/>
      </w:pPr>
      <w:r>
        <w:rPr>
          <w:rFonts w:ascii="Times New Roman" w:hAnsi="Times New Roman" w:eastAsia="Microsoft YaHei"/>
          <w:b w:val="0"/>
          <w:i w:val="0"/>
          <w:sz w:val="20"/>
        </w:rPr>
        <w:t>residue-wise unary logits</w:t>
      </w:r>
    </w:p>
    <w:p>
      <w:pPr>
        <w:pStyle w:val="ListBullet"/>
        <w:spacing w:line="259" w:lineRule="auto" w:after="40"/>
      </w:pPr>
      <w:r>
        <w:rPr>
          <w:rFonts w:ascii="Times New Roman" w:hAnsi="Times New Roman" w:eastAsia="Microsoft YaHei"/>
          <w:b w:val="0"/>
          <w:i w:val="0"/>
          <w:sz w:val="20"/>
        </w:rPr>
        <w:t>auxiliary ancestry alignment logits</w:t>
      </w:r>
    </w:p>
    <w:p>
      <w:pPr>
        <w:pStyle w:val="ListBullet"/>
        <w:spacing w:line="259" w:lineRule="auto" w:after="40"/>
      </w:pPr>
      <w:r>
        <w:rPr>
          <w:rFonts w:ascii="Times New Roman" w:hAnsi="Times New Roman" w:eastAsia="Microsoft YaHei"/>
          <w:b w:val="0"/>
          <w:i w:val="0"/>
          <w:sz w:val="20"/>
        </w:rPr>
        <w:t>auxiliary retrieval alignment logits</w:t>
      </w:r>
    </w:p>
    <w:p>
      <w:pPr>
        <w:pStyle w:val="ListBullet"/>
        <w:spacing w:line="259" w:lineRule="auto" w:after="40"/>
      </w:pPr>
      <w:r>
        <w:rPr>
          <w:rFonts w:ascii="Times New Roman" w:hAnsi="Times New Roman" w:eastAsia="Microsoft YaHei"/>
          <w:b w:val="0"/>
          <w:i w:val="0"/>
          <w:sz w:val="20"/>
        </w:rPr>
        <w:t>environment reconstruction head</w:t>
      </w:r>
    </w:p>
    <w:p>
      <w:pPr>
        <w:spacing w:line="269" w:lineRule="auto" w:after="80"/>
      </w:pPr>
      <w:r>
        <w:rPr>
          <w:rFonts w:ascii="Times New Roman" w:hAnsi="Times New Roman" w:eastAsia="Microsoft YaHei"/>
          <w:b w:val="0"/>
          <w:i w:val="0"/>
          <w:sz w:val="21"/>
        </w:rPr>
        <w:t>At the candidate level, the controller builds a candidate embedding by combining:</w:t>
      </w:r>
    </w:p>
    <w:p>
      <w:pPr>
        <w:pStyle w:val="ListBullet"/>
        <w:spacing w:line="259" w:lineRule="auto" w:after="40"/>
      </w:pPr>
      <w:r>
        <w:rPr>
          <w:rFonts w:ascii="Times New Roman" w:hAnsi="Times New Roman" w:eastAsia="Microsoft YaHei"/>
          <w:b w:val="0"/>
          <w:i w:val="0"/>
          <w:sz w:val="20"/>
        </w:rPr>
        <w:t>residue-prototype-conditioned sequence context</w:t>
      </w:r>
    </w:p>
    <w:p>
      <w:pPr>
        <w:pStyle w:val="ListBullet"/>
        <w:spacing w:line="259" w:lineRule="auto" w:after="40"/>
      </w:pPr>
      <w:r>
        <w:rPr>
          <w:rFonts w:ascii="Times New Roman" w:hAnsi="Times New Roman" w:eastAsia="Microsoft YaHei"/>
          <w:b w:val="0"/>
          <w:i w:val="0"/>
          <w:sz w:val="20"/>
        </w:rPr>
        <w:t>candidate-specific evidence features</w:t>
      </w:r>
    </w:p>
    <w:p>
      <w:pPr>
        <w:pStyle w:val="ListBullet"/>
        <w:spacing w:line="259" w:lineRule="auto" w:after="40"/>
      </w:pPr>
      <w:r>
        <w:rPr>
          <w:rFonts w:ascii="Times New Roman" w:hAnsi="Times New Roman" w:eastAsia="Microsoft YaHei"/>
          <w:b w:val="0"/>
          <w:i w:val="0"/>
          <w:sz w:val="20"/>
        </w:rPr>
        <w:t>pairwise summary features</w:t>
      </w:r>
    </w:p>
    <w:p>
      <w:pPr>
        <w:spacing w:line="269" w:lineRule="auto" w:after="80"/>
      </w:pPr>
      <w:r>
        <w:rPr>
          <w:rFonts w:ascii="Times New Roman" w:hAnsi="Times New Roman" w:eastAsia="Microsoft YaHei"/>
          <w:b w:val="0"/>
          <w:i w:val="0"/>
          <w:sz w:val="21"/>
        </w:rPr>
        <w:t>Candidate-specific features include:</w:t>
      </w:r>
    </w:p>
    <w:p>
      <w:pPr>
        <w:pStyle w:val="ListBullet"/>
        <w:spacing w:line="259" w:lineRule="auto" w:after="40"/>
      </w:pPr>
      <w:r>
        <w:rPr>
          <w:rFonts w:ascii="Times New Roman" w:hAnsi="Times New Roman" w:eastAsia="Microsoft YaHei"/>
          <w:b w:val="0"/>
          <w:i w:val="0"/>
          <w:sz w:val="20"/>
        </w:rPr>
        <w:t>source identity</w:t>
      </w:r>
    </w:p>
    <w:p>
      <w:pPr>
        <w:pStyle w:val="ListBullet"/>
        <w:spacing w:line="259" w:lineRule="auto" w:after="40"/>
      </w:pPr>
      <w:r>
        <w:rPr>
          <w:rFonts w:ascii="Times New Roman" w:hAnsi="Times New Roman" w:eastAsia="Microsoft YaHei"/>
          <w:b w:val="0"/>
          <w:i w:val="0"/>
          <w:sz w:val="20"/>
        </w:rPr>
        <w:t>source-group identity</w:t>
      </w:r>
    </w:p>
    <w:p>
      <w:pPr>
        <w:pStyle w:val="ListBullet"/>
        <w:spacing w:line="259" w:lineRule="auto" w:after="40"/>
      </w:pPr>
      <w:r>
        <w:rPr>
          <w:rFonts w:ascii="Times New Roman" w:hAnsi="Times New Roman" w:eastAsia="Microsoft YaHei"/>
          <w:b w:val="0"/>
          <w:i w:val="0"/>
          <w:sz w:val="20"/>
        </w:rPr>
        <w:t>support-count context</w:t>
      </w:r>
    </w:p>
    <w:p>
      <w:pPr>
        <w:pStyle w:val="ListBullet"/>
        <w:spacing w:line="259" w:lineRule="auto" w:after="40"/>
      </w:pPr>
      <w:r>
        <w:rPr>
          <w:rFonts w:ascii="Times New Roman" w:hAnsi="Times New Roman" w:eastAsia="Microsoft YaHei"/>
          <w:b w:val="0"/>
          <w:i w:val="0"/>
          <w:sz w:val="20"/>
        </w:rPr>
        <w:t>mutation-count context</w:t>
      </w:r>
    </w:p>
    <w:p>
      <w:pPr>
        <w:pStyle w:val="ListBullet"/>
        <w:spacing w:line="259" w:lineRule="auto" w:after="40"/>
      </w:pPr>
      <w:r>
        <w:rPr>
          <w:rFonts w:ascii="Times New Roman" w:hAnsi="Times New Roman" w:eastAsia="Microsoft YaHei"/>
          <w:b w:val="0"/>
          <w:i w:val="0"/>
          <w:sz w:val="20"/>
        </w:rPr>
        <w:t>engineering component scores</w:t>
      </w:r>
    </w:p>
    <w:p>
      <w:pPr>
        <w:pStyle w:val="ListBullet"/>
        <w:spacing w:line="259" w:lineRule="auto" w:after="40"/>
      </w:pPr>
      <w:r>
        <w:rPr>
          <w:rFonts w:ascii="Times New Roman" w:hAnsi="Times New Roman" w:eastAsia="Microsoft YaHei"/>
          <w:b w:val="0"/>
          <w:i w:val="0"/>
          <w:sz w:val="20"/>
        </w:rPr>
        <w:t>fusion-ranker contribution terms</w:t>
      </w:r>
    </w:p>
    <w:p>
      <w:pPr>
        <w:pStyle w:val="ListBullet"/>
        <w:spacing w:line="259" w:lineRule="auto" w:after="40"/>
      </w:pPr>
      <w:r>
        <w:rPr>
          <w:rFonts w:ascii="Times New Roman" w:hAnsi="Times New Roman" w:eastAsia="Microsoft YaHei"/>
          <w:b w:val="0"/>
          <w:i w:val="0"/>
          <w:sz w:val="20"/>
        </w:rPr>
        <w:t>selector-prior features</w:t>
      </w:r>
    </w:p>
    <w:p>
      <w:pPr>
        <w:pStyle w:val="ListBullet"/>
        <w:spacing w:line="259" w:lineRule="auto" w:after="40"/>
      </w:pPr>
      <w:r>
        <w:rPr>
          <w:rFonts w:ascii="Times New Roman" w:hAnsi="Times New Roman" w:eastAsia="Microsoft YaHei"/>
          <w:b w:val="0"/>
          <w:i w:val="0"/>
          <w:sz w:val="20"/>
        </w:rPr>
        <w:t>gap-to-best features</w:t>
      </w:r>
    </w:p>
    <w:p>
      <w:pPr>
        <w:pStyle w:val="ListBullet"/>
        <w:spacing w:line="259" w:lineRule="auto" w:after="40"/>
      </w:pPr>
      <w:r>
        <w:rPr>
          <w:rFonts w:ascii="Times New Roman" w:hAnsi="Times New Roman" w:eastAsia="Microsoft YaHei"/>
          <w:b w:val="0"/>
          <w:i w:val="0"/>
          <w:sz w:val="20"/>
        </w:rPr>
        <w:t>note-derived flags</w:t>
      </w:r>
    </w:p>
    <w:p>
      <w:pPr>
        <w:spacing w:line="269" w:lineRule="auto" w:after="80"/>
      </w:pPr>
      <w:r>
        <w:rPr>
          <w:rFonts w:ascii="Times New Roman" w:hAnsi="Times New Roman" w:eastAsia="Microsoft YaHei"/>
          <w:b w:val="0"/>
          <w:i w:val="0"/>
          <w:sz w:val="21"/>
        </w:rPr>
        <w:t>The final candidate embedding is passed to three heads:</w:t>
      </w:r>
    </w:p>
    <w:p>
      <w:pPr>
        <w:pStyle w:val="ListBullet"/>
        <w:spacing w:line="259" w:lineRule="auto" w:after="40"/>
      </w:pPr>
      <w:r>
        <w:rPr>
          <w:rFonts w:ascii="Times New Roman" w:hAnsi="Times New Roman" w:eastAsia="Microsoft YaHei"/>
          <w:b w:val="0"/>
          <w:i w:val="0"/>
          <w:sz w:val="20"/>
        </w:rPr>
        <w:t>selection head</w:t>
      </w:r>
    </w:p>
    <w:p>
      <w:pPr>
        <w:pStyle w:val="ListBullet"/>
        <w:spacing w:line="259" w:lineRule="auto" w:after="40"/>
      </w:pPr>
      <w:r>
        <w:rPr>
          <w:rFonts w:ascii="Times New Roman" w:hAnsi="Times New Roman" w:eastAsia="Microsoft YaHei"/>
          <w:b w:val="0"/>
          <w:i w:val="0"/>
          <w:sz w:val="20"/>
        </w:rPr>
        <w:t>engineering head</w:t>
      </w:r>
    </w:p>
    <w:p>
      <w:pPr>
        <w:pStyle w:val="ListBullet"/>
        <w:spacing w:line="259" w:lineRule="auto" w:after="40"/>
      </w:pPr>
      <w:r>
        <w:rPr>
          <w:rFonts w:ascii="Times New Roman" w:hAnsi="Times New Roman" w:eastAsia="Microsoft YaHei"/>
          <w:b w:val="0"/>
          <w:i w:val="0"/>
          <w:sz w:val="20"/>
        </w:rPr>
        <w:t>policy head</w:t>
      </w:r>
    </w:p>
    <w:p>
      <w:pPr>
        <w:spacing w:before="100" w:after="60"/>
      </w:pPr>
      <w:r>
        <w:rPr>
          <w:rFonts w:ascii="Times New Roman" w:hAnsi="Times New Roman" w:eastAsia="Microsoft YaHei"/>
          <w:b/>
          <w:i w:val="0"/>
          <w:sz w:val="24"/>
        </w:rPr>
        <w:t>Training objectives</w:t>
      </w:r>
    </w:p>
    <w:p>
      <w:pPr>
        <w:spacing w:line="269" w:lineRule="auto" w:after="80"/>
      </w:pPr>
      <w:r>
        <w:rPr>
          <w:rFonts w:ascii="Times New Roman" w:hAnsi="Times New Roman" w:eastAsia="Microsoft YaHei"/>
          <w:b w:val="0"/>
          <w:i w:val="0"/>
          <w:sz w:val="21"/>
        </w:rPr>
        <w:t>The training objective is multi-term and combines direct supervision, pairwise supervision, calibration supervision, and auxiliary reconstruction losses.</w:t>
      </w:r>
    </w:p>
    <w:p>
      <w:pPr>
        <w:spacing w:before="100" w:after="60"/>
      </w:pPr>
      <w:r>
        <w:rPr>
          <w:rFonts w:ascii="Times New Roman" w:hAnsi="Times New Roman" w:eastAsia="Microsoft YaHei"/>
          <w:b/>
          <w:i w:val="0"/>
          <w:sz w:val="21"/>
        </w:rPr>
        <w:t>1. Selection regression</w:t>
      </w:r>
    </w:p>
    <w:p>
      <w:pPr>
        <w:spacing w:line="269" w:lineRule="auto" w:after="80"/>
      </w:pPr>
      <w:r>
        <w:rPr>
          <w:rFonts w:ascii="Times New Roman" w:hAnsi="Times New Roman" w:eastAsia="Microsoft YaHei"/>
          <w:b w:val="0"/>
          <w:i w:val="0"/>
          <w:sz w:val="21"/>
        </w:rPr>
        <w:t>The controller predicts target-wise normalized selection scores:</w:t>
      </w:r>
    </w:p>
    <w:p>
      <w:pPr>
        <w:spacing w:line="269" w:lineRule="auto" w:after="80"/>
      </w:pPr>
      <w:r>
        <w:rPr>
          <w:rFonts w:ascii="Times New Roman" w:hAnsi="Times New Roman" w:eastAsia="Microsoft YaHei"/>
          <w:b w:val="0"/>
          <w:i w:val="0"/>
          <w:sz w:val="21"/>
        </w:rPr>
        <w:t>`L_sel = MSE(s_hat, s_norm)`</w:t>
      </w:r>
    </w:p>
    <w:p>
      <w:pPr>
        <w:spacing w:line="269" w:lineRule="auto" w:after="80"/>
      </w:pPr>
      <w:r>
        <w:rPr>
          <w:rFonts w:ascii="Times New Roman" w:hAnsi="Times New Roman" w:eastAsia="Microsoft YaHei"/>
          <w:b w:val="0"/>
          <w:i w:val="0"/>
          <w:sz w:val="21"/>
        </w:rPr>
        <w:t>where `s_hat` is the predicted selection score and `s_norm` is the standardized target-wise selection score.</w:t>
      </w:r>
    </w:p>
    <w:p>
      <w:pPr>
        <w:spacing w:before="100" w:after="60"/>
      </w:pPr>
      <w:r>
        <w:rPr>
          <w:rFonts w:ascii="Times New Roman" w:hAnsi="Times New Roman" w:eastAsia="Microsoft YaHei"/>
          <w:b/>
          <w:i w:val="0"/>
          <w:sz w:val="21"/>
        </w:rPr>
        <w:t>2. Engineering regression</w:t>
      </w:r>
    </w:p>
    <w:p>
      <w:pPr>
        <w:spacing w:line="269" w:lineRule="auto" w:after="80"/>
      </w:pPr>
      <w:r>
        <w:rPr>
          <w:rFonts w:ascii="Times New Roman" w:hAnsi="Times New Roman" w:eastAsia="Microsoft YaHei"/>
          <w:b w:val="0"/>
          <w:i w:val="0"/>
          <w:sz w:val="21"/>
        </w:rPr>
        <w:t>The controller predicts standardized engineering scores:</w:t>
      </w:r>
    </w:p>
    <w:p>
      <w:pPr>
        <w:spacing w:line="269" w:lineRule="auto" w:after="80"/>
      </w:pPr>
      <w:r>
        <w:rPr>
          <w:rFonts w:ascii="Times New Roman" w:hAnsi="Times New Roman" w:eastAsia="Microsoft YaHei"/>
          <w:b w:val="0"/>
          <w:i w:val="0"/>
          <w:sz w:val="21"/>
        </w:rPr>
        <w:t>`L_eng = MSE(e_hat, e_norm)`</w:t>
      </w:r>
    </w:p>
    <w:p>
      <w:pPr>
        <w:spacing w:line="269" w:lineRule="auto" w:after="80"/>
      </w:pPr>
      <w:r>
        <w:rPr>
          <w:rFonts w:ascii="Times New Roman" w:hAnsi="Times New Roman" w:eastAsia="Microsoft YaHei"/>
          <w:b w:val="0"/>
          <w:i w:val="0"/>
          <w:sz w:val="21"/>
        </w:rPr>
        <w:t>where `e_norm` is the standardized `mars_score`.</w:t>
      </w:r>
    </w:p>
    <w:p>
      <w:pPr>
        <w:spacing w:before="100" w:after="60"/>
      </w:pPr>
      <w:r>
        <w:rPr>
          <w:rFonts w:ascii="Times New Roman" w:hAnsi="Times New Roman" w:eastAsia="Microsoft YaHei"/>
          <w:b/>
          <w:i w:val="0"/>
          <w:sz w:val="21"/>
        </w:rPr>
        <w:t>3. Policy regression</w:t>
      </w:r>
    </w:p>
    <w:p>
      <w:pPr>
        <w:spacing w:line="269" w:lineRule="auto" w:after="80"/>
      </w:pPr>
      <w:r>
        <w:rPr>
          <w:rFonts w:ascii="Times New Roman" w:hAnsi="Times New Roman" w:eastAsia="Microsoft YaHei"/>
          <w:b w:val="0"/>
          <w:i w:val="0"/>
          <w:sz w:val="21"/>
        </w:rPr>
        <w:t>A target policy score is constructed as:</w:t>
      </w:r>
    </w:p>
    <w:p>
      <w:pPr>
        <w:spacing w:line="269" w:lineRule="auto" w:after="80"/>
      </w:pPr>
      <w:r>
        <w:rPr>
          <w:rFonts w:ascii="Times New Roman" w:hAnsi="Times New Roman" w:eastAsia="Microsoft YaHei"/>
          <w:b w:val="0"/>
          <w:i w:val="0"/>
          <w:sz w:val="21"/>
        </w:rPr>
        <w:t>`p_target = 0.30 * s_norm + 0.70 * e_norm`</w:t>
      </w:r>
    </w:p>
    <w:p>
      <w:pPr>
        <w:spacing w:line="269" w:lineRule="auto" w:after="80"/>
      </w:pPr>
      <w:r>
        <w:rPr>
          <w:rFonts w:ascii="Times New Roman" w:hAnsi="Times New Roman" w:eastAsia="Microsoft YaHei"/>
          <w:b w:val="0"/>
          <w:i w:val="0"/>
          <w:sz w:val="21"/>
        </w:rPr>
        <w:t>and supervised using:</w:t>
      </w:r>
    </w:p>
    <w:p>
      <w:pPr>
        <w:spacing w:line="269" w:lineRule="auto" w:after="80"/>
      </w:pPr>
      <w:r>
        <w:rPr>
          <w:rFonts w:ascii="Times New Roman" w:hAnsi="Times New Roman" w:eastAsia="Microsoft YaHei"/>
          <w:b w:val="0"/>
          <w:i w:val="0"/>
          <w:sz w:val="21"/>
        </w:rPr>
        <w:t>`L_pol = MSE(p_hat, p_target)`</w:t>
      </w:r>
    </w:p>
    <w:p>
      <w:pPr>
        <w:spacing w:before="100" w:after="60"/>
      </w:pPr>
      <w:r>
        <w:rPr>
          <w:rFonts w:ascii="Times New Roman" w:hAnsi="Times New Roman" w:eastAsia="Microsoft YaHei"/>
          <w:b/>
          <w:i w:val="0"/>
          <w:sz w:val="21"/>
        </w:rPr>
        <w:t>4. Pairwise policy ranking</w:t>
      </w:r>
    </w:p>
    <w:p>
      <w:pPr>
        <w:spacing w:line="269" w:lineRule="auto" w:after="80"/>
      </w:pPr>
      <w:r>
        <w:rPr>
          <w:rFonts w:ascii="Times New Roman" w:hAnsi="Times New Roman" w:eastAsia="Microsoft YaHei"/>
          <w:b w:val="0"/>
          <w:i w:val="0"/>
          <w:sz w:val="21"/>
        </w:rPr>
        <w:t>To stabilize ranking behavior, pairwise margin-style ranking supervision is applied:</w:t>
      </w:r>
    </w:p>
    <w:p>
      <w:pPr>
        <w:spacing w:line="269" w:lineRule="auto" w:after="80"/>
      </w:pPr>
      <w:r>
        <w:rPr>
          <w:rFonts w:ascii="Times New Roman" w:hAnsi="Times New Roman" w:eastAsia="Microsoft YaHei"/>
          <w:b w:val="0"/>
          <w:i w:val="0"/>
          <w:sz w:val="21"/>
        </w:rPr>
        <w:t>`L_rank = mean softplus(-(p_hat_i - p_hat_j))`</w:t>
      </w:r>
    </w:p>
    <w:p>
      <w:pPr>
        <w:spacing w:line="269" w:lineRule="auto" w:after="80"/>
      </w:pPr>
      <w:r>
        <w:rPr>
          <w:rFonts w:ascii="Times New Roman" w:hAnsi="Times New Roman" w:eastAsia="Microsoft YaHei"/>
          <w:b w:val="0"/>
          <w:i w:val="0"/>
          <w:sz w:val="21"/>
        </w:rPr>
        <w:t>over target pairs `(i, j)` whose target policy scores differ by at least a margin.</w:t>
      </w:r>
    </w:p>
    <w:p>
      <w:pPr>
        <w:spacing w:before="100" w:after="60"/>
      </w:pPr>
      <w:r>
        <w:rPr>
          <w:rFonts w:ascii="Times New Roman" w:hAnsi="Times New Roman" w:eastAsia="Microsoft YaHei"/>
          <w:b/>
          <w:i w:val="0"/>
          <w:sz w:val="21"/>
        </w:rPr>
        <w:t>5. Decoder-field residue supervision</w:t>
      </w:r>
    </w:p>
    <w:p>
      <w:pPr>
        <w:spacing w:line="269" w:lineRule="auto" w:after="80"/>
      </w:pPr>
      <w:r>
        <w:rPr>
          <w:rFonts w:ascii="Times New Roman" w:hAnsi="Times New Roman" w:eastAsia="Microsoft YaHei"/>
          <w:b w:val="0"/>
          <w:i w:val="0"/>
          <w:sz w:val="21"/>
        </w:rPr>
        <w:t>The unary field is also supervised toward the empirical residue distribution induced by high-quality candidate sequences:</w:t>
      </w:r>
    </w:p>
    <w:p>
      <w:pPr>
        <w:spacing w:line="269" w:lineRule="auto" w:after="80"/>
      </w:pPr>
      <w:r>
        <w:rPr>
          <w:rFonts w:ascii="Times New Roman" w:hAnsi="Times New Roman" w:eastAsia="Microsoft YaHei"/>
          <w:b w:val="0"/>
          <w:i w:val="0"/>
          <w:sz w:val="21"/>
        </w:rPr>
        <w:t>`L_dec = CE(U, q_residue)`</w:t>
      </w:r>
    </w:p>
    <w:p>
      <w:pPr>
        <w:spacing w:line="269" w:lineRule="auto" w:after="80"/>
      </w:pPr>
      <w:r>
        <w:rPr>
          <w:rFonts w:ascii="Times New Roman" w:hAnsi="Times New Roman" w:eastAsia="Microsoft YaHei"/>
          <w:b w:val="0"/>
          <w:i w:val="0"/>
          <w:sz w:val="21"/>
        </w:rPr>
        <w:t>where `q_residue` is an empirical site-wise residue distribution weighted by candidate-level policy support.</w:t>
      </w:r>
    </w:p>
    <w:p>
      <w:pPr>
        <w:spacing w:line="269" w:lineRule="auto" w:after="80"/>
      </w:pPr>
      <w:r>
        <w:rPr>
          <w:rFonts w:ascii="Times New Roman" w:hAnsi="Times New Roman" w:eastAsia="Microsoft YaHei"/>
          <w:b w:val="0"/>
          <w:i w:val="0"/>
          <w:sz w:val="21"/>
        </w:rPr>
        <w:t>This term is critical because it pushes the field itself, not only the candidate heads, toward realistic decode-time residue preferences.</w:t>
      </w:r>
    </w:p>
    <w:p>
      <w:pPr>
        <w:spacing w:before="100" w:after="60"/>
      </w:pPr>
      <w:r>
        <w:rPr>
          <w:rFonts w:ascii="Times New Roman" w:hAnsi="Times New Roman" w:eastAsia="Microsoft YaHei"/>
          <w:b/>
          <w:i w:val="0"/>
          <w:sz w:val="21"/>
        </w:rPr>
        <w:t>6. Recovery loss</w:t>
      </w:r>
    </w:p>
    <w:p>
      <w:pPr>
        <w:spacing w:line="269" w:lineRule="auto" w:after="80"/>
      </w:pPr>
      <w:r>
        <w:rPr>
          <w:rFonts w:ascii="Times New Roman" w:hAnsi="Times New Roman" w:eastAsia="Microsoft YaHei"/>
          <w:b w:val="0"/>
          <w:i w:val="0"/>
          <w:sz w:val="21"/>
        </w:rPr>
        <w:t>The unary field is regularized toward wild-type recovery:</w:t>
      </w:r>
    </w:p>
    <w:p>
      <w:pPr>
        <w:spacing w:line="269" w:lineRule="auto" w:after="80"/>
      </w:pPr>
      <w:r>
        <w:rPr>
          <w:rFonts w:ascii="Times New Roman" w:hAnsi="Times New Roman" w:eastAsia="Microsoft YaHei"/>
          <w:b w:val="0"/>
          <w:i w:val="0"/>
          <w:sz w:val="21"/>
        </w:rPr>
        <w:t>`L_rec = CE(U, x_wt)`</w:t>
      </w:r>
    </w:p>
    <w:p>
      <w:pPr>
        <w:spacing w:before="100" w:after="60"/>
      </w:pPr>
      <w:r>
        <w:rPr>
          <w:rFonts w:ascii="Times New Roman" w:hAnsi="Times New Roman" w:eastAsia="Microsoft YaHei"/>
          <w:b/>
          <w:i w:val="0"/>
          <w:sz w:val="21"/>
        </w:rPr>
        <w:t>7. Ancestry and retrieval alignment losses</w:t>
      </w:r>
    </w:p>
    <w:p>
      <w:pPr>
        <w:spacing w:line="269" w:lineRule="auto" w:after="80"/>
      </w:pPr>
      <w:r>
        <w:rPr>
          <w:rFonts w:ascii="Times New Roman" w:hAnsi="Times New Roman" w:eastAsia="Microsoft YaHei"/>
          <w:b w:val="0"/>
          <w:i w:val="0"/>
          <w:sz w:val="21"/>
        </w:rPr>
        <w:t>Auxiliary ancestry and retrieval heads are trained against the ancestry posterior and retrieval distribution, respectively:</w:t>
      </w:r>
    </w:p>
    <w:p>
      <w:pPr>
        <w:pStyle w:val="ListBullet"/>
        <w:spacing w:line="259" w:lineRule="auto" w:after="40"/>
      </w:pPr>
      <w:r>
        <w:rPr>
          <w:rFonts w:ascii="Times New Roman" w:hAnsi="Times New Roman" w:eastAsia="Microsoft YaHei"/>
          <w:b w:val="0"/>
          <w:i w:val="0"/>
          <w:sz w:val="20"/>
        </w:rPr>
        <w:t>`L_asr`</w:t>
      </w:r>
    </w:p>
    <w:p>
      <w:pPr>
        <w:pStyle w:val="ListBullet"/>
        <w:spacing w:line="259" w:lineRule="auto" w:after="40"/>
      </w:pPr>
      <w:r>
        <w:rPr>
          <w:rFonts w:ascii="Times New Roman" w:hAnsi="Times New Roman" w:eastAsia="Microsoft YaHei"/>
          <w:b w:val="0"/>
          <w:i w:val="0"/>
          <w:sz w:val="20"/>
        </w:rPr>
        <w:t>`L_retr`</w:t>
      </w:r>
    </w:p>
    <w:p>
      <w:pPr>
        <w:spacing w:before="100" w:after="60"/>
      </w:pPr>
      <w:r>
        <w:rPr>
          <w:rFonts w:ascii="Times New Roman" w:hAnsi="Times New Roman" w:eastAsia="Microsoft YaHei"/>
          <w:b/>
          <w:i w:val="0"/>
          <w:sz w:val="21"/>
        </w:rPr>
        <w:t>8. Environment reconstruction loss</w:t>
      </w:r>
    </w:p>
    <w:p>
      <w:pPr>
        <w:spacing w:line="269" w:lineRule="auto" w:after="80"/>
      </w:pPr>
      <w:r>
        <w:rPr>
          <w:rFonts w:ascii="Times New Roman" w:hAnsi="Times New Roman" w:eastAsia="Microsoft YaHei"/>
          <w:b w:val="0"/>
          <w:i w:val="0"/>
          <w:sz w:val="21"/>
        </w:rPr>
        <w:t>The global environment representation is trained to reconstruct the target environment vector:</w:t>
      </w:r>
    </w:p>
    <w:p>
      <w:pPr>
        <w:spacing w:line="269" w:lineRule="auto" w:after="80"/>
      </w:pPr>
      <w:r>
        <w:rPr>
          <w:rFonts w:ascii="Times New Roman" w:hAnsi="Times New Roman" w:eastAsia="Microsoft YaHei"/>
          <w:b w:val="0"/>
          <w:i w:val="0"/>
          <w:sz w:val="21"/>
        </w:rPr>
        <w:t>`L_env = MSE(env_hat, env_target)`</w:t>
      </w:r>
    </w:p>
    <w:p>
      <w:pPr>
        <w:spacing w:before="100" w:after="60"/>
      </w:pPr>
      <w:r>
        <w:rPr>
          <w:rFonts w:ascii="Times New Roman" w:hAnsi="Times New Roman" w:eastAsia="Microsoft YaHei"/>
          <w:b/>
          <w:i w:val="0"/>
          <w:sz w:val="21"/>
        </w:rPr>
        <w:t>9. Pairwise consistency loss</w:t>
      </w:r>
    </w:p>
    <w:p>
      <w:pPr>
        <w:spacing w:line="269" w:lineRule="auto" w:after="80"/>
      </w:pPr>
      <w:r>
        <w:rPr>
          <w:rFonts w:ascii="Times New Roman" w:hAnsi="Times New Roman" w:eastAsia="Microsoft YaHei"/>
          <w:b w:val="0"/>
          <w:i w:val="0"/>
          <w:sz w:val="21"/>
        </w:rPr>
        <w:t>If empirical pairwise residue support is available from candidate tables, the pairwise tensor is regularized toward this empirical distribution:</w:t>
      </w:r>
    </w:p>
    <w:p>
      <w:pPr>
        <w:spacing w:line="269" w:lineRule="auto" w:after="80"/>
      </w:pPr>
      <w:r>
        <w:rPr>
          <w:rFonts w:ascii="Times New Roman" w:hAnsi="Times New Roman" w:eastAsia="Microsoft YaHei"/>
          <w:b w:val="0"/>
          <w:i w:val="0"/>
          <w:sz w:val="21"/>
        </w:rPr>
        <w:t>`L_pair = MSE(C_hat, C_empirical)`</w:t>
      </w:r>
    </w:p>
    <w:p>
      <w:pPr>
        <w:spacing w:before="100" w:after="60"/>
      </w:pPr>
      <w:r>
        <w:rPr>
          <w:rFonts w:ascii="Times New Roman" w:hAnsi="Times New Roman" w:eastAsia="Microsoft YaHei"/>
          <w:b/>
          <w:i w:val="0"/>
          <w:sz w:val="21"/>
        </w:rPr>
        <w:t>10. Conservative guard losses</w:t>
      </w:r>
    </w:p>
    <w:p>
      <w:pPr>
        <w:spacing w:line="269" w:lineRule="auto" w:after="80"/>
      </w:pPr>
      <w:r>
        <w:rPr>
          <w:rFonts w:ascii="Times New Roman" w:hAnsi="Times New Roman" w:eastAsia="Microsoft YaHei"/>
          <w:b w:val="0"/>
          <w:i w:val="0"/>
          <w:sz w:val="21"/>
        </w:rPr>
        <w:t>Several controller-calibration losses are used to prevent unstable winner promotion:</w:t>
      </w:r>
    </w:p>
    <w:p>
      <w:pPr>
        <w:pStyle w:val="ListBullet"/>
        <w:spacing w:line="259" w:lineRule="auto" w:after="40"/>
      </w:pPr>
      <w:r>
        <w:rPr>
          <w:rFonts w:ascii="Times New Roman" w:hAnsi="Times New Roman" w:eastAsia="Microsoft YaHei"/>
          <w:b w:val="0"/>
          <w:i w:val="0"/>
          <w:sz w:val="20"/>
        </w:rPr>
        <w:t>winner-guard loss</w:t>
      </w:r>
    </w:p>
    <w:p>
      <w:pPr>
        <w:pStyle w:val="ListBullet"/>
        <w:spacing w:line="259" w:lineRule="auto" w:after="40"/>
      </w:pPr>
      <w:r>
        <w:rPr>
          <w:rFonts w:ascii="Times New Roman" w:hAnsi="Times New Roman" w:eastAsia="Microsoft YaHei"/>
          <w:b w:val="0"/>
          <w:i w:val="0"/>
          <w:sz w:val="20"/>
        </w:rPr>
        <w:t>non-decoder-guard loss</w:t>
      </w:r>
    </w:p>
    <w:p>
      <w:pPr>
        <w:pStyle w:val="ListBullet"/>
        <w:spacing w:line="259" w:lineRule="auto" w:after="40"/>
      </w:pPr>
      <w:r>
        <w:rPr>
          <w:rFonts w:ascii="Times New Roman" w:hAnsi="Times New Roman" w:eastAsia="Microsoft YaHei"/>
          <w:b w:val="0"/>
          <w:i w:val="0"/>
          <w:sz w:val="20"/>
        </w:rPr>
        <w:t>simplicity-guard loss</w:t>
      </w:r>
    </w:p>
    <w:p>
      <w:pPr>
        <w:pStyle w:val="ListBullet"/>
        <w:spacing w:line="259" w:lineRule="auto" w:after="40"/>
      </w:pPr>
      <w:r>
        <w:rPr>
          <w:rFonts w:ascii="Times New Roman" w:hAnsi="Times New Roman" w:eastAsia="Microsoft YaHei"/>
          <w:b w:val="0"/>
          <w:i w:val="0"/>
          <w:sz w:val="20"/>
        </w:rPr>
        <w:t>selector-anchor distillation loss</w:t>
      </w:r>
    </w:p>
    <w:p>
      <w:pPr>
        <w:spacing w:line="269" w:lineRule="auto" w:after="80"/>
      </w:pPr>
      <w:r>
        <w:rPr>
          <w:rFonts w:ascii="Times New Roman" w:hAnsi="Times New Roman" w:eastAsia="Microsoft YaHei"/>
          <w:b w:val="0"/>
          <w:i w:val="0"/>
          <w:sz w:val="21"/>
        </w:rPr>
        <w:t>These losses serve different purposes:</w:t>
      </w:r>
    </w:p>
    <w:p>
      <w:pPr>
        <w:pStyle w:val="ListBullet"/>
        <w:spacing w:line="259" w:lineRule="auto" w:after="40"/>
      </w:pPr>
      <w:r>
        <w:rPr>
          <w:rFonts w:ascii="Times New Roman" w:hAnsi="Times New Roman" w:eastAsia="Microsoft YaHei"/>
          <w:b w:val="0"/>
          <w:i w:val="0"/>
          <w:sz w:val="20"/>
        </w:rPr>
        <w:t>suppress obviously worse alternatives</w:t>
      </w:r>
    </w:p>
    <w:p>
      <w:pPr>
        <w:pStyle w:val="ListBullet"/>
        <w:spacing w:line="259" w:lineRule="auto" w:after="40"/>
      </w:pPr>
      <w:r>
        <w:rPr>
          <w:rFonts w:ascii="Times New Roman" w:hAnsi="Times New Roman" w:eastAsia="Microsoft YaHei"/>
          <w:b w:val="0"/>
          <w:i w:val="0"/>
          <w:sz w:val="20"/>
        </w:rPr>
        <w:t>prevent decoder branches from overwhelming better incumbent engineering priors</w:t>
      </w:r>
    </w:p>
    <w:p>
      <w:pPr>
        <w:pStyle w:val="ListBullet"/>
        <w:spacing w:line="259" w:lineRule="auto" w:after="40"/>
      </w:pPr>
      <w:r>
        <w:rPr>
          <w:rFonts w:ascii="Times New Roman" w:hAnsi="Times New Roman" w:eastAsia="Microsoft YaHei"/>
          <w:b w:val="0"/>
          <w:i w:val="0"/>
          <w:sz w:val="20"/>
        </w:rPr>
        <w:t>avoid needless mutation burden</w:t>
      </w:r>
    </w:p>
    <w:p>
      <w:pPr>
        <w:pStyle w:val="ListBullet"/>
        <w:spacing w:line="259" w:lineRule="auto" w:after="40"/>
      </w:pPr>
      <w:r>
        <w:rPr>
          <w:rFonts w:ascii="Times New Roman" w:hAnsi="Times New Roman" w:eastAsia="Microsoft YaHei"/>
          <w:b w:val="0"/>
          <w:i w:val="0"/>
          <w:sz w:val="20"/>
        </w:rPr>
        <w:t>preserve the incumbent selector’s stability on hard targets</w:t>
      </w:r>
    </w:p>
    <w:p>
      <w:pPr>
        <w:spacing w:before="100" w:after="60"/>
      </w:pPr>
      <w:r>
        <w:rPr>
          <w:rFonts w:ascii="Times New Roman" w:hAnsi="Times New Roman" w:eastAsia="Microsoft YaHei"/>
          <w:b/>
          <w:i w:val="0"/>
          <w:sz w:val="21"/>
        </w:rPr>
        <w:t>11. Gate regularization</w:t>
      </w:r>
    </w:p>
    <w:p>
      <w:pPr>
        <w:spacing w:line="269" w:lineRule="auto" w:after="80"/>
      </w:pPr>
      <w:r>
        <w:rPr>
          <w:rFonts w:ascii="Times New Roman" w:hAnsi="Times New Roman" w:eastAsia="Microsoft YaHei"/>
          <w:b w:val="0"/>
          <w:i w:val="0"/>
          <w:sz w:val="21"/>
        </w:rPr>
        <w:t>The mean branch gate vector is regularized by:</w:t>
      </w:r>
    </w:p>
    <w:p>
      <w:pPr>
        <w:pStyle w:val="ListBullet"/>
        <w:spacing w:line="259" w:lineRule="auto" w:after="40"/>
      </w:pPr>
      <w:r>
        <w:rPr>
          <w:rFonts w:ascii="Times New Roman" w:hAnsi="Times New Roman" w:eastAsia="Microsoft YaHei"/>
          <w:b w:val="0"/>
          <w:i w:val="0"/>
          <w:sz w:val="20"/>
        </w:rPr>
        <w:t>gate-entropy regularization</w:t>
      </w:r>
    </w:p>
    <w:p>
      <w:pPr>
        <w:pStyle w:val="ListBullet"/>
        <w:spacing w:line="259" w:lineRule="auto" w:after="40"/>
      </w:pPr>
      <w:r>
        <w:rPr>
          <w:rFonts w:ascii="Times New Roman" w:hAnsi="Times New Roman" w:eastAsia="Microsoft YaHei"/>
          <w:b w:val="0"/>
          <w:i w:val="0"/>
          <w:sz w:val="20"/>
        </w:rPr>
        <w:t>gate-prior regularization</w:t>
      </w:r>
    </w:p>
    <w:p>
      <w:pPr>
        <w:spacing w:line="269" w:lineRule="auto" w:after="80"/>
      </w:pPr>
      <w:r>
        <w:rPr>
          <w:rFonts w:ascii="Times New Roman" w:hAnsi="Times New Roman" w:eastAsia="Microsoft YaHei"/>
          <w:b w:val="0"/>
          <w:i w:val="0"/>
          <w:sz w:val="21"/>
        </w:rPr>
        <w:t>The gate prior depends on the presence or absence of family, template, and ASR support, encouraging the controller to shift attention according to the available biological context.</w:t>
      </w:r>
    </w:p>
    <w:p>
      <w:pPr>
        <w:spacing w:before="100" w:after="60"/>
      </w:pPr>
      <w:r>
        <w:rPr>
          <w:rFonts w:ascii="Times New Roman" w:hAnsi="Times New Roman" w:eastAsia="Microsoft YaHei"/>
          <w:b/>
          <w:i w:val="0"/>
          <w:sz w:val="21"/>
        </w:rPr>
        <w:t>Total loss</w:t>
      </w:r>
    </w:p>
    <w:p>
      <w:pPr>
        <w:spacing w:line="269" w:lineRule="auto" w:after="80"/>
      </w:pPr>
      <w:r>
        <w:rPr>
          <w:rFonts w:ascii="Times New Roman" w:hAnsi="Times New Roman" w:eastAsia="Microsoft YaHei"/>
          <w:b w:val="0"/>
          <w:i w:val="0"/>
          <w:sz w:val="21"/>
        </w:rPr>
        <w:t>The total loss is a weighted sum:</w:t>
      </w:r>
    </w:p>
    <w:p>
      <w:pPr>
        <w:spacing w:line="269" w:lineRule="auto" w:after="80"/>
      </w:pPr>
      <w:r>
        <w:rPr>
          <w:rFonts w:ascii="Times New Roman" w:hAnsi="Times New Roman" w:eastAsia="Microsoft YaHei"/>
          <w:b w:val="0"/>
          <w:i w:val="0"/>
          <w:sz w:val="21"/>
        </w:rPr>
        <w:t>`L_total = λ_reg L_reg + λ_sel L_sel + λ_eng L_eng + λ_pol L_pol + λ_rank L_rank + λ_dec L_dec + λ_guard L_guard + λ_rec L_rec + λ_pair L_pair + λ_asr L_asr + λ_retr L_retr + λ_env L_env + λ_gate L_gate`</w:t>
      </w:r>
    </w:p>
    <w:p>
      <w:pPr>
        <w:spacing w:line="269" w:lineRule="auto" w:after="80"/>
      </w:pPr>
      <w:r>
        <w:rPr>
          <w:rFonts w:ascii="Times New Roman" w:hAnsi="Times New Roman" w:eastAsia="Microsoft YaHei"/>
          <w:b w:val="0"/>
          <w:i w:val="0"/>
          <w:sz w:val="21"/>
        </w:rPr>
        <w:t>with fixed coefficients defined in the implementation.</w:t>
      </w:r>
    </w:p>
    <w:p>
      <w:pPr>
        <w:spacing w:before="100" w:after="60"/>
      </w:pPr>
      <w:r>
        <w:rPr>
          <w:rFonts w:ascii="Times New Roman" w:hAnsi="Times New Roman" w:eastAsia="Microsoft YaHei"/>
          <w:b/>
          <w:i w:val="0"/>
          <w:sz w:val="24"/>
        </w:rPr>
        <w:t>Teacher-forced neural field decoder</w:t>
      </w:r>
    </w:p>
    <w:p>
      <w:pPr>
        <w:spacing w:line="269" w:lineRule="auto" w:after="80"/>
      </w:pPr>
      <w:r>
        <w:rPr>
          <w:rFonts w:ascii="Times New Roman" w:hAnsi="Times New Roman" w:eastAsia="Microsoft YaHei"/>
          <w:b w:val="0"/>
          <w:i w:val="0"/>
          <w:sz w:val="21"/>
        </w:rPr>
        <w:t>The neural field decoder extends the controller from reranking to decode-time proposal generation.</w:t>
      </w:r>
    </w:p>
    <w:p>
      <w:pPr>
        <w:spacing w:line="269" w:lineRule="auto" w:after="80"/>
      </w:pPr>
      <w:r>
        <w:rPr>
          <w:rFonts w:ascii="Times New Roman" w:hAnsi="Times New Roman" w:eastAsia="Microsoft YaHei"/>
          <w:b w:val="0"/>
          <w:i w:val="0"/>
          <w:sz w:val="21"/>
        </w:rPr>
        <w:t>For a held-out target, the pipeline:</w:t>
      </w:r>
    </w:p>
    <w:p>
      <w:pPr>
        <w:pStyle w:val="ListNumber"/>
        <w:spacing w:line="259" w:lineRule="auto" w:after="40"/>
      </w:pPr>
      <w:r>
        <w:rPr>
          <w:rFonts w:ascii="Times New Roman" w:hAnsi="Times New Roman" w:eastAsia="Microsoft YaHei"/>
          <w:b w:val="0"/>
          <w:i w:val="0"/>
          <w:sz w:val="20"/>
        </w:rPr>
        <w:t>builds a runtime neural batch from the live target state</w:t>
      </w:r>
    </w:p>
    <w:p>
      <w:pPr>
        <w:pStyle w:val="ListNumber"/>
        <w:spacing w:line="259" w:lineRule="auto" w:after="40"/>
      </w:pPr>
      <w:r>
        <w:rPr>
          <w:rFonts w:ascii="Times New Roman" w:hAnsi="Times New Roman" w:eastAsia="Microsoft YaHei"/>
          <w:b w:val="0"/>
          <w:i w:val="0"/>
          <w:sz w:val="20"/>
        </w:rPr>
        <w:t>trains a leave-one-target-out neural field model using all other targets</w:t>
      </w:r>
    </w:p>
    <w:p>
      <w:pPr>
        <w:pStyle w:val="ListNumber"/>
        <w:spacing w:line="259" w:lineRule="auto" w:after="40"/>
      </w:pPr>
      <w:r>
        <w:rPr>
          <w:rFonts w:ascii="Times New Roman" w:hAnsi="Times New Roman" w:eastAsia="Microsoft YaHei"/>
          <w:b w:val="0"/>
          <w:i w:val="0"/>
          <w:sz w:val="20"/>
        </w:rPr>
        <w:t>generates neural unary and pairwise field outputs</w:t>
      </w:r>
    </w:p>
    <w:p>
      <w:pPr>
        <w:pStyle w:val="ListNumber"/>
        <w:spacing w:line="259" w:lineRule="auto" w:after="40"/>
      </w:pPr>
      <w:r>
        <w:rPr>
          <w:rFonts w:ascii="Times New Roman" w:hAnsi="Times New Roman" w:eastAsia="Microsoft YaHei"/>
          <w:b w:val="0"/>
          <w:i w:val="0"/>
          <w:sz w:val="20"/>
        </w:rPr>
        <w:t>combines these learned outputs with evidence-derived prior fields</w:t>
      </w:r>
    </w:p>
    <w:p>
      <w:pPr>
        <w:pStyle w:val="ListNumber"/>
        <w:spacing w:line="259" w:lineRule="auto" w:after="40"/>
      </w:pPr>
      <w:r>
        <w:rPr>
          <w:rFonts w:ascii="Times New Roman" w:hAnsi="Times New Roman" w:eastAsia="Microsoft YaHei"/>
          <w:b w:val="0"/>
          <w:i w:val="0"/>
          <w:sz w:val="20"/>
        </w:rPr>
        <w:t>decodes `neural_decoder` candidates under constrained beam search</w:t>
      </w:r>
    </w:p>
    <w:p>
      <w:pPr>
        <w:spacing w:line="269" w:lineRule="auto" w:after="80"/>
      </w:pPr>
      <w:r>
        <w:rPr>
          <w:rFonts w:ascii="Times New Roman" w:hAnsi="Times New Roman" w:eastAsia="Microsoft YaHei"/>
          <w:b w:val="0"/>
          <w:i w:val="0"/>
          <w:sz w:val="21"/>
        </w:rPr>
        <w:t>The critical design choice is that the neural field is not decoded in isolation. Instead:</w:t>
      </w:r>
    </w:p>
    <w:p>
      <w:pPr>
        <w:pStyle w:val="ListBullet"/>
        <w:spacing w:line="259" w:lineRule="auto" w:after="40"/>
      </w:pPr>
      <w:r>
        <w:rPr>
          <w:rFonts w:ascii="Times New Roman" w:hAnsi="Times New Roman" w:eastAsia="Microsoft YaHei"/>
          <w:b w:val="0"/>
          <w:i w:val="0"/>
          <w:sz w:val="20"/>
        </w:rPr>
        <w:t>learned unary scores are mixed with evidence-derived prior residue scores</w:t>
      </w:r>
    </w:p>
    <w:p>
      <w:pPr>
        <w:pStyle w:val="ListBullet"/>
        <w:spacing w:line="259" w:lineRule="auto" w:after="40"/>
      </w:pPr>
      <w:r>
        <w:rPr>
          <w:rFonts w:ascii="Times New Roman" w:hAnsi="Times New Roman" w:eastAsia="Microsoft YaHei"/>
          <w:b w:val="0"/>
          <w:i w:val="0"/>
          <w:sz w:val="20"/>
        </w:rPr>
        <w:t>learned pairwise scores are mixed with prior pairwise support</w:t>
      </w:r>
    </w:p>
    <w:p>
      <w:pPr>
        <w:spacing w:line="269" w:lineRule="auto" w:after="80"/>
      </w:pPr>
      <w:r>
        <w:rPr>
          <w:rFonts w:ascii="Times New Roman" w:hAnsi="Times New Roman" w:eastAsia="Microsoft YaHei"/>
          <w:b w:val="0"/>
          <w:i w:val="0"/>
          <w:sz w:val="21"/>
        </w:rPr>
        <w:t>This teacher-forced design is deliberate. It allows the decoder to benefit from learned structure while remaining anchored to the broader evidence regime, thereby reducing unstable or biologically implausible decode-time behavior.</w:t>
      </w:r>
    </w:p>
    <w:p>
      <w:pPr>
        <w:spacing w:line="269" w:lineRule="auto" w:after="80"/>
      </w:pPr>
      <w:r>
        <w:rPr>
          <w:rFonts w:ascii="Times New Roman" w:hAnsi="Times New Roman" w:eastAsia="Microsoft YaHei"/>
          <w:b w:val="0"/>
          <w:i w:val="0"/>
          <w:sz w:val="21"/>
        </w:rPr>
        <w:t>The decoder produces:</w:t>
      </w:r>
    </w:p>
    <w:p>
      <w:pPr>
        <w:pStyle w:val="ListBullet"/>
        <w:spacing w:line="259" w:lineRule="auto" w:after="40"/>
      </w:pPr>
      <w:r>
        <w:rPr>
          <w:rFonts w:ascii="Times New Roman" w:hAnsi="Times New Roman" w:eastAsia="Microsoft YaHei"/>
          <w:b w:val="0"/>
          <w:i w:val="0"/>
          <w:sz w:val="20"/>
        </w:rPr>
        <w:t>preview neural-decoder candidates</w:t>
      </w:r>
    </w:p>
    <w:p>
      <w:pPr>
        <w:pStyle w:val="ListBullet"/>
        <w:spacing w:line="259" w:lineRule="auto" w:after="40"/>
      </w:pPr>
      <w:r>
        <w:rPr>
          <w:rFonts w:ascii="Times New Roman" w:hAnsi="Times New Roman" w:eastAsia="Microsoft YaHei"/>
          <w:b w:val="0"/>
          <w:i w:val="0"/>
          <w:sz w:val="20"/>
        </w:rPr>
        <w:t>retained novel candidates after engineering and safety filtering</w:t>
      </w:r>
    </w:p>
    <w:p>
      <w:pPr>
        <w:pStyle w:val="ListBullet"/>
        <w:spacing w:line="259" w:lineRule="auto" w:after="40"/>
      </w:pPr>
      <w:r>
        <w:rPr>
          <w:rFonts w:ascii="Times New Roman" w:hAnsi="Times New Roman" w:eastAsia="Microsoft YaHei"/>
          <w:b w:val="0"/>
          <w:i w:val="0"/>
          <w:sz w:val="20"/>
        </w:rPr>
        <w:t>per-target neural field runtime summaries</w:t>
      </w:r>
    </w:p>
    <w:p>
      <w:pPr>
        <w:spacing w:before="100" w:after="60"/>
      </w:pPr>
      <w:r>
        <w:rPr>
          <w:rFonts w:ascii="Times New Roman" w:hAnsi="Times New Roman" w:eastAsia="Microsoft YaHei"/>
          <w:b/>
          <w:i w:val="0"/>
          <w:sz w:val="24"/>
        </w:rPr>
        <w:t>Final hybrid selection policy</w:t>
      </w:r>
    </w:p>
    <w:p>
      <w:pPr>
        <w:spacing w:line="269" w:lineRule="auto" w:after="80"/>
      </w:pPr>
      <w:r>
        <w:rPr>
          <w:rFonts w:ascii="Times New Roman" w:hAnsi="Times New Roman" w:eastAsia="Microsoft YaHei"/>
          <w:b w:val="0"/>
          <w:i w:val="0"/>
          <w:sz w:val="21"/>
        </w:rPr>
        <w:t>The final paper-facing controller uses a hybrid policy.</w:t>
      </w:r>
    </w:p>
    <w:p>
      <w:pPr>
        <w:spacing w:line="269" w:lineRule="auto" w:after="80"/>
      </w:pPr>
      <w:r>
        <w:rPr>
          <w:rFonts w:ascii="Times New Roman" w:hAnsi="Times New Roman" w:eastAsia="Microsoft YaHei"/>
          <w:b w:val="0"/>
          <w:i w:val="0"/>
          <w:sz w:val="21"/>
        </w:rPr>
        <w:t>If `x_current` is the incumbent current-policy candidate and `x_neural` is the neural-policy candidate, then the final controller adopts `x_neural` only if:</w:t>
      </w:r>
    </w:p>
    <w:p>
      <w:pPr>
        <w:pStyle w:val="ListNumber"/>
        <w:spacing w:line="259" w:lineRule="auto" w:after="40"/>
      </w:pPr>
      <w:r>
        <w:rPr>
          <w:rFonts w:ascii="Times New Roman" w:hAnsi="Times New Roman" w:eastAsia="Microsoft YaHei"/>
          <w:b w:val="0"/>
          <w:i w:val="0"/>
          <w:sz w:val="20"/>
        </w:rPr>
        <w:t>its engineering score is at least as strong as the incumbent</w:t>
      </w:r>
    </w:p>
    <w:p>
      <w:pPr>
        <w:pStyle w:val="ListNumber"/>
        <w:spacing w:line="259" w:lineRule="auto" w:after="40"/>
      </w:pPr>
      <w:r>
        <w:rPr>
          <w:rFonts w:ascii="Times New Roman" w:hAnsi="Times New Roman" w:eastAsia="Microsoft YaHei"/>
          <w:b w:val="0"/>
          <w:i w:val="0"/>
          <w:sz w:val="20"/>
        </w:rPr>
        <w:t>its selection score does not fall more than a small tolerance below the incumbent</w:t>
      </w:r>
    </w:p>
    <w:p>
      <w:pPr>
        <w:spacing w:line="269" w:lineRule="auto" w:after="80"/>
      </w:pPr>
      <w:r>
        <w:rPr>
          <w:rFonts w:ascii="Times New Roman" w:hAnsi="Times New Roman" w:eastAsia="Microsoft YaHei"/>
          <w:b w:val="0"/>
          <w:i w:val="0"/>
          <w:sz w:val="21"/>
        </w:rPr>
        <w:t>In the current implementation, this second tolerance is a small negative margin rather than a strict non-decrease constraint. This design reflects the current strongest honest deployment setting:</w:t>
      </w:r>
    </w:p>
    <w:p>
      <w:pPr>
        <w:pStyle w:val="ListBullet"/>
        <w:spacing w:line="259" w:lineRule="auto" w:after="40"/>
      </w:pPr>
      <w:r>
        <w:rPr>
          <w:rFonts w:ascii="Times New Roman" w:hAnsi="Times New Roman" w:eastAsia="Microsoft YaHei"/>
          <w:b w:val="0"/>
          <w:i w:val="0"/>
          <w:sz w:val="20"/>
        </w:rPr>
        <w:t>neural rerank is active</w:t>
      </w:r>
    </w:p>
    <w:p>
      <w:pPr>
        <w:pStyle w:val="ListBullet"/>
        <w:spacing w:line="259" w:lineRule="auto" w:after="40"/>
      </w:pPr>
      <w:r>
        <w:rPr>
          <w:rFonts w:ascii="Times New Roman" w:hAnsi="Times New Roman" w:eastAsia="Microsoft YaHei"/>
          <w:b w:val="0"/>
          <w:i w:val="0"/>
          <w:sz w:val="20"/>
        </w:rPr>
        <w:t>neural decoder is active</w:t>
      </w:r>
    </w:p>
    <w:p>
      <w:pPr>
        <w:pStyle w:val="ListBullet"/>
        <w:spacing w:line="259" w:lineRule="auto" w:after="40"/>
      </w:pPr>
      <w:r>
        <w:rPr>
          <w:rFonts w:ascii="Times New Roman" w:hAnsi="Times New Roman" w:eastAsia="Microsoft YaHei"/>
          <w:b w:val="0"/>
          <w:i w:val="0"/>
          <w:sz w:val="20"/>
        </w:rPr>
        <w:t>but the controller remains conservative on hard targets where full neural replacement would still be risky</w:t>
      </w:r>
    </w:p>
    <w:p>
      <w:pPr>
        <w:spacing w:before="100" w:after="60"/>
      </w:pPr>
      <w:r>
        <w:rPr>
          <w:rFonts w:ascii="Times New Roman" w:hAnsi="Times New Roman" w:eastAsia="Microsoft YaHei"/>
          <w:b/>
          <w:i w:val="0"/>
          <w:sz w:val="24"/>
        </w:rPr>
        <w:t>Evaluation protocol</w:t>
      </w:r>
    </w:p>
    <w:p>
      <w:pPr>
        <w:spacing w:line="269" w:lineRule="auto" w:after="80"/>
      </w:pPr>
      <w:r>
        <w:rPr>
          <w:rFonts w:ascii="Times New Roman" w:hAnsi="Times New Roman" w:eastAsia="Microsoft YaHei"/>
          <w:b w:val="0"/>
          <w:i w:val="0"/>
          <w:sz w:val="21"/>
        </w:rPr>
        <w:t>The primary evaluation quantities are:</w:t>
      </w:r>
    </w:p>
    <w:p>
      <w:pPr>
        <w:pStyle w:val="ListBullet"/>
        <w:spacing w:line="259" w:lineRule="auto" w:after="40"/>
      </w:pPr>
      <w:r>
        <w:rPr>
          <w:rFonts w:ascii="Times New Roman" w:hAnsi="Times New Roman" w:eastAsia="Microsoft YaHei"/>
          <w:b w:val="0"/>
          <w:i w:val="0"/>
          <w:sz w:val="20"/>
        </w:rPr>
        <w:t>policy selection score</w:t>
      </w:r>
    </w:p>
    <w:p>
      <w:pPr>
        <w:pStyle w:val="ListBullet"/>
        <w:spacing w:line="259" w:lineRule="auto" w:after="40"/>
      </w:pPr>
      <w:r>
        <w:rPr>
          <w:rFonts w:ascii="Times New Roman" w:hAnsi="Times New Roman" w:eastAsia="Microsoft YaHei"/>
          <w:b w:val="0"/>
          <w:i w:val="0"/>
          <w:sz w:val="20"/>
        </w:rPr>
        <w:t>policy engineering score (`mars_score`)</w:t>
      </w:r>
    </w:p>
    <w:p>
      <w:pPr>
        <w:pStyle w:val="ListBullet"/>
        <w:spacing w:line="259" w:lineRule="auto" w:after="40"/>
      </w:pPr>
      <w:r>
        <w:rPr>
          <w:rFonts w:ascii="Times New Roman" w:hAnsi="Times New Roman" w:eastAsia="Microsoft YaHei"/>
          <w:b w:val="0"/>
          <w:i w:val="0"/>
          <w:sz w:val="20"/>
        </w:rPr>
        <w:t>paired delta relative to the incumbent benchmark</w:t>
      </w:r>
    </w:p>
    <w:p>
      <w:pPr>
        <w:pStyle w:val="ListBullet"/>
        <w:spacing w:line="259" w:lineRule="auto" w:after="40"/>
      </w:pPr>
      <w:r>
        <w:rPr>
          <w:rFonts w:ascii="Times New Roman" w:hAnsi="Times New Roman" w:eastAsia="Microsoft YaHei"/>
          <w:b w:val="0"/>
          <w:i w:val="0"/>
          <w:sz w:val="20"/>
        </w:rPr>
        <w:t>neural decoder utilization</w:t>
      </w:r>
    </w:p>
    <w:p>
      <w:pPr>
        <w:spacing w:line="269" w:lineRule="auto" w:after="80"/>
      </w:pPr>
      <w:r>
        <w:rPr>
          <w:rFonts w:ascii="Times New Roman" w:hAnsi="Times New Roman" w:eastAsia="Microsoft YaHei"/>
          <w:b w:val="0"/>
          <w:i w:val="0"/>
          <w:sz w:val="21"/>
        </w:rPr>
        <w:t>Neural decoder utilization is explicitly accounted for using:</w:t>
      </w:r>
    </w:p>
    <w:p>
      <w:pPr>
        <w:pStyle w:val="ListBullet"/>
        <w:spacing w:line="259" w:lineRule="auto" w:after="40"/>
      </w:pPr>
      <w:r>
        <w:rPr>
          <w:rFonts w:ascii="Times New Roman" w:hAnsi="Times New Roman" w:eastAsia="Microsoft YaHei"/>
          <w:b w:val="0"/>
          <w:i w:val="0"/>
          <w:sz w:val="20"/>
        </w:rPr>
        <w:t>whether the decoder was enabled</w:t>
      </w:r>
    </w:p>
    <w:p>
      <w:pPr>
        <w:pStyle w:val="ListBullet"/>
        <w:spacing w:line="259" w:lineRule="auto" w:after="40"/>
      </w:pPr>
      <w:r>
        <w:rPr>
          <w:rFonts w:ascii="Times New Roman" w:hAnsi="Times New Roman" w:eastAsia="Microsoft YaHei"/>
          <w:b w:val="0"/>
          <w:i w:val="0"/>
          <w:sz w:val="20"/>
        </w:rPr>
        <w:t>number of preview candidates</w:t>
      </w:r>
    </w:p>
    <w:p>
      <w:pPr>
        <w:pStyle w:val="ListBullet"/>
        <w:spacing w:line="259" w:lineRule="auto" w:after="40"/>
      </w:pPr>
      <w:r>
        <w:rPr>
          <w:rFonts w:ascii="Times New Roman" w:hAnsi="Times New Roman" w:eastAsia="Microsoft YaHei"/>
          <w:b w:val="0"/>
          <w:i w:val="0"/>
          <w:sz w:val="20"/>
        </w:rPr>
        <w:t>number of retained novel candidates</w:t>
      </w:r>
    </w:p>
    <w:p>
      <w:pPr>
        <w:pStyle w:val="ListBullet"/>
        <w:spacing w:line="259" w:lineRule="auto" w:after="40"/>
      </w:pPr>
      <w:r>
        <w:rPr>
          <w:rFonts w:ascii="Times New Roman" w:hAnsi="Times New Roman" w:eastAsia="Microsoft YaHei"/>
          <w:b w:val="0"/>
          <w:i w:val="0"/>
          <w:sz w:val="20"/>
        </w:rPr>
        <w:t>number of rejected candidates</w:t>
      </w:r>
    </w:p>
    <w:p>
      <w:pPr>
        <w:pStyle w:val="ListBullet"/>
        <w:spacing w:line="259" w:lineRule="auto" w:after="40"/>
      </w:pPr>
      <w:r>
        <w:rPr>
          <w:rFonts w:ascii="Times New Roman" w:hAnsi="Times New Roman" w:eastAsia="Microsoft YaHei"/>
          <w:b w:val="0"/>
          <w:i w:val="0"/>
          <w:sz w:val="20"/>
        </w:rPr>
        <w:t>best retained neural-decoder candidate</w:t>
      </w:r>
    </w:p>
    <w:p>
      <w:pPr>
        <w:spacing w:line="269" w:lineRule="auto" w:after="80"/>
      </w:pPr>
      <w:r>
        <w:rPr>
          <w:rFonts w:ascii="Times New Roman" w:hAnsi="Times New Roman" w:eastAsia="Microsoft YaHei"/>
          <w:b w:val="0"/>
          <w:i w:val="0"/>
          <w:sz w:val="21"/>
        </w:rPr>
        <w:t>The benchmark should be interpreted as a paired engineering panel rather than a classical single-endpoint statistical trial. Accordingly, the key quantities for interpretation are:</w:t>
      </w:r>
    </w:p>
    <w:p>
      <w:pPr>
        <w:pStyle w:val="ListBullet"/>
        <w:spacing w:line="259" w:lineRule="auto" w:after="40"/>
      </w:pPr>
      <w:r>
        <w:rPr>
          <w:rFonts w:ascii="Times New Roman" w:hAnsi="Times New Roman" w:eastAsia="Microsoft YaHei"/>
          <w:b w:val="0"/>
          <w:i w:val="0"/>
          <w:sz w:val="20"/>
        </w:rPr>
        <w:t>how many targets improve</w:t>
      </w:r>
    </w:p>
    <w:p>
      <w:pPr>
        <w:pStyle w:val="ListBullet"/>
        <w:spacing w:line="259" w:lineRule="auto" w:after="40"/>
      </w:pPr>
      <w:r>
        <w:rPr>
          <w:rFonts w:ascii="Times New Roman" w:hAnsi="Times New Roman" w:eastAsia="Microsoft YaHei"/>
          <w:b w:val="0"/>
          <w:i w:val="0"/>
          <w:sz w:val="20"/>
        </w:rPr>
        <w:t>how many targets regress</w:t>
      </w:r>
    </w:p>
    <w:p>
      <w:pPr>
        <w:pStyle w:val="ListBullet"/>
        <w:spacing w:line="259" w:lineRule="auto" w:after="40"/>
      </w:pPr>
      <w:r>
        <w:rPr>
          <w:rFonts w:ascii="Times New Roman" w:hAnsi="Times New Roman" w:eastAsia="Microsoft YaHei"/>
          <w:b w:val="0"/>
          <w:i w:val="0"/>
          <w:sz w:val="20"/>
        </w:rPr>
        <w:t>whether regressions are concentrated or diffuse</w:t>
      </w:r>
    </w:p>
    <w:p>
      <w:pPr>
        <w:pStyle w:val="ListBullet"/>
        <w:spacing w:line="259" w:lineRule="auto" w:after="40"/>
      </w:pPr>
      <w:r>
        <w:rPr>
          <w:rFonts w:ascii="Times New Roman" w:hAnsi="Times New Roman" w:eastAsia="Microsoft YaHei"/>
          <w:b w:val="0"/>
          <w:i w:val="0"/>
          <w:sz w:val="20"/>
        </w:rPr>
        <w:t>whether the neural decoder contributes retained non-redundant candidates</w:t>
      </w:r>
    </w:p>
    <w:p>
      <w:pPr>
        <w:pStyle w:val="ListBullet"/>
        <w:spacing w:line="259" w:lineRule="auto" w:after="40"/>
      </w:pPr>
      <w:r>
        <w:rPr>
          <w:rFonts w:ascii="Times New Roman" w:hAnsi="Times New Roman" w:eastAsia="Microsoft YaHei"/>
          <w:b w:val="0"/>
          <w:i w:val="0"/>
          <w:sz w:val="20"/>
        </w:rPr>
        <w:t>whether related structures retain chemically consistent winners</w:t>
      </w:r>
    </w:p>
    <w:p>
      <w:pPr>
        <w:spacing w:before="100" w:after="60"/>
      </w:pPr>
      <w:r>
        <w:rPr>
          <w:rFonts w:ascii="Times New Roman" w:hAnsi="Times New Roman" w:eastAsia="Microsoft YaHei"/>
          <w:b/>
          <w:i w:val="0"/>
          <w:sz w:val="24"/>
        </w:rPr>
        <w:t>What this Methods section allows us to claim</w:t>
      </w:r>
    </w:p>
    <w:p>
      <w:pPr>
        <w:spacing w:line="269" w:lineRule="auto" w:after="80"/>
      </w:pPr>
      <w:r>
        <w:rPr>
          <w:rFonts w:ascii="Times New Roman" w:hAnsi="Times New Roman" w:eastAsia="Microsoft YaHei"/>
          <w:b w:val="0"/>
          <w:i w:val="0"/>
          <w:sz w:val="21"/>
        </w:rPr>
        <w:t>With the present implementation, the strongest accurate claim is:</w:t>
      </w:r>
    </w:p>
    <w:p>
      <w:pPr>
        <w:spacing w:line="269" w:lineRule="auto" w:after="80"/>
      </w:pPr>
      <w:r>
        <w:rPr>
          <w:rFonts w:ascii="Times New Roman" w:hAnsi="Times New Roman" w:eastAsia="Microsoft YaHei"/>
          <w:b w:val="0"/>
          <w:i w:val="0"/>
          <w:sz w:val="21"/>
        </w:rPr>
        <w:t>`MARS-FIELD` is a unified evidence-to-sequence residue-field controller with an active decode-time neural field branch in the main benchmark path.</w:t>
      </w:r>
    </w:p>
    <w:p>
      <w:pPr>
        <w:spacing w:line="269" w:lineRule="auto" w:after="80"/>
      </w:pPr>
      <w:r>
        <w:rPr>
          <w:rFonts w:ascii="Times New Roman" w:hAnsi="Times New Roman" w:eastAsia="Microsoft YaHei"/>
          <w:b w:val="0"/>
          <w:i w:val="0"/>
          <w:sz w:val="21"/>
        </w:rPr>
        <w:t>The strongest claim it does **not yet** support is:</w:t>
      </w:r>
    </w:p>
    <w:p>
      <w:pPr>
        <w:pStyle w:val="ListBullet"/>
        <w:spacing w:line="259" w:lineRule="auto" w:after="40"/>
      </w:pPr>
      <w:r>
        <w:rPr>
          <w:rFonts w:ascii="Times New Roman" w:hAnsi="Times New Roman" w:eastAsia="Microsoft YaHei"/>
          <w:b w:val="0"/>
          <w:i w:val="0"/>
          <w:sz w:val="20"/>
        </w:rPr>
        <w:t>fully joint proposal-generator / field / decoder optimization</w:t>
      </w:r>
    </w:p>
    <w:p>
      <w:pPr>
        <w:spacing w:line="269" w:lineRule="auto" w:after="80"/>
      </w:pPr>
      <w:r>
        <w:rPr>
          <w:rFonts w:ascii="Times New Roman" w:hAnsi="Times New Roman" w:eastAsia="Microsoft YaHei"/>
          <w:b w:val="0"/>
          <w:i w:val="0"/>
          <w:sz w:val="21"/>
        </w:rPr>
        <w:t>That distinction should remain explicit in the final manuscript.</w:t>
      </w:r>
    </w:p>
    <w:p>
      <w:pPr>
        <w:spacing w:before="160" w:after="60"/>
      </w:pPr>
      <w:r>
        <w:rPr>
          <w:rFonts w:ascii="Times New Roman" w:hAnsi="Times New Roman" w:eastAsia="Microsoft YaHei"/>
          <w:b/>
          <w:i w:val="0"/>
          <w:sz w:val="29"/>
        </w:rPr>
        <w:t>Figure Legends</w:t>
      </w:r>
    </w:p>
    <w:p>
      <w:pPr>
        <w:spacing w:before="160" w:after="60"/>
      </w:pPr>
      <w:r>
        <w:rPr>
          <w:rFonts w:ascii="Times New Roman" w:hAnsi="Times New Roman" w:eastAsia="Microsoft YaHei"/>
          <w:b/>
          <w:i w:val="0"/>
          <w:sz w:val="29"/>
        </w:rPr>
        <w:t>MARS-FIELD Figure Legends v1</w:t>
      </w:r>
    </w:p>
    <w:p>
      <w:pPr>
        <w:spacing w:before="100" w:after="60"/>
      </w:pPr>
      <w:r>
        <w:rPr>
          <w:rFonts w:ascii="Times New Roman" w:hAnsi="Times New Roman" w:eastAsia="Microsoft YaHei"/>
          <w:b/>
          <w:i w:val="0"/>
          <w:sz w:val="24"/>
        </w:rPr>
        <w:t>Figure 1 | MARS-FIELD integrates heterogeneous evidence into a shared residue field</w:t>
      </w:r>
    </w:p>
    <w:p>
      <w:pPr>
        <w:spacing w:line="269" w:lineRule="auto" w:after="80"/>
      </w:pPr>
      <w:r>
        <w:rPr>
          <w:rFonts w:ascii="Times New Roman" w:hAnsi="Times New Roman" w:eastAsia="Microsoft YaHei"/>
          <w:b w:val="0"/>
          <w:i w:val="0"/>
          <w:sz w:val="21"/>
        </w:rPr>
        <w:t>`MARS-FIELD` is organized as a unified evidence-to-sequence controller rather than as a collection of independent proposal engines. Structural geometry, phylogenetic profiles, ancestral lineage information, retrieval-based motif memory, and environment-conditioned engineering context are first encoded as evidence streams and then projected into a shared residue field over the design positions. The native objects of this field are site-wise residue energies `U(i, a)` and pairwise coupling energies `C(i, j, a, b)`, which together define the sequence energy landscape used for controller inference and constrained decoding. The right side of the figure shows the two downstream actions performed on this field: candidate-level calibrated selection and decode-time sequence generation. The lower inset illustrates how this abstract field is instantiated on a concrete target, here represented by a compact residue-field example over selected design positions.</w:t>
      </w:r>
    </w:p>
    <w:p>
      <w:pPr>
        <w:spacing w:before="100" w:after="60"/>
      </w:pPr>
      <w:r>
        <w:rPr>
          <w:rFonts w:ascii="Times New Roman" w:hAnsi="Times New Roman" w:eastAsia="Microsoft YaHei"/>
          <w:b/>
          <w:i w:val="0"/>
          <w:sz w:val="24"/>
        </w:rPr>
        <w:t>Figure 2 | Benchmark claim figure</w:t>
      </w:r>
    </w:p>
    <w:p>
      <w:pPr>
        <w:spacing w:line="269" w:lineRule="auto" w:after="80"/>
      </w:pPr>
      <w:r>
        <w:rPr>
          <w:rFonts w:ascii="Times New Roman" w:hAnsi="Times New Roman" w:eastAsia="Microsoft YaHei"/>
          <w:b w:val="0"/>
          <w:i w:val="0"/>
          <w:sz w:val="21"/>
        </w:rPr>
        <w:t>This figure summarizes the benchmark-level claim of the current `MARS-FIELD` implementation. Panel a shows paired policy-score differences between the final controller and the incumbent benchmark on the twelve-target panel. Positive values indicate targets on which the final controller improved the policy score; negative values indicate targets with lower final policy scores. Panel b condenses the benchmark into headline metrics, including the number of improved targets, the number of decreased targets, the mean paired policy delta, and the total number of retained neural-decoder-derived candidates. Panel c decomposes neural decoder activity across targets into preview, rejected, and retained novel candidates, showing that decode-time neural generation is active across the panel but only selectively retained. Panel d summarizes family-level behavior, illustrating that the benchmark spans multiple protein families and prior regimes rather than a single narrow design setting.</w:t>
      </w:r>
    </w:p>
    <w:p>
      <w:pPr>
        <w:spacing w:before="100" w:after="60"/>
      </w:pPr>
      <w:r>
        <w:rPr>
          <w:rFonts w:ascii="Times New Roman" w:hAnsi="Times New Roman" w:eastAsia="Microsoft YaHei"/>
          <w:b/>
          <w:i w:val="0"/>
          <w:sz w:val="24"/>
        </w:rPr>
        <w:t>Figure 3 | Mechanism and limitation figure</w:t>
      </w:r>
    </w:p>
    <w:p>
      <w:pPr>
        <w:spacing w:line="269" w:lineRule="auto" w:after="80"/>
      </w:pPr>
      <w:r>
        <w:rPr>
          <w:rFonts w:ascii="Times New Roman" w:hAnsi="Times New Roman" w:eastAsia="Microsoft YaHei"/>
          <w:b w:val="0"/>
          <w:i w:val="0"/>
          <w:sz w:val="21"/>
        </w:rPr>
        <w:t>This figure explains why the current controller behaves as it does and where its limits remain. Panel a summarizes component ablations and shows that oxidation-aware and evolutionary information remain dominant constraints in the present benchmark. Panel b displays target-specific neural gate profiles, showing that different targets draw on distinct mixtures of geometry, phylogeny, ancestry, retrieval, and environment signals. Panel c focuses on the concentrated set of negative paired-delta targets and shows that the current regressions are localized rather than diffuse. Panel d quantifies decoder selectivity by comparing preview counts with retained-novel fractions across targets, illustrating that the neural decoder is not used as a blind novelty generator but as a gated, target-dependent proposal source.</w:t>
      </w:r>
    </w:p>
    <w:p>
      <w:pPr>
        <w:spacing w:before="100" w:after="60"/>
      </w:pPr>
      <w:r>
        <w:rPr>
          <w:rFonts w:ascii="Times New Roman" w:hAnsi="Times New Roman" w:eastAsia="Microsoft YaHei"/>
          <w:b/>
          <w:i w:val="0"/>
          <w:sz w:val="24"/>
        </w:rPr>
        <w:t>Figure 4 | Representative case studies reveal distinct controller regimes</w:t>
      </w:r>
    </w:p>
    <w:p>
      <w:pPr>
        <w:spacing w:line="269" w:lineRule="auto" w:after="80"/>
      </w:pPr>
      <w:r>
        <w:rPr>
          <w:rFonts w:ascii="Times New Roman" w:hAnsi="Times New Roman" w:eastAsia="Microsoft YaHei"/>
          <w:b w:val="0"/>
          <w:i w:val="0"/>
          <w:sz w:val="21"/>
        </w:rPr>
        <w:t>This figure uses PSE-derived structural panels to illustrate four distinct operating modes of the controller. The 1LBT panel represents a safety-preserving regime in which the incumbent solution is maintained despite active neural decoding. The TEM1 panel represents a stable-incumbent regime with a meaningful neural-decoder-derived learned alternative. The PETase panel illustrates reproducible redesign logic across two related backbones, showing that the controller can reproduce a chemically consistent solution rather than forcing novelty. The CLD panel acts as a calibration stress test, highlighting the tension between a stable incumbent and a nearby alternative favored by parts of the neural branch. Together, these panels demonstrate that `MARS-FIELD` does not operate identically across targets, but instead adapts to target-specific evidence structure and engineering context.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