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after="80"/>
        <w:jc w:val="center"/>
      </w:pPr>
      <w:r>
        <w:rPr>
          <w:rFonts w:ascii="Times New Roman" w:hAnsi="Times New Roman" w:eastAsia="Microsoft YaHei"/>
          <w:b/>
          <w:i w:val="0"/>
          <w:color w:val="1F4E79"/>
          <w:sz w:val="40"/>
        </w:rPr>
        <w:t>MARS-FIELD</w:t>
      </w:r>
    </w:p>
    <w:p>
      <w:pPr>
        <w:spacing w:line="264" w:lineRule="auto" w:after="80"/>
        <w:jc w:val="center"/>
      </w:pPr>
      <w:r>
        <w:rPr>
          <w:rFonts w:ascii="Times New Roman" w:hAnsi="Times New Roman" w:eastAsia="Microsoft YaHei"/>
          <w:b w:val="0"/>
          <w:i/>
          <w:sz w:val="25"/>
        </w:rPr>
        <w:t>A unified evidence-to-sequence controller for protein engineering</w:t>
      </w:r>
    </w:p>
    <w:p>
      <w:pPr>
        <w:spacing w:line="264" w:lineRule="auto" w:after="80"/>
        <w:jc w:val="center"/>
      </w:pPr>
      <w:r>
        <w:rPr>
          <w:rFonts w:ascii="Times New Roman" w:hAnsi="Times New Roman" w:eastAsia="Microsoft YaHei"/>
          <w:b w:val="0"/>
          <w:i w:val="0"/>
          <w:sz w:val="20"/>
        </w:rPr>
        <w:t>Submission-style draft v9</w:t>
      </w:r>
    </w:p>
    <w:p>
      <w:pPr>
        <w:spacing w:before="160" w:after="60"/>
      </w:pPr>
      <w:r>
        <w:rPr>
          <w:rFonts w:ascii="Times New Roman" w:hAnsi="Times New Roman" w:eastAsia="Microsoft YaHei"/>
          <w:b/>
          <w:i w:val="0"/>
          <w:sz w:val="28"/>
        </w:rPr>
        <w:t>Article Spine</w:t>
      </w:r>
    </w:p>
    <w:p>
      <w:pPr>
        <w:spacing w:before="160" w:after="60"/>
      </w:pPr>
      <w:r>
        <w:rPr>
          <w:rFonts w:ascii="Times New Roman" w:hAnsi="Times New Roman" w:eastAsia="Microsoft YaHei"/>
          <w:b/>
          <w:i w:val="0"/>
          <w:sz w:val="28"/>
        </w:rPr>
        <w:t>MARS-FIELD Core Claims v2</w:t>
      </w:r>
    </w:p>
    <w:p>
      <w:pPr>
        <w:spacing w:before="100" w:after="60"/>
      </w:pPr>
      <w:r>
        <w:rPr>
          <w:rFonts w:ascii="Times New Roman" w:hAnsi="Times New Roman" w:eastAsia="Microsoft YaHei"/>
          <w:b/>
          <w:i w:val="0"/>
          <w:sz w:val="23"/>
        </w:rPr>
        <w:t>Claim 1</w:t>
      </w:r>
    </w:p>
    <w:p>
      <w:pPr>
        <w:spacing w:line="264" w:lineRule="auto" w:after="80"/>
      </w:pPr>
      <w:r>
        <w:rPr>
          <w:rFonts w:ascii="Times New Roman" w:hAnsi="Times New Roman" w:eastAsia="Microsoft YaHei"/>
          <w:b w:val="0"/>
          <w:i w:val="0"/>
          <w:sz w:val="20"/>
        </w:rPr>
        <w:t>`MARS-FIELD` is a unified evidence-to-sequence controller that projects structural, phylogenetic, ancestral, retrieval-based, and environment-conditioned signals into a shared residue field.</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defines the method as a field controller rather than a generator vote</w:t>
      </w:r>
    </w:p>
    <w:p>
      <w:pPr>
        <w:pStyle w:val="ListBullet"/>
        <w:spacing w:line="254" w:lineRule="auto" w:after="40"/>
      </w:pPr>
      <w:r>
        <w:rPr>
          <w:rFonts w:ascii="Times New Roman" w:hAnsi="Times New Roman" w:eastAsia="Microsoft YaHei"/>
          <w:b w:val="0"/>
          <w:i w:val="0"/>
          <w:sz w:val="20"/>
        </w:rPr>
        <w:t>it gives the paper a clear algorithmic object</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1</w:t>
      </w:r>
    </w:p>
    <w:p>
      <w:pPr>
        <w:spacing w:before="100" w:after="60"/>
      </w:pPr>
      <w:r>
        <w:rPr>
          <w:rFonts w:ascii="Times New Roman" w:hAnsi="Times New Roman" w:eastAsia="Microsoft YaHei"/>
          <w:b/>
          <w:i w:val="0"/>
          <w:sz w:val="23"/>
        </w:rPr>
        <w:t>Claim 2</w:t>
      </w:r>
    </w:p>
    <w:p>
      <w:pPr>
        <w:spacing w:line="264" w:lineRule="auto" w:after="80"/>
      </w:pPr>
      <w:r>
        <w:rPr>
          <w:rFonts w:ascii="Times New Roman" w:hAnsi="Times New Roman" w:eastAsia="Microsoft YaHei"/>
          <w:b w:val="0"/>
          <w:i w:val="0"/>
          <w:sz w:val="20"/>
        </w:rPr>
        <w:t>The final controller remains benchmark-stable after neural decode-time generation is introduced into the main path.</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is the main benchmark claim</w:t>
      </w:r>
    </w:p>
    <w:p>
      <w:pPr>
        <w:pStyle w:val="ListBullet"/>
        <w:spacing w:line="254" w:lineRule="auto" w:after="40"/>
      </w:pPr>
      <w:r>
        <w:rPr>
          <w:rFonts w:ascii="Times New Roman" w:hAnsi="Times New Roman" w:eastAsia="Microsoft YaHei"/>
          <w:b w:val="0"/>
          <w:i w:val="0"/>
          <w:sz w:val="20"/>
        </w:rPr>
        <w:t>it shows that neuralization does not destabilize the panel</w:t>
      </w:r>
    </w:p>
    <w:p>
      <w:pPr>
        <w:spacing w:line="264" w:lineRule="auto" w:after="80"/>
      </w:pPr>
      <w:r>
        <w:rPr>
          <w:rFonts w:ascii="Times New Roman" w:hAnsi="Times New Roman" w:eastAsia="Microsoft YaHei"/>
          <w:b w:val="0"/>
          <w:i w:val="0"/>
          <w:sz w:val="20"/>
        </w:rPr>
        <w:t>Supported by:</w:t>
      </w:r>
    </w:p>
    <w:p>
      <w:pPr>
        <w:pStyle w:val="ListBullet"/>
        <w:spacing w:line="254" w:lineRule="auto" w:after="40"/>
      </w:pPr>
      <w:r>
        <w:rPr>
          <w:rFonts w:ascii="Times New Roman" w:hAnsi="Times New Roman" w:eastAsia="Microsoft YaHei"/>
          <w:b w:val="0"/>
          <w:i w:val="0"/>
          <w:sz w:val="20"/>
        </w:rPr>
        <w:t>12-target panel</w:t>
      </w:r>
    </w:p>
    <w:p>
      <w:pPr>
        <w:pStyle w:val="ListBullet"/>
        <w:spacing w:line="254" w:lineRule="auto" w:after="40"/>
      </w:pPr>
      <w:r>
        <w:rPr>
          <w:rFonts w:ascii="Times New Roman" w:hAnsi="Times New Roman" w:eastAsia="Microsoft YaHei"/>
          <w:b w:val="0"/>
          <w:i w:val="0"/>
          <w:sz w:val="20"/>
        </w:rPr>
        <w:t>9/12 targets improved</w:t>
      </w:r>
    </w:p>
    <w:p>
      <w:pPr>
        <w:pStyle w:val="ListBullet"/>
        <w:spacing w:line="254" w:lineRule="auto" w:after="40"/>
      </w:pPr>
      <w:r>
        <w:rPr>
          <w:rFonts w:ascii="Times New Roman" w:hAnsi="Times New Roman" w:eastAsia="Microsoft YaHei"/>
          <w:b w:val="0"/>
          <w:i w:val="0"/>
          <w:sz w:val="20"/>
        </w:rPr>
        <w:t>3/12 targets decreased</w:t>
      </w:r>
    </w:p>
    <w:p>
      <w:pPr>
        <w:pStyle w:val="ListBullet"/>
        <w:spacing w:line="254" w:lineRule="auto" w:after="40"/>
      </w:pPr>
      <w:r>
        <w:rPr>
          <w:rFonts w:ascii="Times New Roman" w:hAnsi="Times New Roman" w:eastAsia="Microsoft YaHei"/>
          <w:b w:val="0"/>
          <w:i w:val="0"/>
          <w:sz w:val="20"/>
        </w:rPr>
        <w:t>mean paired policy delta approximately -0.001</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2</w:t>
      </w:r>
    </w:p>
    <w:p>
      <w:pPr>
        <w:spacing w:before="100" w:after="60"/>
      </w:pPr>
      <w:r>
        <w:rPr>
          <w:rFonts w:ascii="Times New Roman" w:hAnsi="Times New Roman" w:eastAsia="Microsoft YaHei"/>
          <w:b/>
          <w:i w:val="0"/>
          <w:sz w:val="23"/>
        </w:rPr>
        <w:t>Claim 3</w:t>
      </w:r>
    </w:p>
    <w:p>
      <w:pPr>
        <w:spacing w:line="264" w:lineRule="auto" w:after="80"/>
      </w:pPr>
      <w:r>
        <w:rPr>
          <w:rFonts w:ascii="Times New Roman" w:hAnsi="Times New Roman" w:eastAsia="Microsoft YaHei"/>
          <w:b w:val="0"/>
          <w:i w:val="0"/>
          <w:sz w:val="20"/>
        </w:rPr>
        <w:t>The neural branch is a real proposal source, not only a reranker, and its contribution is selective rather than indiscriminate.</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upgrades the system from rerank-only to controller-decoder</w:t>
      </w:r>
    </w:p>
    <w:p>
      <w:pPr>
        <w:pStyle w:val="ListBullet"/>
        <w:spacing w:line="254" w:lineRule="auto" w:after="40"/>
      </w:pPr>
      <w:r>
        <w:rPr>
          <w:rFonts w:ascii="Times New Roman" w:hAnsi="Times New Roman" w:eastAsia="Microsoft YaHei"/>
          <w:b w:val="0"/>
          <w:i w:val="0"/>
          <w:sz w:val="20"/>
        </w:rPr>
        <w:t>it supports an end-to-end controller narrative without overclaiming full joint training</w:t>
      </w:r>
    </w:p>
    <w:p>
      <w:pPr>
        <w:spacing w:line="264" w:lineRule="auto" w:after="80"/>
      </w:pPr>
      <w:r>
        <w:rPr>
          <w:rFonts w:ascii="Times New Roman" w:hAnsi="Times New Roman" w:eastAsia="Microsoft YaHei"/>
          <w:b w:val="0"/>
          <w:i w:val="0"/>
          <w:sz w:val="20"/>
        </w:rPr>
        <w:t>Supported by:</w:t>
      </w:r>
    </w:p>
    <w:p>
      <w:pPr>
        <w:pStyle w:val="ListBullet"/>
        <w:spacing w:line="254" w:lineRule="auto" w:after="40"/>
      </w:pPr>
      <w:r>
        <w:rPr>
          <w:rFonts w:ascii="Times New Roman" w:hAnsi="Times New Roman" w:eastAsia="Microsoft YaHei"/>
          <w:b w:val="0"/>
          <w:i w:val="0"/>
          <w:sz w:val="20"/>
        </w:rPr>
        <w:t>neural decoder enabled on 12/12 targets</w:t>
      </w:r>
    </w:p>
    <w:p>
      <w:pPr>
        <w:pStyle w:val="ListBullet"/>
        <w:spacing w:line="254" w:lineRule="auto" w:after="40"/>
      </w:pPr>
      <w:r>
        <w:rPr>
          <w:rFonts w:ascii="Times New Roman" w:hAnsi="Times New Roman" w:eastAsia="Microsoft YaHei"/>
          <w:b w:val="0"/>
          <w:i w:val="0"/>
          <w:sz w:val="20"/>
        </w:rPr>
        <w:t>retained neural-decoder candidates on 5/12 targets</w:t>
      </w:r>
    </w:p>
    <w:p>
      <w:pPr>
        <w:pStyle w:val="ListBullet"/>
        <w:spacing w:line="254" w:lineRule="auto" w:after="40"/>
      </w:pPr>
      <w:r>
        <w:rPr>
          <w:rFonts w:ascii="Times New Roman" w:hAnsi="Times New Roman" w:eastAsia="Microsoft YaHei"/>
          <w:b w:val="0"/>
          <w:i w:val="0"/>
          <w:sz w:val="20"/>
        </w:rPr>
        <w:t>34 retained novel neural-decoder candidates</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2</w:t>
      </w:r>
    </w:p>
    <w:p>
      <w:pPr>
        <w:pStyle w:val="ListBullet"/>
        <w:spacing w:line="254" w:lineRule="auto" w:after="40"/>
      </w:pPr>
      <w:r>
        <w:rPr>
          <w:rFonts w:ascii="Times New Roman" w:hAnsi="Times New Roman" w:eastAsia="Microsoft YaHei"/>
          <w:b w:val="0"/>
          <w:i w:val="0"/>
          <w:sz w:val="20"/>
        </w:rPr>
        <w:t>Figure 3</w:t>
      </w:r>
    </w:p>
    <w:p>
      <w:pPr>
        <w:spacing w:before="100" w:after="60"/>
      </w:pPr>
      <w:r>
        <w:rPr>
          <w:rFonts w:ascii="Times New Roman" w:hAnsi="Times New Roman" w:eastAsia="Microsoft YaHei"/>
          <w:b/>
          <w:i w:val="0"/>
          <w:sz w:val="23"/>
        </w:rPr>
        <w:t>Claim 4</w:t>
      </w:r>
    </w:p>
    <w:p>
      <w:pPr>
        <w:spacing w:line="264" w:lineRule="auto" w:after="80"/>
      </w:pPr>
      <w:r>
        <w:rPr>
          <w:rFonts w:ascii="Times New Roman" w:hAnsi="Times New Roman" w:eastAsia="Microsoft YaHei"/>
          <w:b w:val="0"/>
          <w:i w:val="0"/>
          <w:sz w:val="20"/>
        </w:rPr>
        <w:t>Controller behavior is mechanistically interpretable and remaining failures are concentrated rather than diffuse.</w:t>
      </w:r>
    </w:p>
    <w:p>
      <w:pPr>
        <w:spacing w:line="264" w:lineRule="auto" w:after="80"/>
      </w:pPr>
      <w:r>
        <w:rPr>
          <w:rFonts w:ascii="Times New Roman" w:hAnsi="Times New Roman" w:eastAsia="Microsoft YaHei"/>
          <w:b w:val="0"/>
          <w:i w:val="0"/>
          <w:sz w:val="20"/>
        </w:rPr>
        <w:t>Why it matters:</w:t>
      </w:r>
    </w:p>
    <w:p>
      <w:pPr>
        <w:pStyle w:val="ListBullet"/>
        <w:spacing w:line="254" w:lineRule="auto" w:after="40"/>
      </w:pPr>
      <w:r>
        <w:rPr>
          <w:rFonts w:ascii="Times New Roman" w:hAnsi="Times New Roman" w:eastAsia="Microsoft YaHei"/>
          <w:b w:val="0"/>
          <w:i w:val="0"/>
          <w:sz w:val="20"/>
        </w:rPr>
        <w:t>it gives the paper a mechanism-and-boundary layer</w:t>
      </w:r>
    </w:p>
    <w:p>
      <w:pPr>
        <w:pStyle w:val="ListBullet"/>
        <w:spacing w:line="254" w:lineRule="auto" w:after="40"/>
      </w:pPr>
      <w:r>
        <w:rPr>
          <w:rFonts w:ascii="Times New Roman" w:hAnsi="Times New Roman" w:eastAsia="Microsoft YaHei"/>
          <w:b w:val="0"/>
          <w:i w:val="0"/>
          <w:sz w:val="20"/>
        </w:rPr>
        <w:t>it turns regressions into explicit limitations rather than hidden weaknesses</w:t>
      </w:r>
    </w:p>
    <w:p>
      <w:pPr>
        <w:spacing w:line="264" w:lineRule="auto" w:after="80"/>
      </w:pPr>
      <w:r>
        <w:rPr>
          <w:rFonts w:ascii="Times New Roman" w:hAnsi="Times New Roman" w:eastAsia="Microsoft YaHei"/>
          <w:b w:val="0"/>
          <w:i w:val="0"/>
          <w:sz w:val="20"/>
        </w:rPr>
        <w:t>Supported by:</w:t>
      </w:r>
    </w:p>
    <w:p>
      <w:pPr>
        <w:pStyle w:val="ListBullet"/>
        <w:spacing w:line="254" w:lineRule="auto" w:after="40"/>
      </w:pPr>
      <w:r>
        <w:rPr>
          <w:rFonts w:ascii="Times New Roman" w:hAnsi="Times New Roman" w:eastAsia="Microsoft YaHei"/>
          <w:b w:val="0"/>
          <w:i w:val="0"/>
          <w:sz w:val="20"/>
        </w:rPr>
        <w:t>oxidation and evolution ablations</w:t>
      </w:r>
    </w:p>
    <w:p>
      <w:pPr>
        <w:pStyle w:val="ListBullet"/>
        <w:spacing w:line="254" w:lineRule="auto" w:after="40"/>
      </w:pPr>
      <w:r>
        <w:rPr>
          <w:rFonts w:ascii="Times New Roman" w:hAnsi="Times New Roman" w:eastAsia="Microsoft YaHei"/>
          <w:b w:val="0"/>
          <w:i w:val="0"/>
          <w:sz w:val="20"/>
        </w:rPr>
        <w:t>target-specific gate profiles</w:t>
      </w:r>
    </w:p>
    <w:p>
      <w:pPr>
        <w:pStyle w:val="ListBullet"/>
        <w:spacing w:line="254" w:lineRule="auto" w:after="40"/>
      </w:pPr>
      <w:r>
        <w:rPr>
          <w:rFonts w:ascii="Times New Roman" w:hAnsi="Times New Roman" w:eastAsia="Microsoft YaHei"/>
          <w:b w:val="0"/>
          <w:i w:val="0"/>
          <w:sz w:val="20"/>
        </w:rPr>
        <w:t>concentrated regression targets</w:t>
      </w:r>
    </w:p>
    <w:p>
      <w:pPr>
        <w:pStyle w:val="ListBullet"/>
        <w:spacing w:line="254" w:lineRule="auto" w:after="40"/>
      </w:pPr>
      <w:r>
        <w:rPr>
          <w:rFonts w:ascii="Times New Roman" w:hAnsi="Times New Roman" w:eastAsia="Microsoft YaHei"/>
          <w:b w:val="0"/>
          <w:i w:val="0"/>
          <w:sz w:val="20"/>
        </w:rPr>
        <w:t>case-study structural panels</w:t>
      </w:r>
    </w:p>
    <w:p>
      <w:pPr>
        <w:spacing w:line="264" w:lineRule="auto" w:after="80"/>
      </w:pPr>
      <w:r>
        <w:rPr>
          <w:rFonts w:ascii="Times New Roman" w:hAnsi="Times New Roman" w:eastAsia="Microsoft YaHei"/>
          <w:b w:val="0"/>
          <w:i w:val="0"/>
          <w:sz w:val="20"/>
        </w:rPr>
        <w:t>Figure anchor:</w:t>
      </w:r>
    </w:p>
    <w:p>
      <w:pPr>
        <w:pStyle w:val="ListBullet"/>
        <w:spacing w:line="254" w:lineRule="auto" w:after="40"/>
      </w:pPr>
      <w:r>
        <w:rPr>
          <w:rFonts w:ascii="Times New Roman" w:hAnsi="Times New Roman" w:eastAsia="Microsoft YaHei"/>
          <w:b w:val="0"/>
          <w:i w:val="0"/>
          <w:sz w:val="20"/>
        </w:rPr>
        <w:t>Figure 3</w:t>
      </w:r>
    </w:p>
    <w:p>
      <w:pPr>
        <w:pStyle w:val="ListBullet"/>
        <w:spacing w:line="254" w:lineRule="auto" w:after="40"/>
      </w:pPr>
      <w:r>
        <w:rPr>
          <w:rFonts w:ascii="Times New Roman" w:hAnsi="Times New Roman" w:eastAsia="Microsoft YaHei"/>
          <w:b w:val="0"/>
          <w:i w:val="0"/>
          <w:sz w:val="20"/>
        </w:rPr>
        <w:t>Figure 4</w:t>
      </w:r>
    </w:p>
    <w:p>
      <w:pPr>
        <w:spacing w:before="160" w:after="60"/>
      </w:pPr>
      <w:r>
        <w:rPr>
          <w:rFonts w:ascii="Times New Roman" w:hAnsi="Times New Roman" w:eastAsia="Microsoft YaHei"/>
          <w:b/>
          <w:i w:val="0"/>
          <w:sz w:val="28"/>
        </w:rPr>
        <w:t>Main Figures</w:t>
      </w:r>
    </w:p>
    <w:p>
      <w:pPr>
        <w:jc w:val="center"/>
      </w:pPr>
      <w:r>
        <w:drawing>
          <wp:inline xmlns:a="http://schemas.openxmlformats.org/drawingml/2006/main" xmlns:pic="http://schemas.openxmlformats.org/drawingml/2006/picture">
            <wp:extent cx="5532120" cy="3289935"/>
            <wp:docPr id="1" name="Picture 1"/>
            <wp:cNvGraphicFramePr>
              <a:graphicFrameLocks noChangeAspect="1"/>
            </wp:cNvGraphicFramePr>
            <a:graphic>
              <a:graphicData uri="http://schemas.openxmlformats.org/drawingml/2006/picture">
                <pic:pic>
                  <pic:nvPicPr>
                    <pic:cNvPr id="0" name="figure1_mars_field_architecture_v2.png"/>
                    <pic:cNvPicPr/>
                  </pic:nvPicPr>
                  <pic:blipFill>
                    <a:blip r:embed="rId9"/>
                    <a:stretch>
                      <a:fillRect/>
                    </a:stretch>
                  </pic:blipFill>
                  <pic:spPr>
                    <a:xfrm>
                      <a:off x="0" y="0"/>
                      <a:ext cx="5532120" cy="3289935"/>
                    </a:xfrm>
                    <a:prstGeom prst="rect"/>
                  </pic:spPr>
                </pic:pic>
              </a:graphicData>
            </a:graphic>
          </wp:inline>
        </w:drawing>
      </w:r>
    </w:p>
    <w:p>
      <w:pPr>
        <w:spacing w:after="120"/>
        <w:jc w:val="center"/>
      </w:pPr>
      <w:r>
        <w:rPr>
          <w:rFonts w:ascii="Times New Roman" w:hAnsi="Times New Roman" w:eastAsia="Microsoft YaHei"/>
          <w:b w:val="0"/>
          <w:i/>
          <w:sz w:val="16"/>
        </w:rPr>
        <w:t>Figure 1 | MARS-FIELD integrates heterogeneous evidence into a shared residue field.</w:t>
      </w:r>
    </w:p>
    <w:p>
      <w:pPr>
        <w:jc w:val="center"/>
      </w:pPr>
      <w:r>
        <w:drawing>
          <wp:inline xmlns:a="http://schemas.openxmlformats.org/drawingml/2006/main" xmlns:pic="http://schemas.openxmlformats.org/drawingml/2006/picture">
            <wp:extent cx="5532120" cy="3407368"/>
            <wp:docPr id="2" name="Picture 2"/>
            <wp:cNvGraphicFramePr>
              <a:graphicFrameLocks noChangeAspect="1"/>
            </wp:cNvGraphicFramePr>
            <a:graphic>
              <a:graphicData uri="http://schemas.openxmlformats.org/drawingml/2006/picture">
                <pic:pic>
                  <pic:nvPicPr>
                    <pic:cNvPr id="0" name="figure2_benchmark_claim_v5.png"/>
                    <pic:cNvPicPr/>
                  </pic:nvPicPr>
                  <pic:blipFill>
                    <a:blip r:embed="rId10"/>
                    <a:stretch>
                      <a:fillRect/>
                    </a:stretch>
                  </pic:blipFill>
                  <pic:spPr>
                    <a:xfrm>
                      <a:off x="0" y="0"/>
                      <a:ext cx="5532120" cy="3407368"/>
                    </a:xfrm>
                    <a:prstGeom prst="rect"/>
                  </pic:spPr>
                </pic:pic>
              </a:graphicData>
            </a:graphic>
          </wp:inline>
        </w:drawing>
      </w:r>
    </w:p>
    <w:p>
      <w:pPr>
        <w:spacing w:after="120"/>
        <w:jc w:val="center"/>
      </w:pPr>
      <w:r>
        <w:rPr>
          <w:rFonts w:ascii="Times New Roman" w:hAnsi="Times New Roman" w:eastAsia="Microsoft YaHei"/>
          <w:b w:val="0"/>
          <w:i/>
          <w:sz w:val="16"/>
        </w:rPr>
        <w:t>Figure 2 | Benchmark claim figure.</w:t>
      </w:r>
    </w:p>
    <w:p>
      <w:pPr>
        <w:jc w:val="center"/>
      </w:pPr>
      <w:r>
        <w:drawing>
          <wp:inline xmlns:a="http://schemas.openxmlformats.org/drawingml/2006/main" xmlns:pic="http://schemas.openxmlformats.org/drawingml/2006/picture">
            <wp:extent cx="5532120" cy="3276496"/>
            <wp:docPr id="3" name="Picture 3"/>
            <wp:cNvGraphicFramePr>
              <a:graphicFrameLocks noChangeAspect="1"/>
            </wp:cNvGraphicFramePr>
            <a:graphic>
              <a:graphicData uri="http://schemas.openxmlformats.org/drawingml/2006/picture">
                <pic:pic>
                  <pic:nvPicPr>
                    <pic:cNvPr id="0" name="figure3_mechanism_limitations_v5.png"/>
                    <pic:cNvPicPr/>
                  </pic:nvPicPr>
                  <pic:blipFill>
                    <a:blip r:embed="rId11"/>
                    <a:stretch>
                      <a:fillRect/>
                    </a:stretch>
                  </pic:blipFill>
                  <pic:spPr>
                    <a:xfrm>
                      <a:off x="0" y="0"/>
                      <a:ext cx="5532120" cy="3276496"/>
                    </a:xfrm>
                    <a:prstGeom prst="rect"/>
                  </pic:spPr>
                </pic:pic>
              </a:graphicData>
            </a:graphic>
          </wp:inline>
        </w:drawing>
      </w:r>
    </w:p>
    <w:p>
      <w:pPr>
        <w:spacing w:after="120"/>
        <w:jc w:val="center"/>
      </w:pPr>
      <w:r>
        <w:rPr>
          <w:rFonts w:ascii="Times New Roman" w:hAnsi="Times New Roman" w:eastAsia="Microsoft YaHei"/>
          <w:b w:val="0"/>
          <w:i/>
          <w:sz w:val="16"/>
        </w:rPr>
        <w:t>Figure 3 | Mechanism and limitation figure.</w:t>
      </w:r>
    </w:p>
    <w:p>
      <w:pPr>
        <w:jc w:val="center"/>
      </w:pPr>
      <w:r>
        <w:drawing>
          <wp:inline xmlns:a="http://schemas.openxmlformats.org/drawingml/2006/main" xmlns:pic="http://schemas.openxmlformats.org/drawingml/2006/picture">
            <wp:extent cx="5532120" cy="4035334"/>
            <wp:docPr id="4" name="Picture 4"/>
            <wp:cNvGraphicFramePr>
              <a:graphicFrameLocks noChangeAspect="1"/>
            </wp:cNvGraphicFramePr>
            <a:graphic>
              <a:graphicData uri="http://schemas.openxmlformats.org/drawingml/2006/picture">
                <pic:pic>
                  <pic:nvPicPr>
                    <pic:cNvPr id="0" name="figure4_case_studies_master_v3.png"/>
                    <pic:cNvPicPr/>
                  </pic:nvPicPr>
                  <pic:blipFill>
                    <a:blip r:embed="rId12"/>
                    <a:stretch>
                      <a:fillRect/>
                    </a:stretch>
                  </pic:blipFill>
                  <pic:spPr>
                    <a:xfrm>
                      <a:off x="0" y="0"/>
                      <a:ext cx="5532120" cy="4035334"/>
                    </a:xfrm>
                    <a:prstGeom prst="rect"/>
                  </pic:spPr>
                </pic:pic>
              </a:graphicData>
            </a:graphic>
          </wp:inline>
        </w:drawing>
      </w:r>
    </w:p>
    <w:p>
      <w:pPr>
        <w:spacing w:after="120"/>
        <w:jc w:val="center"/>
      </w:pPr>
      <w:r>
        <w:rPr>
          <w:rFonts w:ascii="Times New Roman" w:hAnsi="Times New Roman" w:eastAsia="Microsoft YaHei"/>
          <w:b w:val="0"/>
          <w:i/>
          <w:sz w:val="16"/>
        </w:rPr>
        <w:t>Figure 4 | PSE-derived case-study composite.</w:t>
      </w:r>
    </w:p>
    <w:p>
      <w:pPr>
        <w:spacing w:before="160" w:after="60"/>
      </w:pPr>
      <w:r>
        <w:rPr>
          <w:rFonts w:ascii="Times New Roman" w:hAnsi="Times New Roman" w:eastAsia="Microsoft YaHei"/>
          <w:b/>
          <w:i w:val="0"/>
          <w:sz w:val="28"/>
        </w:rPr>
        <w:t>Introduction and Discussion</w:t>
      </w:r>
    </w:p>
    <w:p>
      <w:pPr>
        <w:spacing w:before="160" w:after="60"/>
      </w:pPr>
      <w:r>
        <w:rPr>
          <w:rFonts w:ascii="Times New Roman" w:hAnsi="Times New Roman" w:eastAsia="Microsoft YaHei"/>
          <w:b/>
          <w:i w:val="0"/>
          <w:sz w:val="28"/>
        </w:rPr>
        <w:t>MARS-FIELD Introduction and Discussion Draft v2</w:t>
      </w:r>
    </w:p>
    <w:p>
      <w:pPr>
        <w:spacing w:before="100" w:after="60"/>
      </w:pPr>
      <w:r>
        <w:rPr>
          <w:rFonts w:ascii="Times New Roman" w:hAnsi="Times New Roman" w:eastAsia="Microsoft YaHei"/>
          <w:b/>
          <w:i w:val="0"/>
          <w:sz w:val="23"/>
        </w:rPr>
        <w:t>Introduction</w:t>
      </w:r>
    </w:p>
    <w:p>
      <w:pPr>
        <w:spacing w:line="264" w:lineRule="auto" w:after="80"/>
      </w:pPr>
      <w:r>
        <w:rPr>
          <w:rFonts w:ascii="Times New Roman" w:hAnsi="Times New Roman" w:eastAsia="Microsoft YaHei"/>
          <w:b w:val="0"/>
          <w:i w:val="0"/>
          <w:sz w:val="20"/>
        </w:rPr>
        <w:t>Protein engineering pipelines often combine structural analysis, evolutionary priors, ancestral reconstruction, and machine-learning proposal engines as loosely connected modules. This modularity is operationally useful, but it creates a conceptual weakness: the system behaves as a collection of partially redundant signals rather than as a unified controller. The problem becomes more severe when the target objective is not simply sequence plausibility but robust engineering under multiple constraints, including oxidation risk, flexible-surface burden, motif preservation, and environment-conditioned stress.</w:t>
      </w:r>
    </w:p>
    <w:p>
      <w:pPr>
        <w:spacing w:line="264" w:lineRule="auto" w:after="80"/>
      </w:pPr>
      <w:r>
        <w:rPr>
          <w:rFonts w:ascii="Times New Roman" w:hAnsi="Times New Roman" w:eastAsia="Microsoft YaHei"/>
          <w:b w:val="0"/>
          <w:i w:val="0"/>
          <w:sz w:val="20"/>
        </w:rPr>
        <w:t>`MARS-FIELD` addresses this problem by treating protein engineering as an evidence-to-sequence control task. Structural, phylogenetic, ancestral, retrieval-based, and environment-conditioned signals are projected into a shared residue field over the design positions. This field, rather than a candidate list, is the native decision object of the method. It defines residue-wise preferences and pairwise couplings, and these quantities are used both to evaluate incumbent candidates and to decode new ones under explicit engineering constraints.</w:t>
      </w:r>
    </w:p>
    <w:p>
      <w:pPr>
        <w:spacing w:line="264" w:lineRule="auto" w:after="80"/>
      </w:pPr>
      <w:r>
        <w:rPr>
          <w:rFonts w:ascii="Times New Roman" w:hAnsi="Times New Roman" w:eastAsia="Microsoft YaHei"/>
          <w:b w:val="0"/>
          <w:i w:val="0"/>
          <w:sz w:val="20"/>
        </w:rPr>
        <w:t>The current implementation goes beyond a rerank-only architecture in two ways. First, ancestry and retrieval are represented as learned memory-linked branches inside the controller. Second, the neural branch is active at decode time in the main benchmark path. The resulting system is therefore not only a candidate reranker, but a field-controller-decoder architecture. We do not claim that this is yet the final fully joint proposal-generator / field / decoder model. Instead, we ask whether a unified evidence-conditioned controller can already be made benchmark-stable, mechanistically interpretable, and capable of decode-time neural proposal generation.</w:t>
      </w:r>
    </w:p>
    <w:p>
      <w:pPr>
        <w:spacing w:before="100" w:after="60"/>
      </w:pPr>
      <w:r>
        <w:rPr>
          <w:rFonts w:ascii="Times New Roman" w:hAnsi="Times New Roman" w:eastAsia="Microsoft YaHei"/>
          <w:b/>
          <w:i w:val="0"/>
          <w:sz w:val="23"/>
        </w:rPr>
        <w:t>Discussion</w:t>
      </w:r>
    </w:p>
    <w:p>
      <w:pPr>
        <w:spacing w:line="264" w:lineRule="auto" w:after="80"/>
      </w:pPr>
      <w:r>
        <w:rPr>
          <w:rFonts w:ascii="Times New Roman" w:hAnsi="Times New Roman" w:eastAsia="Microsoft YaHei"/>
          <w:b w:val="0"/>
          <w:i w:val="0"/>
          <w:sz w:val="20"/>
        </w:rPr>
        <w:t>The main conclusion of this study is that a shared residue-field controller provides a more coherent basis for protein engineering than an ensemble of disconnected proposal branches. In the present implementation, `MARS-FIELD` integrates heterogeneous evidence streams into a common residue field, uses a calibrated neural controller to score candidates, and activates a decode-time neural branch inside the main benchmark path. This is qualitatively different from earlier stack-and-rerank pipelines because the neural branch now participates in generation as well as selection.</w:t>
      </w:r>
    </w:p>
    <w:p>
      <w:pPr>
        <w:spacing w:line="264" w:lineRule="auto" w:after="80"/>
      </w:pPr>
      <w:r>
        <w:rPr>
          <w:rFonts w:ascii="Times New Roman" w:hAnsi="Times New Roman" w:eastAsia="Microsoft YaHei"/>
          <w:b w:val="0"/>
          <w:i w:val="0"/>
          <w:sz w:val="20"/>
        </w:rPr>
        <w:t>An important feature of the current results is stability. The final controller improves paired policy score on most targets while maintaining an approximately neutral panel-level mean delta after neural decoder integration. This indicates that a more ambitious controller-decoder architecture can be inserted into the benchmark without causing broad collapse. At the same time, retained neural-decoder candidates appear only on a subset of targets, implying that the decoder is selective rather than indiscriminate.</w:t>
      </w:r>
    </w:p>
    <w:p>
      <w:pPr>
        <w:spacing w:line="264" w:lineRule="auto" w:after="80"/>
      </w:pPr>
      <w:r>
        <w:rPr>
          <w:rFonts w:ascii="Times New Roman" w:hAnsi="Times New Roman" w:eastAsia="Microsoft YaHei"/>
          <w:b w:val="0"/>
          <w:i w:val="0"/>
          <w:sz w:val="20"/>
        </w:rPr>
        <w:t>The remaining failures are also informative. The current regressions are concentrated in a small number of calibration-limited targets rather than distributed broadly across the panel. This is consistent with a method that is fundamentally viable but not yet fully optimized. In particular, the current implementation still relies on staged supervision and a hybrid final policy, and therefore should not be described as the final fully joint protein design model.</w:t>
      </w:r>
    </w:p>
    <w:p>
      <w:pPr>
        <w:spacing w:line="264" w:lineRule="auto" w:after="80"/>
      </w:pPr>
      <w:r>
        <w:rPr>
          <w:rFonts w:ascii="Times New Roman" w:hAnsi="Times New Roman" w:eastAsia="Microsoft YaHei"/>
          <w:b w:val="0"/>
          <w:i w:val="0"/>
          <w:sz w:val="20"/>
        </w:rPr>
        <w:t>We therefore view `MARS-FIELD` as a bridge architecture. It is more unified than a heuristic engineering stack, more honest than a claim of fully joint optimization, and already strong enough to support a methods paper built around a shared residue-field controller, decode-time neural proposal generation, and panel-level benchmark stability.</w:t>
      </w:r>
    </w:p>
    <w:p>
      <w:pPr>
        <w:spacing w:before="160" w:after="60"/>
      </w:pPr>
      <w:r>
        <w:rPr>
          <w:rFonts w:ascii="Times New Roman" w:hAnsi="Times New Roman" w:eastAsia="Microsoft YaHei"/>
          <w:b/>
          <w:i w:val="0"/>
          <w:sz w:val="28"/>
        </w:rPr>
        <w:t>Related Work</w:t>
      </w:r>
    </w:p>
    <w:p>
      <w:pPr>
        <w:spacing w:before="160" w:after="60"/>
      </w:pPr>
      <w:r>
        <w:rPr>
          <w:rFonts w:ascii="Times New Roman" w:hAnsi="Times New Roman" w:eastAsia="Microsoft YaHei"/>
          <w:b/>
          <w:i w:val="0"/>
          <w:sz w:val="28"/>
        </w:rPr>
        <w:t>MARS-FIELD Related Work and References v3</w:t>
      </w:r>
    </w:p>
    <w:p>
      <w:pPr>
        <w:spacing w:before="100" w:after="60"/>
      </w:pPr>
      <w:r>
        <w:rPr>
          <w:rFonts w:ascii="Times New Roman" w:hAnsi="Times New Roman" w:eastAsia="Microsoft YaHei"/>
          <w:b/>
          <w:i w:val="0"/>
          <w:sz w:val="23"/>
        </w:rPr>
        <w:t>Related work</w:t>
      </w:r>
    </w:p>
    <w:p>
      <w:pPr>
        <w:spacing w:before="100" w:after="60"/>
      </w:pPr>
      <w:r>
        <w:rPr>
          <w:rFonts w:ascii="Times New Roman" w:hAnsi="Times New Roman" w:eastAsia="Microsoft YaHei"/>
          <w:b/>
          <w:i w:val="0"/>
          <w:sz w:val="21"/>
        </w:rPr>
        <w:t>Structure prediction and inverse folding</w:t>
      </w:r>
    </w:p>
    <w:p>
      <w:pPr>
        <w:spacing w:line="264" w:lineRule="auto" w:after="80"/>
      </w:pPr>
      <w:r>
        <w:rPr>
          <w:rFonts w:ascii="Times New Roman" w:hAnsi="Times New Roman" w:eastAsia="Microsoft YaHei"/>
          <w:b w:val="0"/>
          <w:i w:val="0"/>
          <w:sz w:val="20"/>
        </w:rPr>
        <w:t>Modern protein design pipelines were transformed by large-scale advances in structure prediction and structure-conditioned sequence modeling. AlphaFold established that accurate atomic structure prediction can be achieved broadly enough to reshape downstream design workflows [1]. ProteinMPNN then showed that fixed-backbone sequence design can be solved effectively with deep structure-conditioned models [2], while large-scale inverse-folding systems trained on predicted structures further expanded the design setting [3]. These studies motivate the use of geometry-conditioned compatibility as a native modeling object, but they do not by themselves resolve how multiple non-geometric evidence streams should be unified in engineering contexts.</w:t>
      </w:r>
    </w:p>
    <w:p>
      <w:pPr>
        <w:spacing w:before="100" w:after="60"/>
      </w:pPr>
      <w:r>
        <w:rPr>
          <w:rFonts w:ascii="Times New Roman" w:hAnsi="Times New Roman" w:eastAsia="Microsoft YaHei"/>
          <w:b/>
          <w:i w:val="0"/>
          <w:sz w:val="21"/>
        </w:rPr>
        <w:t>Retrieval-based structural memory</w:t>
      </w:r>
    </w:p>
    <w:p>
      <w:pPr>
        <w:spacing w:line="264" w:lineRule="auto" w:after="80"/>
      </w:pPr>
      <w:r>
        <w:rPr>
          <w:rFonts w:ascii="Times New Roman" w:hAnsi="Times New Roman" w:eastAsia="Microsoft YaHei"/>
          <w:b w:val="0"/>
          <w:i w:val="0"/>
          <w:sz w:val="20"/>
        </w:rPr>
        <w:t>Foldseek and related fast structural-search systems made motif-level structural retrieval practical at large scale [5]. Such retrieval is highly valuable for protein engineering because it provides access to empirically grounded structural neighborhoods. However, retrieval is often used as an external annotation or post hoc check rather than as a learned part of a design controller. `MARS-FIELD` differs by treating retrieval as a structured evidence stream that enters both the residue field and the neural controller through a dedicated memory-linked branch.</w:t>
      </w:r>
    </w:p>
    <w:p>
      <w:pPr>
        <w:spacing w:before="100" w:after="60"/>
      </w:pPr>
      <w:r>
        <w:rPr>
          <w:rFonts w:ascii="Times New Roman" w:hAnsi="Times New Roman" w:eastAsia="Microsoft YaHei"/>
          <w:b/>
          <w:i w:val="0"/>
          <w:sz w:val="21"/>
        </w:rPr>
        <w:t>Sequence-based representation learning and rational engineering</w:t>
      </w:r>
    </w:p>
    <w:p>
      <w:pPr>
        <w:spacing w:line="264" w:lineRule="auto" w:after="80"/>
      </w:pPr>
      <w:r>
        <w:rPr>
          <w:rFonts w:ascii="Times New Roman" w:hAnsi="Times New Roman" w:eastAsia="Microsoft YaHei"/>
          <w:b w:val="0"/>
          <w:i w:val="0"/>
          <w:sz w:val="20"/>
        </w:rPr>
        <w:t>Sequence-based representation learning has already shown that large protein embeddings can support rational engineering and transfer across tasks [6]. These methods demonstrate that sequence statistics encode useful biochemical and evolutionary constraints. However, sequence-only representations do not, on their own, provide a natural mechanism for combining local structural context, retrieval memory, ancestry, and explicit engineering penalties in a unified controller. `MARS-FIELD` therefore sits closer to an evidence-conditioned controller-decoder framework than to a pure sequence language-model application.</w:t>
      </w:r>
    </w:p>
    <w:p>
      <w:pPr>
        <w:spacing w:before="100" w:after="60"/>
      </w:pPr>
      <w:r>
        <w:rPr>
          <w:rFonts w:ascii="Times New Roman" w:hAnsi="Times New Roman" w:eastAsia="Microsoft YaHei"/>
          <w:b/>
          <w:i w:val="0"/>
          <w:sz w:val="21"/>
        </w:rPr>
        <w:t>Ancestral sequence reconstruction and lineage-aware learning</w:t>
      </w:r>
    </w:p>
    <w:p>
      <w:pPr>
        <w:spacing w:line="264" w:lineRule="auto" w:after="80"/>
      </w:pPr>
      <w:r>
        <w:rPr>
          <w:rFonts w:ascii="Times New Roman" w:hAnsi="Times New Roman" w:eastAsia="Microsoft YaHei"/>
          <w:b w:val="0"/>
          <w:i w:val="0"/>
          <w:sz w:val="20"/>
        </w:rPr>
        <w:t>Ancestral sequence reconstruction has long been important in protein evolution and engineering [7]. More recently, ancestry has also been used as a learning signal in representation-learning systems [8]. This literature is particularly relevant because `MARS-FIELD` treats ancestry not as a one-off recommendation list but as a dedicated lineage-aware branch that contributes both explicit residue priors and latent controller structure.</w:t>
      </w:r>
    </w:p>
    <w:p>
      <w:pPr>
        <w:spacing w:before="100" w:after="60"/>
      </w:pPr>
      <w:r>
        <w:rPr>
          <w:rFonts w:ascii="Times New Roman" w:hAnsi="Times New Roman" w:eastAsia="Microsoft YaHei"/>
          <w:b/>
          <w:i w:val="0"/>
          <w:sz w:val="21"/>
        </w:rPr>
        <w:t>Positioning of MARS-FIELD</w:t>
      </w:r>
    </w:p>
    <w:p>
      <w:pPr>
        <w:spacing w:line="264" w:lineRule="auto" w:after="80"/>
      </w:pPr>
      <w:r>
        <w:rPr>
          <w:rFonts w:ascii="Times New Roman" w:hAnsi="Times New Roman" w:eastAsia="Microsoft YaHei"/>
          <w:b w:val="0"/>
          <w:i w:val="0"/>
          <w:sz w:val="20"/>
        </w:rPr>
        <w:t>The central distinction of `MARS-FIELD` is that it treats heterogeneous evidence as input to a shared residue-field controller rather than as a set of independent proposal engines or post hoc heuristics. The current implementation should not be overstated as a fully joint proposal-generator / field / decoder optimization framework. Instead, it is best viewed as an intermediate but meaningful architecture in which:</w:t>
      </w:r>
    </w:p>
    <w:p>
      <w:pPr>
        <w:pStyle w:val="ListBullet"/>
        <w:spacing w:line="254" w:lineRule="auto" w:after="40"/>
      </w:pPr>
      <w:r>
        <w:rPr>
          <w:rFonts w:ascii="Times New Roman" w:hAnsi="Times New Roman" w:eastAsia="Microsoft YaHei"/>
          <w:b w:val="0"/>
          <w:i w:val="0"/>
          <w:sz w:val="20"/>
        </w:rPr>
        <w:t>structural, evolutionary, ancestral, retrieval, and environmental evidence are unified in a residue field</w:t>
      </w:r>
    </w:p>
    <w:p>
      <w:pPr>
        <w:pStyle w:val="ListBullet"/>
        <w:spacing w:line="254" w:lineRule="auto" w:after="40"/>
      </w:pPr>
      <w:r>
        <w:rPr>
          <w:rFonts w:ascii="Times New Roman" w:hAnsi="Times New Roman" w:eastAsia="Microsoft YaHei"/>
          <w:b w:val="0"/>
          <w:i w:val="0"/>
          <w:sz w:val="20"/>
        </w:rPr>
        <w:t>a neural controller performs calibrated candidate-level selection</w:t>
      </w:r>
    </w:p>
    <w:p>
      <w:pPr>
        <w:pStyle w:val="ListBullet"/>
        <w:spacing w:line="254" w:lineRule="auto" w:after="40"/>
      </w:pPr>
      <w:r>
        <w:rPr>
          <w:rFonts w:ascii="Times New Roman" w:hAnsi="Times New Roman" w:eastAsia="Microsoft YaHei"/>
          <w:b w:val="0"/>
          <w:i w:val="0"/>
          <w:sz w:val="20"/>
        </w:rPr>
        <w:t>a decode-time neural field generator is active in the benchmark-time main path</w:t>
      </w:r>
    </w:p>
    <w:p>
      <w:pPr>
        <w:pStyle w:val="ListBullet"/>
        <w:spacing w:line="254" w:lineRule="auto" w:after="40"/>
      </w:pPr>
      <w:r>
        <w:rPr>
          <w:rFonts w:ascii="Times New Roman" w:hAnsi="Times New Roman" w:eastAsia="Microsoft YaHei"/>
          <w:b w:val="0"/>
          <w:i w:val="0"/>
          <w:sz w:val="20"/>
        </w:rPr>
        <w:t>the resulting system remains benchmark-stable at the panel level</w:t>
      </w:r>
    </w:p>
    <w:p>
      <w:pPr>
        <w:spacing w:line="264" w:lineRule="auto" w:after="80"/>
      </w:pPr>
      <w:r>
        <w:rPr>
          <w:rFonts w:ascii="Times New Roman" w:hAnsi="Times New Roman" w:eastAsia="Microsoft YaHei"/>
          <w:b w:val="0"/>
          <w:i w:val="0"/>
          <w:sz w:val="20"/>
        </w:rPr>
        <w:t>In this sense, `MARS-FIELD` functions as a bridge between heuristic engineering stacks and future fully joint field-generator-decoder systems.</w:t>
      </w:r>
    </w:p>
    <w:p>
      <w:pPr>
        <w:spacing w:before="100" w:after="60"/>
      </w:pPr>
      <w:r>
        <w:rPr>
          <w:rFonts w:ascii="Times New Roman" w:hAnsi="Times New Roman" w:eastAsia="Microsoft YaHei"/>
          <w:b/>
          <w:i w:val="0"/>
          <w:sz w:val="23"/>
        </w:rPr>
        <w:t>Selected references</w:t>
      </w:r>
    </w:p>
    <w:p>
      <w:pPr>
        <w:spacing w:line="264" w:lineRule="auto" w:after="80"/>
      </w:pPr>
      <w:r>
        <w:rPr>
          <w:rFonts w:ascii="Times New Roman" w:hAnsi="Times New Roman" w:eastAsia="Microsoft YaHei"/>
          <w:b w:val="0"/>
          <w:i w:val="0"/>
          <w:sz w:val="20"/>
        </w:rPr>
        <w:t>1. Jumper, J. et al. Highly accurate protein structure prediction with AlphaFold. *Nature* **596**, 583-589 (2021).</w:t>
      </w:r>
    </w:p>
    <w:p>
      <w:pPr>
        <w:spacing w:line="264" w:lineRule="auto" w:after="80"/>
      </w:pPr>
      <w:r>
        <w:rPr>
          <w:rFonts w:ascii="Times New Roman" w:hAnsi="Times New Roman" w:eastAsia="Microsoft YaHei"/>
          <w:b w:val="0"/>
          <w:i w:val="0"/>
          <w:sz w:val="20"/>
        </w:rPr>
        <w:t>2. Dauparas, J. et al. Robust deep learning-based protein sequence design using ProteinMPNN. *Science* **378**, 49-56 (2022).</w:t>
      </w:r>
    </w:p>
    <w:p>
      <w:pPr>
        <w:spacing w:line="264" w:lineRule="auto" w:after="80"/>
      </w:pPr>
      <w:r>
        <w:rPr>
          <w:rFonts w:ascii="Times New Roman" w:hAnsi="Times New Roman" w:eastAsia="Microsoft YaHei"/>
          <w:b w:val="0"/>
          <w:i w:val="0"/>
          <w:sz w:val="20"/>
        </w:rPr>
        <w:t>3. Hsu, C. et al. Learning inverse folding from millions of predicted structures. In *Proceedings of the 39th International Conference on Machine Learning*, PMLR 162, 8946-8970 (2022).</w:t>
      </w:r>
    </w:p>
    <w:p>
      <w:pPr>
        <w:spacing w:line="264" w:lineRule="auto" w:after="80"/>
      </w:pPr>
      <w:r>
        <w:rPr>
          <w:rFonts w:ascii="Times New Roman" w:hAnsi="Times New Roman" w:eastAsia="Microsoft YaHei"/>
          <w:b w:val="0"/>
          <w:i w:val="0"/>
          <w:sz w:val="20"/>
        </w:rPr>
        <w:t>4. Lin, Z. et al. Evolutionary-scale prediction of atomic-level protein structure with a language model. *Science* **379**, 1123-1130 (2023).</w:t>
      </w:r>
    </w:p>
    <w:p>
      <w:pPr>
        <w:spacing w:line="264" w:lineRule="auto" w:after="80"/>
      </w:pPr>
      <w:r>
        <w:rPr>
          <w:rFonts w:ascii="Times New Roman" w:hAnsi="Times New Roman" w:eastAsia="Microsoft YaHei"/>
          <w:b w:val="0"/>
          <w:i w:val="0"/>
          <w:sz w:val="20"/>
        </w:rPr>
        <w:t>5. van Kempen, M. et al. Fast and accurate protein structure search with Foldseek. *Nature Biotechnology* **42**, 243-246 (2024).</w:t>
      </w:r>
    </w:p>
    <w:p>
      <w:pPr>
        <w:spacing w:line="264" w:lineRule="auto" w:after="80"/>
      </w:pPr>
      <w:r>
        <w:rPr>
          <w:rFonts w:ascii="Times New Roman" w:hAnsi="Times New Roman" w:eastAsia="Microsoft YaHei"/>
          <w:b w:val="0"/>
          <w:i w:val="0"/>
          <w:sz w:val="20"/>
        </w:rPr>
        <w:t>6. Alley, E. C. et al. Unified rational protein engineering with sequence-based deep representation learning. *Nature Methods* **16**, 1315-1322 (2019).</w:t>
      </w:r>
    </w:p>
    <w:p>
      <w:pPr>
        <w:spacing w:line="264" w:lineRule="auto" w:after="80"/>
      </w:pPr>
      <w:r>
        <w:rPr>
          <w:rFonts w:ascii="Times New Roman" w:hAnsi="Times New Roman" w:eastAsia="Microsoft YaHei"/>
          <w:b w:val="0"/>
          <w:i w:val="0"/>
          <w:sz w:val="20"/>
        </w:rPr>
        <w:t>7. Chisholm, L. O. et al. Ancestral reconstruction and the evolution of protein energy landscapes. *Annual Review of Biophysics* **53**, 127-146 (2024).</w:t>
      </w:r>
    </w:p>
    <w:p>
      <w:pPr>
        <w:spacing w:line="264" w:lineRule="auto" w:after="80"/>
      </w:pPr>
      <w:r>
        <w:rPr>
          <w:rFonts w:ascii="Times New Roman" w:hAnsi="Times New Roman" w:eastAsia="Microsoft YaHei"/>
          <w:b w:val="0"/>
          <w:i w:val="0"/>
          <w:sz w:val="20"/>
        </w:rPr>
        <w:t>8. Matthews, D. S. et al. Leveraging ancestral sequence reconstruction for protein representation learning. *Nature Machine Intelligence* **6**, 1542-1555 (2024).</w:t>
      </w:r>
    </w:p>
    <w:p>
      <w:pPr>
        <w:spacing w:before="160" w:after="60"/>
      </w:pPr>
      <w:r>
        <w:rPr>
          <w:rFonts w:ascii="Times New Roman" w:hAnsi="Times New Roman" w:eastAsia="Microsoft YaHei"/>
          <w:b/>
          <w:i w:val="0"/>
          <w:sz w:val="28"/>
        </w:rPr>
        <w:t>Methods</w:t>
      </w:r>
    </w:p>
    <w:p>
      <w:pPr>
        <w:spacing w:before="160" w:after="60"/>
      </w:pPr>
      <w:r>
        <w:rPr>
          <w:rFonts w:ascii="Times New Roman" w:hAnsi="Times New Roman" w:eastAsia="Microsoft YaHei"/>
          <w:b/>
          <w:i w:val="0"/>
          <w:sz w:val="28"/>
        </w:rPr>
        <w:t>MARS-FIELD Methods v3</w:t>
      </w:r>
    </w:p>
    <w:p>
      <w:pPr>
        <w:spacing w:before="100" w:after="60"/>
      </w:pPr>
      <w:r>
        <w:rPr>
          <w:rFonts w:ascii="Times New Roman" w:hAnsi="Times New Roman" w:eastAsia="Microsoft YaHei"/>
          <w:b/>
          <w:i w:val="0"/>
          <w:sz w:val="23"/>
        </w:rPr>
        <w:t>Overview</w:t>
      </w:r>
    </w:p>
    <w:p>
      <w:pPr>
        <w:spacing w:line="264" w:lineRule="auto" w:after="80"/>
      </w:pPr>
      <w:r>
        <w:rPr>
          <w:rFonts w:ascii="Times New Roman" w:hAnsi="Times New Roman" w:eastAsia="Microsoft YaHei"/>
          <w:b w:val="0"/>
          <w:i w:val="0"/>
          <w:sz w:val="20"/>
        </w:rPr>
        <w:t>`MARS-FIELD` is a unified evidence-to-sequence controller for protein engineering. The method constructs a shared residue field over a target-specific design window, uses that field to score incumbent candidates, and decodes new candidates under explicit engineering constraints. The current implementation contains three coupled layers:</w:t>
      </w:r>
    </w:p>
    <w:p>
      <w:pPr>
        <w:spacing w:line="264" w:lineRule="auto" w:after="80"/>
      </w:pPr>
      <w:r>
        <w:rPr>
          <w:rFonts w:ascii="Times New Roman" w:hAnsi="Times New Roman" w:eastAsia="Microsoft YaHei"/>
          <w:b w:val="0"/>
          <w:i w:val="0"/>
          <w:sz w:val="20"/>
        </w:rPr>
        <w:t>1. multi-modal evidence construction</w:t>
      </w:r>
    </w:p>
    <w:p>
      <w:pPr>
        <w:spacing w:line="264" w:lineRule="auto" w:after="80"/>
      </w:pPr>
      <w:r>
        <w:rPr>
          <w:rFonts w:ascii="Times New Roman" w:hAnsi="Times New Roman" w:eastAsia="Microsoft YaHei"/>
          <w:b w:val="0"/>
          <w:i w:val="0"/>
          <w:sz w:val="20"/>
        </w:rPr>
        <w:t>2. residue-field construction</w:t>
      </w:r>
    </w:p>
    <w:p>
      <w:pPr>
        <w:spacing w:line="264" w:lineRule="auto" w:after="80"/>
      </w:pPr>
      <w:r>
        <w:rPr>
          <w:rFonts w:ascii="Times New Roman" w:hAnsi="Times New Roman" w:eastAsia="Microsoft YaHei"/>
          <w:b w:val="0"/>
          <w:i w:val="0"/>
          <w:sz w:val="20"/>
        </w:rPr>
        <w:t>3. controller-decoder inference with calibrated final selection</w:t>
      </w:r>
    </w:p>
    <w:p>
      <w:pPr>
        <w:spacing w:line="264" w:lineRule="auto" w:after="80"/>
      </w:pPr>
      <w:r>
        <w:rPr>
          <w:rFonts w:ascii="Times New Roman" w:hAnsi="Times New Roman" w:eastAsia="Microsoft YaHei"/>
          <w:b w:val="0"/>
          <w:i w:val="0"/>
          <w:sz w:val="20"/>
        </w:rPr>
        <w:t>The present system is not yet a fully joint proposal-generator / field / decoder model. However, the benchmark-time main path includes both a neural controller and a decode-time neural field generator.</w:t>
      </w:r>
    </w:p>
    <w:p>
      <w:pPr>
        <w:spacing w:before="100" w:after="60"/>
      </w:pPr>
      <w:r>
        <w:rPr>
          <w:rFonts w:ascii="Times New Roman" w:hAnsi="Times New Roman" w:eastAsia="Microsoft YaHei"/>
          <w:b/>
          <w:i w:val="0"/>
          <w:sz w:val="23"/>
        </w:rPr>
        <w:t>Benchmark panel and target curation</w:t>
      </w:r>
    </w:p>
    <w:p>
      <w:pPr>
        <w:spacing w:line="264" w:lineRule="auto" w:after="80"/>
      </w:pPr>
      <w:r>
        <w:rPr>
          <w:rFonts w:ascii="Times New Roman" w:hAnsi="Times New Roman" w:eastAsia="Microsoft YaHei"/>
          <w:b w:val="0"/>
          <w:i w:val="0"/>
          <w:sz w:val="20"/>
        </w:rPr>
        <w:t>The main benchmark contains twelve targets spanning ten protein families. Each target is specified by:</w:t>
      </w:r>
    </w:p>
    <w:p>
      <w:pPr>
        <w:pStyle w:val="ListBullet"/>
        <w:spacing w:line="254" w:lineRule="auto" w:after="40"/>
      </w:pPr>
      <w:r>
        <w:rPr>
          <w:rFonts w:ascii="Times New Roman" w:hAnsi="Times New Roman" w:eastAsia="Microsoft YaHei"/>
          <w:b w:val="0"/>
          <w:i w:val="0"/>
          <w:sz w:val="20"/>
        </w:rPr>
        <w:t>an input structure</w:t>
      </w:r>
    </w:p>
    <w:p>
      <w:pPr>
        <w:pStyle w:val="ListBullet"/>
        <w:spacing w:line="254" w:lineRule="auto" w:after="40"/>
      </w:pPr>
      <w:r>
        <w:rPr>
          <w:rFonts w:ascii="Times New Roman" w:hAnsi="Times New Roman" w:eastAsia="Microsoft YaHei"/>
          <w:b w:val="0"/>
          <w:i w:val="0"/>
          <w:sz w:val="20"/>
        </w:rPr>
        <w:t>a chain identifier</w:t>
      </w:r>
    </w:p>
    <w:p>
      <w:pPr>
        <w:pStyle w:val="ListBullet"/>
        <w:spacing w:line="254" w:lineRule="auto" w:after="40"/>
      </w:pPr>
      <w:r>
        <w:rPr>
          <w:rFonts w:ascii="Times New Roman" w:hAnsi="Times New Roman" w:eastAsia="Microsoft YaHei"/>
          <w:b w:val="0"/>
          <w:i w:val="0"/>
          <w:sz w:val="20"/>
        </w:rPr>
        <w:t>a wild-type sequence</w:t>
      </w:r>
    </w:p>
    <w:p>
      <w:pPr>
        <w:pStyle w:val="ListBullet"/>
        <w:spacing w:line="254" w:lineRule="auto" w:after="40"/>
      </w:pPr>
      <w:r>
        <w:rPr>
          <w:rFonts w:ascii="Times New Roman" w:hAnsi="Times New Roman" w:eastAsia="Microsoft YaHei"/>
          <w:b w:val="0"/>
          <w:i w:val="0"/>
          <w:sz w:val="20"/>
        </w:rPr>
        <w:t>a local design window</w:t>
      </w:r>
    </w:p>
    <w:p>
      <w:pPr>
        <w:pStyle w:val="ListBullet"/>
        <w:spacing w:line="254" w:lineRule="auto" w:after="40"/>
      </w:pPr>
      <w:r>
        <w:rPr>
          <w:rFonts w:ascii="Times New Roman" w:hAnsi="Times New Roman" w:eastAsia="Microsoft YaHei"/>
          <w:b w:val="0"/>
          <w:i w:val="0"/>
          <w:sz w:val="20"/>
        </w:rPr>
        <w:t>a protected-position set</w:t>
      </w:r>
    </w:p>
    <w:p>
      <w:pPr>
        <w:pStyle w:val="ListBullet"/>
        <w:spacing w:line="254" w:lineRule="auto" w:after="40"/>
      </w:pPr>
      <w:r>
        <w:rPr>
          <w:rFonts w:ascii="Times New Roman" w:hAnsi="Times New Roman" w:eastAsia="Microsoft YaHei"/>
          <w:b w:val="0"/>
          <w:i w:val="0"/>
          <w:sz w:val="20"/>
        </w:rPr>
        <w:t>optional homolog, family, template, or ASR inputs</w:t>
      </w:r>
    </w:p>
    <w:p>
      <w:pPr>
        <w:spacing w:line="264" w:lineRule="auto" w:after="80"/>
      </w:pPr>
      <w:r>
        <w:rPr>
          <w:rFonts w:ascii="Times New Roman" w:hAnsi="Times New Roman" w:eastAsia="Microsoft YaHei"/>
          <w:b w:val="0"/>
          <w:i w:val="0"/>
          <w:sz w:val="20"/>
        </w:rPr>
        <w:t>The benchmark includes:</w:t>
      </w:r>
    </w:p>
    <w:p>
      <w:pPr>
        <w:pStyle w:val="ListBullet"/>
        <w:spacing w:line="254" w:lineRule="auto" w:after="40"/>
      </w:pPr>
      <w:r>
        <w:rPr>
          <w:rFonts w:ascii="Times New Roman" w:hAnsi="Times New Roman" w:eastAsia="Microsoft YaHei"/>
          <w:b w:val="0"/>
          <w:i w:val="0"/>
          <w:sz w:val="20"/>
        </w:rPr>
        <w:t>`1LBT`</w:t>
      </w:r>
    </w:p>
    <w:p>
      <w:pPr>
        <w:pStyle w:val="ListBullet"/>
        <w:spacing w:line="254" w:lineRule="auto" w:after="40"/>
      </w:pPr>
      <w:r>
        <w:rPr>
          <w:rFonts w:ascii="Times New Roman" w:hAnsi="Times New Roman" w:eastAsia="Microsoft YaHei"/>
          <w:b w:val="0"/>
          <w:i w:val="0"/>
          <w:sz w:val="20"/>
        </w:rPr>
        <w:t>`tem1_1btl`</w:t>
      </w:r>
    </w:p>
    <w:p>
      <w:pPr>
        <w:pStyle w:val="ListBullet"/>
        <w:spacing w:line="254" w:lineRule="auto" w:after="40"/>
      </w:pPr>
      <w:r>
        <w:rPr>
          <w:rFonts w:ascii="Times New Roman" w:hAnsi="Times New Roman" w:eastAsia="Microsoft YaHei"/>
          <w:b w:val="0"/>
          <w:i w:val="0"/>
          <w:sz w:val="20"/>
        </w:rPr>
        <w:t>`petase_5xfy`</w:t>
      </w:r>
    </w:p>
    <w:p>
      <w:pPr>
        <w:pStyle w:val="ListBullet"/>
        <w:spacing w:line="254" w:lineRule="auto" w:after="40"/>
      </w:pPr>
      <w:r>
        <w:rPr>
          <w:rFonts w:ascii="Times New Roman" w:hAnsi="Times New Roman" w:eastAsia="Microsoft YaHei"/>
          <w:b w:val="0"/>
          <w:i w:val="0"/>
          <w:sz w:val="20"/>
        </w:rPr>
        <w:t>`petase_5xh3`</w:t>
      </w:r>
    </w:p>
    <w:p>
      <w:pPr>
        <w:pStyle w:val="ListBullet"/>
        <w:spacing w:line="254" w:lineRule="auto" w:after="40"/>
      </w:pPr>
      <w:r>
        <w:rPr>
          <w:rFonts w:ascii="Times New Roman" w:hAnsi="Times New Roman" w:eastAsia="Microsoft YaHei"/>
          <w:b w:val="0"/>
          <w:i w:val="0"/>
          <w:sz w:val="20"/>
        </w:rPr>
        <w:t>`sfgfp_2b3p`</w:t>
      </w:r>
    </w:p>
    <w:p>
      <w:pPr>
        <w:pStyle w:val="ListBullet"/>
        <w:spacing w:line="254" w:lineRule="auto" w:after="40"/>
      </w:pPr>
      <w:r>
        <w:rPr>
          <w:rFonts w:ascii="Times New Roman" w:hAnsi="Times New Roman" w:eastAsia="Microsoft YaHei"/>
          <w:b w:val="0"/>
          <w:i w:val="0"/>
          <w:sz w:val="20"/>
        </w:rPr>
        <w:t>`t4l_171l`</w:t>
      </w:r>
    </w:p>
    <w:p>
      <w:pPr>
        <w:pStyle w:val="ListBullet"/>
        <w:spacing w:line="254" w:lineRule="auto" w:after="40"/>
      </w:pPr>
      <w:r>
        <w:rPr>
          <w:rFonts w:ascii="Times New Roman" w:hAnsi="Times New Roman" w:eastAsia="Microsoft YaHei"/>
          <w:b w:val="0"/>
          <w:i w:val="0"/>
          <w:sz w:val="20"/>
        </w:rPr>
        <w:t>`subtilisin_2st1`</w:t>
      </w:r>
    </w:p>
    <w:p>
      <w:pPr>
        <w:pStyle w:val="ListBullet"/>
        <w:spacing w:line="254" w:lineRule="auto" w:after="40"/>
      </w:pPr>
      <w:r>
        <w:rPr>
          <w:rFonts w:ascii="Times New Roman" w:hAnsi="Times New Roman" w:eastAsia="Microsoft YaHei"/>
          <w:b w:val="0"/>
          <w:i w:val="0"/>
          <w:sz w:val="20"/>
        </w:rPr>
        <w:t>`adk_1s3g`</w:t>
      </w:r>
    </w:p>
    <w:p>
      <w:pPr>
        <w:pStyle w:val="ListBullet"/>
        <w:spacing w:line="254" w:lineRule="auto" w:after="40"/>
      </w:pPr>
      <w:r>
        <w:rPr>
          <w:rFonts w:ascii="Times New Roman" w:hAnsi="Times New Roman" w:eastAsia="Microsoft YaHei"/>
          <w:b w:val="0"/>
          <w:i w:val="0"/>
          <w:sz w:val="20"/>
        </w:rPr>
        <w:t>`esterase_7b4q`</w:t>
      </w:r>
    </w:p>
    <w:p>
      <w:pPr>
        <w:pStyle w:val="ListBullet"/>
        <w:spacing w:line="254" w:lineRule="auto" w:after="40"/>
      </w:pPr>
      <w:r>
        <w:rPr>
          <w:rFonts w:ascii="Times New Roman" w:hAnsi="Times New Roman" w:eastAsia="Microsoft YaHei"/>
          <w:b w:val="0"/>
          <w:i w:val="0"/>
          <w:sz w:val="20"/>
        </w:rPr>
        <w:t>`sod_1y67`</w:t>
      </w:r>
    </w:p>
    <w:p>
      <w:pPr>
        <w:pStyle w:val="ListBullet"/>
        <w:spacing w:line="254" w:lineRule="auto" w:after="40"/>
      </w:pPr>
      <w:r>
        <w:rPr>
          <w:rFonts w:ascii="Times New Roman" w:hAnsi="Times New Roman" w:eastAsia="Microsoft YaHei"/>
          <w:b w:val="0"/>
          <w:i w:val="0"/>
          <w:sz w:val="20"/>
        </w:rPr>
        <w:t>`CLD_3Q09_NOTOPIC`</w:t>
      </w:r>
    </w:p>
    <w:p>
      <w:pPr>
        <w:pStyle w:val="ListBullet"/>
        <w:spacing w:line="254" w:lineRule="auto" w:after="40"/>
      </w:pPr>
      <w:r>
        <w:rPr>
          <w:rFonts w:ascii="Times New Roman" w:hAnsi="Times New Roman" w:eastAsia="Microsoft YaHei"/>
          <w:b w:val="0"/>
          <w:i w:val="0"/>
          <w:sz w:val="20"/>
        </w:rPr>
        <w:t>`CLD_3Q09_TOPIC`</w:t>
      </w:r>
    </w:p>
    <w:p>
      <w:pPr>
        <w:spacing w:line="264" w:lineRule="auto" w:after="80"/>
      </w:pPr>
      <w:r>
        <w:rPr>
          <w:rFonts w:ascii="Times New Roman" w:hAnsi="Times New Roman" w:eastAsia="Microsoft YaHei"/>
          <w:b w:val="0"/>
          <w:i w:val="0"/>
          <w:sz w:val="20"/>
        </w:rPr>
        <w:t>Three targets use family priors, two use ancestral priors, and all twelve use template-aware weighting in the final benchmark path. Neural training is leave-one-target-out at the target level.</w:t>
      </w:r>
    </w:p>
    <w:p>
      <w:pPr>
        <w:spacing w:before="100" w:after="60"/>
      </w:pPr>
      <w:r>
        <w:rPr>
          <w:rFonts w:ascii="Times New Roman" w:hAnsi="Times New Roman" w:eastAsia="Microsoft YaHei"/>
          <w:b/>
          <w:i w:val="0"/>
          <w:sz w:val="23"/>
        </w:rPr>
        <w:t>Structural feature extraction and design-window definition</w:t>
      </w:r>
    </w:p>
    <w:p>
      <w:pPr>
        <w:spacing w:line="264" w:lineRule="auto" w:after="80"/>
      </w:pPr>
      <w:r>
        <w:rPr>
          <w:rFonts w:ascii="Times New Roman" w:hAnsi="Times New Roman" w:eastAsia="Microsoft YaHei"/>
          <w:b w:val="0"/>
          <w:i w:val="0"/>
          <w:sz w:val="20"/>
        </w:rPr>
        <w:t>For each target, the structure-analysis stage extracts residue-level geometric and engineering features, including:</w:t>
      </w:r>
    </w:p>
    <w:p>
      <w:pPr>
        <w:pStyle w:val="ListBullet"/>
        <w:spacing w:line="254" w:lineRule="auto" w:after="40"/>
      </w:pPr>
      <w:r>
        <w:rPr>
          <w:rFonts w:ascii="Times New Roman" w:hAnsi="Times New Roman" w:eastAsia="Microsoft YaHei"/>
          <w:b w:val="0"/>
          <w:i w:val="0"/>
          <w:sz w:val="20"/>
        </w:rPr>
        <w:t>solvent-accessible surface area</w:t>
      </w:r>
    </w:p>
    <w:p>
      <w:pPr>
        <w:pStyle w:val="ListBullet"/>
        <w:spacing w:line="254" w:lineRule="auto" w:after="40"/>
      </w:pPr>
      <w:r>
        <w:rPr>
          <w:rFonts w:ascii="Times New Roman" w:hAnsi="Times New Roman" w:eastAsia="Microsoft YaHei"/>
          <w:b w:val="0"/>
          <w:i w:val="0"/>
          <w:sz w:val="20"/>
        </w:rPr>
        <w:t>local flexibility proxy</w:t>
      </w:r>
    </w:p>
    <w:p>
      <w:pPr>
        <w:pStyle w:val="ListBullet"/>
        <w:spacing w:line="254" w:lineRule="auto" w:after="40"/>
      </w:pPr>
      <w:r>
        <w:rPr>
          <w:rFonts w:ascii="Times New Roman" w:hAnsi="Times New Roman" w:eastAsia="Microsoft YaHei"/>
          <w:b w:val="0"/>
          <w:i w:val="0"/>
          <w:sz w:val="20"/>
        </w:rPr>
        <w:t>minimum distance to protected positions</w:t>
      </w:r>
    </w:p>
    <w:p>
      <w:pPr>
        <w:pStyle w:val="ListBullet"/>
        <w:spacing w:line="254" w:lineRule="auto" w:after="40"/>
      </w:pPr>
      <w:r>
        <w:rPr>
          <w:rFonts w:ascii="Times New Roman" w:hAnsi="Times New Roman" w:eastAsia="Microsoft YaHei"/>
          <w:b w:val="0"/>
          <w:i w:val="0"/>
          <w:sz w:val="20"/>
        </w:rPr>
        <w:t>disulfide participation</w:t>
      </w:r>
    </w:p>
    <w:p>
      <w:pPr>
        <w:pStyle w:val="ListBullet"/>
        <w:spacing w:line="254" w:lineRule="auto" w:after="40"/>
      </w:pPr>
      <w:r>
        <w:rPr>
          <w:rFonts w:ascii="Times New Roman" w:hAnsi="Times New Roman" w:eastAsia="Microsoft YaHei"/>
          <w:b w:val="0"/>
          <w:i w:val="0"/>
          <w:sz w:val="20"/>
        </w:rPr>
        <w:t>glycosylation motif membership</w:t>
      </w:r>
    </w:p>
    <w:p>
      <w:pPr>
        <w:spacing w:line="264" w:lineRule="auto" w:after="80"/>
      </w:pPr>
      <w:r>
        <w:rPr>
          <w:rFonts w:ascii="Times New Roman" w:hAnsi="Times New Roman" w:eastAsia="Microsoft YaHei"/>
          <w:b w:val="0"/>
          <w:i w:val="0"/>
          <w:sz w:val="20"/>
        </w:rPr>
        <w:t>Two structural masks are then derived:</w:t>
      </w:r>
    </w:p>
    <w:p>
      <w:pPr>
        <w:pStyle w:val="ListBullet"/>
        <w:spacing w:line="254" w:lineRule="auto" w:after="40"/>
      </w:pPr>
      <w:r>
        <w:rPr>
          <w:rFonts w:ascii="Times New Roman" w:hAnsi="Times New Roman" w:eastAsia="Microsoft YaHei"/>
          <w:b w:val="0"/>
          <w:i w:val="0"/>
          <w:sz w:val="20"/>
        </w:rPr>
        <w:t>oxidation hotspots</w:t>
      </w:r>
    </w:p>
    <w:p>
      <w:pPr>
        <w:pStyle w:val="ListBullet"/>
        <w:spacing w:line="254" w:lineRule="auto" w:after="40"/>
      </w:pPr>
      <w:r>
        <w:rPr>
          <w:rFonts w:ascii="Times New Roman" w:hAnsi="Times New Roman" w:eastAsia="Microsoft YaHei"/>
          <w:b w:val="0"/>
          <w:i w:val="0"/>
          <w:sz w:val="20"/>
        </w:rPr>
        <w:t>flexible surface positions</w:t>
      </w:r>
    </w:p>
    <w:p>
      <w:pPr>
        <w:spacing w:line="264" w:lineRule="auto" w:after="80"/>
      </w:pPr>
      <w:r>
        <w:rPr>
          <w:rFonts w:ascii="Times New Roman" w:hAnsi="Times New Roman" w:eastAsia="Microsoft YaHei"/>
          <w:b w:val="0"/>
          <w:i w:val="0"/>
          <w:sz w:val="20"/>
        </w:rPr>
        <w:t>The design window is read directly from the target configuration, and the resulting target bundle contains the wild-type sequence, design positions, protected positions, residue feature table, oxidation-hotspot set, and flexible-surface set.</w:t>
      </w:r>
    </w:p>
    <w:p>
      <w:pPr>
        <w:spacing w:before="100" w:after="60"/>
      </w:pPr>
      <w:r>
        <w:rPr>
          <w:rFonts w:ascii="Times New Roman" w:hAnsi="Times New Roman" w:eastAsia="Microsoft YaHei"/>
          <w:b/>
          <w:i w:val="0"/>
          <w:sz w:val="23"/>
        </w:rPr>
        <w:t>Phylogenetic and family priors</w:t>
      </w:r>
    </w:p>
    <w:p>
      <w:pPr>
        <w:spacing w:line="264" w:lineRule="auto" w:after="80"/>
      </w:pPr>
      <w:r>
        <w:rPr>
          <w:rFonts w:ascii="Times New Roman" w:hAnsi="Times New Roman" w:eastAsia="Microsoft YaHei"/>
          <w:b w:val="0"/>
          <w:i w:val="0"/>
          <w:sz w:val="20"/>
        </w:rPr>
        <w:t>The phylogenetic branch constructs residue priors from homolog or family sequence collections. The current implementation supports:</w:t>
      </w:r>
    </w:p>
    <w:p>
      <w:pPr>
        <w:spacing w:line="264" w:lineRule="auto" w:after="80"/>
      </w:pPr>
      <w:r>
        <w:rPr>
          <w:rFonts w:ascii="Times New Roman" w:hAnsi="Times New Roman" w:eastAsia="Microsoft YaHei"/>
          <w:b w:val="0"/>
          <w:i w:val="0"/>
          <w:sz w:val="20"/>
        </w:rPr>
        <w:t>1. homolog profile priors</w:t>
      </w:r>
    </w:p>
    <w:p>
      <w:pPr>
        <w:spacing w:line="264" w:lineRule="auto" w:after="80"/>
      </w:pPr>
      <w:r>
        <w:rPr>
          <w:rFonts w:ascii="Times New Roman" w:hAnsi="Times New Roman" w:eastAsia="Microsoft YaHei"/>
          <w:b w:val="0"/>
          <w:i w:val="0"/>
          <w:sz w:val="20"/>
        </w:rPr>
        <w:t>2. family differential priors</w:t>
      </w:r>
    </w:p>
    <w:p>
      <w:pPr>
        <w:spacing w:line="264" w:lineRule="auto" w:after="80"/>
      </w:pPr>
      <w:r>
        <w:rPr>
          <w:rFonts w:ascii="Times New Roman" w:hAnsi="Times New Roman" w:eastAsia="Microsoft YaHei"/>
          <w:b w:val="0"/>
          <w:i w:val="0"/>
          <w:sz w:val="20"/>
        </w:rPr>
        <w:t>3. template-aware weighting</w:t>
      </w:r>
    </w:p>
    <w:p>
      <w:pPr>
        <w:spacing w:line="264" w:lineRule="auto" w:after="80"/>
      </w:pPr>
      <w:r>
        <w:rPr>
          <w:rFonts w:ascii="Times New Roman" w:hAnsi="Times New Roman" w:eastAsia="Microsoft YaHei"/>
          <w:b w:val="0"/>
          <w:i w:val="0"/>
          <w:sz w:val="20"/>
        </w:rPr>
        <w:t>For each design position `i`, the homolog profile defines a residue distribution over the amino-acid alphabet. Family differential priors represent residue enrichment or depletion relative to a reference family distribution. Template-aware weighting modulates the importance of these priors according to structural context.</w:t>
      </w:r>
    </w:p>
    <w:p>
      <w:pPr>
        <w:spacing w:before="100" w:after="60"/>
      </w:pPr>
      <w:r>
        <w:rPr>
          <w:rFonts w:ascii="Times New Roman" w:hAnsi="Times New Roman" w:eastAsia="Microsoft YaHei"/>
          <w:b/>
          <w:i w:val="0"/>
          <w:sz w:val="23"/>
        </w:rPr>
        <w:t>Ancestral lineage field</w:t>
      </w:r>
    </w:p>
    <w:p>
      <w:pPr>
        <w:spacing w:line="264" w:lineRule="auto" w:after="80"/>
      </w:pPr>
      <w:r>
        <w:rPr>
          <w:rFonts w:ascii="Times New Roman" w:hAnsi="Times New Roman" w:eastAsia="Microsoft YaHei"/>
          <w:b w:val="0"/>
          <w:i w:val="0"/>
          <w:sz w:val="20"/>
        </w:rPr>
        <w:t>The ancestral branch converts ancestral reconstruction outputs into a position-wise lineage field. For each design position, the current representation may include:</w:t>
      </w:r>
    </w:p>
    <w:p>
      <w:pPr>
        <w:pStyle w:val="ListBullet"/>
        <w:spacing w:line="254" w:lineRule="auto" w:after="40"/>
      </w:pPr>
      <w:r>
        <w:rPr>
          <w:rFonts w:ascii="Times New Roman" w:hAnsi="Times New Roman" w:eastAsia="Microsoft YaHei"/>
          <w:b w:val="0"/>
          <w:i w:val="0"/>
          <w:sz w:val="20"/>
        </w:rPr>
        <w:t>posterior residue distribution</w:t>
      </w:r>
    </w:p>
    <w:p>
      <w:pPr>
        <w:pStyle w:val="ListBullet"/>
        <w:spacing w:line="254" w:lineRule="auto" w:after="40"/>
      </w:pPr>
      <w:r>
        <w:rPr>
          <w:rFonts w:ascii="Times New Roman" w:hAnsi="Times New Roman" w:eastAsia="Microsoft YaHei"/>
          <w:b w:val="0"/>
          <w:i w:val="0"/>
          <w:sz w:val="20"/>
        </w:rPr>
        <w:t>posterior confidence</w:t>
      </w:r>
    </w:p>
    <w:p>
      <w:pPr>
        <w:pStyle w:val="ListBullet"/>
        <w:spacing w:line="254" w:lineRule="auto" w:after="40"/>
      </w:pPr>
      <w:r>
        <w:rPr>
          <w:rFonts w:ascii="Times New Roman" w:hAnsi="Times New Roman" w:eastAsia="Microsoft YaHei"/>
          <w:b w:val="0"/>
          <w:i w:val="0"/>
          <w:sz w:val="20"/>
        </w:rPr>
        <w:t>posterior entropy</w:t>
      </w:r>
    </w:p>
    <w:p>
      <w:pPr>
        <w:pStyle w:val="ListBullet"/>
        <w:spacing w:line="254" w:lineRule="auto" w:after="40"/>
      </w:pPr>
      <w:r>
        <w:rPr>
          <w:rFonts w:ascii="Times New Roman" w:hAnsi="Times New Roman" w:eastAsia="Microsoft YaHei"/>
          <w:b w:val="0"/>
          <w:i w:val="0"/>
          <w:sz w:val="20"/>
        </w:rPr>
        <w:t>recommendation mass</w:t>
      </w:r>
    </w:p>
    <w:p>
      <w:pPr>
        <w:pStyle w:val="ListBullet"/>
        <w:spacing w:line="254" w:lineRule="auto" w:after="40"/>
      </w:pPr>
      <w:r>
        <w:rPr>
          <w:rFonts w:ascii="Times New Roman" w:hAnsi="Times New Roman" w:eastAsia="Microsoft YaHei"/>
          <w:b w:val="0"/>
          <w:i w:val="0"/>
          <w:sz w:val="20"/>
        </w:rPr>
        <w:t>maximum recommendation support</w:t>
      </w:r>
    </w:p>
    <w:p>
      <w:pPr>
        <w:spacing w:line="264" w:lineRule="auto" w:after="80"/>
      </w:pPr>
      <w:r>
        <w:rPr>
          <w:rFonts w:ascii="Times New Roman" w:hAnsi="Times New Roman" w:eastAsia="Microsoft YaHei"/>
          <w:b w:val="0"/>
          <w:i w:val="0"/>
          <w:sz w:val="20"/>
        </w:rPr>
        <w:t>These signals contribute both explicit residue support in the engineering field and a dedicated ancestry branch in the neural controller.</w:t>
      </w:r>
    </w:p>
    <w:p>
      <w:pPr>
        <w:spacing w:before="100" w:after="60"/>
      </w:pPr>
      <w:r>
        <w:rPr>
          <w:rFonts w:ascii="Times New Roman" w:hAnsi="Times New Roman" w:eastAsia="Microsoft YaHei"/>
          <w:b/>
          <w:i w:val="0"/>
          <w:sz w:val="23"/>
        </w:rPr>
        <w:t>Retrieval motif atlas and prototype memory</w:t>
      </w:r>
    </w:p>
    <w:p>
      <w:pPr>
        <w:spacing w:line="264" w:lineRule="auto" w:after="80"/>
      </w:pPr>
      <w:r>
        <w:rPr>
          <w:rFonts w:ascii="Times New Roman" w:hAnsi="Times New Roman" w:eastAsia="Microsoft YaHei"/>
          <w:b w:val="0"/>
          <w:i w:val="0"/>
          <w:sz w:val="20"/>
        </w:rPr>
        <w:t>The retrieval branch encodes local structural memory rather than acting only as a nearest-neighbor annotation tool. For each design position, the retrieval representation may include:</w:t>
      </w:r>
    </w:p>
    <w:p>
      <w:pPr>
        <w:pStyle w:val="ListBullet"/>
        <w:spacing w:line="254" w:lineRule="auto" w:after="40"/>
      </w:pPr>
      <w:r>
        <w:rPr>
          <w:rFonts w:ascii="Times New Roman" w:hAnsi="Times New Roman" w:eastAsia="Microsoft YaHei"/>
          <w:b w:val="0"/>
          <w:i w:val="0"/>
          <w:sz w:val="20"/>
        </w:rPr>
        <w:t>residue-support distribution</w:t>
      </w:r>
    </w:p>
    <w:p>
      <w:pPr>
        <w:pStyle w:val="ListBullet"/>
        <w:spacing w:line="254" w:lineRule="auto" w:after="40"/>
      </w:pPr>
      <w:r>
        <w:rPr>
          <w:rFonts w:ascii="Times New Roman" w:hAnsi="Times New Roman" w:eastAsia="Microsoft YaHei"/>
          <w:b w:val="0"/>
          <w:i w:val="0"/>
          <w:sz w:val="20"/>
        </w:rPr>
        <w:t>neighbor count</w:t>
      </w:r>
    </w:p>
    <w:p>
      <w:pPr>
        <w:pStyle w:val="ListBullet"/>
        <w:spacing w:line="254" w:lineRule="auto" w:after="40"/>
      </w:pPr>
      <w:r>
        <w:rPr>
          <w:rFonts w:ascii="Times New Roman" w:hAnsi="Times New Roman" w:eastAsia="Microsoft YaHei"/>
          <w:b w:val="0"/>
          <w:i w:val="0"/>
          <w:sz w:val="20"/>
        </w:rPr>
        <w:t>top structural similarity</w:t>
      </w:r>
    </w:p>
    <w:p>
      <w:pPr>
        <w:pStyle w:val="ListBullet"/>
        <w:spacing w:line="254" w:lineRule="auto" w:after="40"/>
      </w:pPr>
      <w:r>
        <w:rPr>
          <w:rFonts w:ascii="Times New Roman" w:hAnsi="Times New Roman" w:eastAsia="Microsoft YaHei"/>
          <w:b w:val="0"/>
          <w:i w:val="0"/>
          <w:sz w:val="20"/>
        </w:rPr>
        <w:t>top retrieval weight</w:t>
      </w:r>
    </w:p>
    <w:p>
      <w:pPr>
        <w:pStyle w:val="ListBullet"/>
        <w:spacing w:line="254" w:lineRule="auto" w:after="40"/>
      </w:pPr>
      <w:r>
        <w:rPr>
          <w:rFonts w:ascii="Times New Roman" w:hAnsi="Times New Roman" w:eastAsia="Microsoft YaHei"/>
          <w:b w:val="0"/>
          <w:i w:val="0"/>
          <w:sz w:val="20"/>
        </w:rPr>
        <w:t>support sum</w:t>
      </w:r>
    </w:p>
    <w:p>
      <w:pPr>
        <w:pStyle w:val="ListBullet"/>
        <w:spacing w:line="254" w:lineRule="auto" w:after="40"/>
      </w:pPr>
      <w:r>
        <w:rPr>
          <w:rFonts w:ascii="Times New Roman" w:hAnsi="Times New Roman" w:eastAsia="Microsoft YaHei"/>
          <w:b w:val="0"/>
          <w:i w:val="0"/>
          <w:sz w:val="20"/>
        </w:rPr>
        <w:t>unique supporting target count</w:t>
      </w:r>
    </w:p>
    <w:p>
      <w:pPr>
        <w:spacing w:line="264" w:lineRule="auto" w:after="80"/>
      </w:pPr>
      <w:r>
        <w:rPr>
          <w:rFonts w:ascii="Times New Roman" w:hAnsi="Times New Roman" w:eastAsia="Microsoft YaHei"/>
          <w:b w:val="0"/>
          <w:i w:val="0"/>
          <w:sz w:val="20"/>
        </w:rPr>
        <w:t>These quantities are projected into the hidden space and fused with a learned retrieval-memory bank, allowing the controller to use retrieval as a structured evidence source.</w:t>
      </w:r>
    </w:p>
    <w:p>
      <w:pPr>
        <w:spacing w:before="100" w:after="60"/>
      </w:pPr>
      <w:r>
        <w:rPr>
          <w:rFonts w:ascii="Times New Roman" w:hAnsi="Times New Roman" w:eastAsia="Microsoft YaHei"/>
          <w:b/>
          <w:i w:val="0"/>
          <w:sz w:val="23"/>
        </w:rPr>
        <w:t>Shared residue field</w:t>
      </w:r>
    </w:p>
    <w:p>
      <w:pPr>
        <w:spacing w:line="264" w:lineRule="auto" w:after="80"/>
      </w:pPr>
      <w:r>
        <w:rPr>
          <w:rFonts w:ascii="Times New Roman" w:hAnsi="Times New Roman" w:eastAsia="Microsoft YaHei"/>
          <w:b w:val="0"/>
          <w:i w:val="0"/>
          <w:sz w:val="20"/>
        </w:rPr>
        <w:t>The shared residue field is the native decision object of the method. It has two components:</w:t>
      </w:r>
    </w:p>
    <w:p>
      <w:pPr>
        <w:pStyle w:val="ListBullet"/>
        <w:spacing w:line="254" w:lineRule="auto" w:after="40"/>
      </w:pPr>
      <w:r>
        <w:rPr>
          <w:rFonts w:ascii="Times New Roman" w:hAnsi="Times New Roman" w:eastAsia="Microsoft YaHei"/>
          <w:b w:val="0"/>
          <w:i w:val="0"/>
          <w:sz w:val="20"/>
        </w:rPr>
        <w:t>site-wise residue energies `U(i, a)`</w:t>
      </w:r>
    </w:p>
    <w:p>
      <w:pPr>
        <w:pStyle w:val="ListBullet"/>
        <w:spacing w:line="254" w:lineRule="auto" w:after="40"/>
      </w:pPr>
      <w:r>
        <w:rPr>
          <w:rFonts w:ascii="Times New Roman" w:hAnsi="Times New Roman" w:eastAsia="Microsoft YaHei"/>
          <w:b w:val="0"/>
          <w:i w:val="0"/>
          <w:sz w:val="20"/>
        </w:rPr>
        <w:t>pairwise couplings `C(i, j, a, b)`</w:t>
      </w:r>
    </w:p>
    <w:p>
      <w:pPr>
        <w:spacing w:line="264" w:lineRule="auto" w:after="80"/>
      </w:pPr>
      <w:r>
        <w:rPr>
          <w:rFonts w:ascii="Times New Roman" w:hAnsi="Times New Roman" w:eastAsia="Microsoft YaHei"/>
          <w:b w:val="0"/>
          <w:i w:val="0"/>
          <w:sz w:val="20"/>
        </w:rPr>
        <w:t>For a sequence `x`, the field energy is:</w:t>
      </w:r>
    </w:p>
    <w:p>
      <w:pPr>
        <w:spacing w:line="264" w:lineRule="auto" w:after="80"/>
      </w:pPr>
      <w:r>
        <w:rPr>
          <w:rFonts w:ascii="Times New Roman" w:hAnsi="Times New Roman" w:eastAsia="Microsoft YaHei"/>
          <w:b w:val="0"/>
          <w:i w:val="0"/>
          <w:sz w:val="20"/>
        </w:rPr>
        <w:t>`E(x) = sum_(i in D) U(i, x_i) + sum_((i,j) in N) C(i, j, x_i, x_j)`</w:t>
      </w:r>
    </w:p>
    <w:p>
      <w:pPr>
        <w:spacing w:line="264" w:lineRule="auto" w:after="80"/>
      </w:pPr>
      <w:r>
        <w:rPr>
          <w:rFonts w:ascii="Times New Roman" w:hAnsi="Times New Roman" w:eastAsia="Microsoft YaHei"/>
          <w:b w:val="0"/>
          <w:i w:val="0"/>
          <w:sz w:val="20"/>
        </w:rPr>
        <w:t>The engineering field is assembled from structural, evolutionary, ancestral, retrieval, and proposal-derived evidence. The neural field is produced by a multi-branch neural model that outputs unary residue logits and pairwise interaction tensors.</w:t>
      </w:r>
    </w:p>
    <w:p>
      <w:pPr>
        <w:spacing w:before="100" w:after="60"/>
      </w:pPr>
      <w:r>
        <w:rPr>
          <w:rFonts w:ascii="Times New Roman" w:hAnsi="Times New Roman" w:eastAsia="Microsoft YaHei"/>
          <w:b/>
          <w:i w:val="0"/>
          <w:sz w:val="23"/>
        </w:rPr>
        <w:t>Candidate controller architecture</w:t>
      </w:r>
    </w:p>
    <w:p>
      <w:pPr>
        <w:spacing w:line="264" w:lineRule="auto" w:after="80"/>
      </w:pPr>
      <w:r>
        <w:rPr>
          <w:rFonts w:ascii="Times New Roman" w:hAnsi="Times New Roman" w:eastAsia="Microsoft YaHei"/>
          <w:b w:val="0"/>
          <w:i w:val="0"/>
          <w:sz w:val="20"/>
        </w:rPr>
        <w:t>The neural controller contains five evidence branches:</w:t>
      </w:r>
    </w:p>
    <w:p>
      <w:pPr>
        <w:pStyle w:val="ListBullet"/>
        <w:spacing w:line="254" w:lineRule="auto" w:after="40"/>
      </w:pPr>
      <w:r>
        <w:rPr>
          <w:rFonts w:ascii="Times New Roman" w:hAnsi="Times New Roman" w:eastAsia="Microsoft YaHei"/>
          <w:b w:val="0"/>
          <w:i w:val="0"/>
          <w:sz w:val="20"/>
        </w:rPr>
        <w:t>geometry</w:t>
      </w:r>
    </w:p>
    <w:p>
      <w:pPr>
        <w:pStyle w:val="ListBullet"/>
        <w:spacing w:line="254" w:lineRule="auto" w:after="40"/>
      </w:pPr>
      <w:r>
        <w:rPr>
          <w:rFonts w:ascii="Times New Roman" w:hAnsi="Times New Roman" w:eastAsia="Microsoft YaHei"/>
          <w:b w:val="0"/>
          <w:i w:val="0"/>
          <w:sz w:val="20"/>
        </w:rPr>
        <w:t>phylogeny</w:t>
      </w:r>
    </w:p>
    <w:p>
      <w:pPr>
        <w:pStyle w:val="ListBullet"/>
        <w:spacing w:line="254" w:lineRule="auto" w:after="40"/>
      </w:pPr>
      <w:r>
        <w:rPr>
          <w:rFonts w:ascii="Times New Roman" w:hAnsi="Times New Roman" w:eastAsia="Microsoft YaHei"/>
          <w:b w:val="0"/>
          <w:i w:val="0"/>
          <w:sz w:val="20"/>
        </w:rPr>
        <w:t>ancestry</w:t>
      </w:r>
    </w:p>
    <w:p>
      <w:pPr>
        <w:pStyle w:val="ListBullet"/>
        <w:spacing w:line="254" w:lineRule="auto" w:after="40"/>
      </w:pPr>
      <w:r>
        <w:rPr>
          <w:rFonts w:ascii="Times New Roman" w:hAnsi="Times New Roman" w:eastAsia="Microsoft YaHei"/>
          <w:b w:val="0"/>
          <w:i w:val="0"/>
          <w:sz w:val="20"/>
        </w:rPr>
        <w:t>retrieval</w:t>
      </w:r>
    </w:p>
    <w:p>
      <w:pPr>
        <w:pStyle w:val="ListBullet"/>
        <w:spacing w:line="254" w:lineRule="auto" w:after="40"/>
      </w:pPr>
      <w:r>
        <w:rPr>
          <w:rFonts w:ascii="Times New Roman" w:hAnsi="Times New Roman" w:eastAsia="Microsoft YaHei"/>
          <w:b w:val="0"/>
          <w:i w:val="0"/>
          <w:sz w:val="20"/>
        </w:rPr>
        <w:t>environment</w:t>
      </w:r>
    </w:p>
    <w:p>
      <w:pPr>
        <w:spacing w:line="264" w:lineRule="auto" w:after="80"/>
      </w:pPr>
      <w:r>
        <w:rPr>
          <w:rFonts w:ascii="Times New Roman" w:hAnsi="Times New Roman" w:eastAsia="Microsoft YaHei"/>
          <w:b w:val="0"/>
          <w:i w:val="0"/>
          <w:sz w:val="20"/>
        </w:rPr>
        <w:t>Each branch is projected into a shared hidden space. The ancestry and retrieval branches are additionally fused with learned memory banks. The environment branch produces both an environment token and branch-specific modulation parameters.</w:t>
      </w:r>
    </w:p>
    <w:p>
      <w:pPr>
        <w:spacing w:line="264" w:lineRule="auto" w:after="80"/>
      </w:pPr>
      <w:r>
        <w:rPr>
          <w:rFonts w:ascii="Times New Roman" w:hAnsi="Times New Roman" w:eastAsia="Microsoft YaHei"/>
          <w:b w:val="0"/>
          <w:i w:val="0"/>
          <w:sz w:val="20"/>
        </w:rPr>
        <w:t>Branch fusion is implemented with learned gates. If the branch embeddings at site `i` are</w:t>
      </w:r>
    </w:p>
    <w:p>
      <w:pPr>
        <w:spacing w:line="264" w:lineRule="auto" w:after="80"/>
      </w:pPr>
      <w:r>
        <w:rPr>
          <w:rFonts w:ascii="Times New Roman" w:hAnsi="Times New Roman" w:eastAsia="Microsoft YaHei"/>
          <w:b w:val="0"/>
          <w:i w:val="0"/>
          <w:sz w:val="20"/>
        </w:rPr>
        <w:t>`h_geom(i)`, `h_phylo(i)`, `h_asr(i)`, `h_retr(i)`, and `h_env(i)`, then:</w:t>
      </w:r>
    </w:p>
    <w:p>
      <w:pPr>
        <w:spacing w:line="264" w:lineRule="auto" w:after="80"/>
      </w:pPr>
      <w:r>
        <w:rPr>
          <w:rFonts w:ascii="Times New Roman" w:hAnsi="Times New Roman" w:eastAsia="Microsoft YaHei"/>
          <w:b w:val="0"/>
          <w:i w:val="0"/>
          <w:sz w:val="20"/>
        </w:rPr>
        <w:t>`alpha(i) = softmax(G([h_geom(i), h_phylo(i), h_asr(i), h_retr(i), h_env(i)]))`</w:t>
      </w:r>
    </w:p>
    <w:p>
      <w:pPr>
        <w:spacing w:line="264" w:lineRule="auto" w:after="80"/>
      </w:pPr>
      <w:r>
        <w:rPr>
          <w:rFonts w:ascii="Times New Roman" w:hAnsi="Times New Roman" w:eastAsia="Microsoft YaHei"/>
          <w:b w:val="0"/>
          <w:i w:val="0"/>
          <w:sz w:val="20"/>
        </w:rPr>
        <w:t>and the fused site representation is:</w:t>
      </w:r>
    </w:p>
    <w:p>
      <w:pPr>
        <w:spacing w:line="264" w:lineRule="auto" w:after="80"/>
      </w:pPr>
      <w:r>
        <w:rPr>
          <w:rFonts w:ascii="Times New Roman" w:hAnsi="Times New Roman" w:eastAsia="Microsoft YaHei"/>
          <w:b w:val="0"/>
          <w:i w:val="0"/>
          <w:sz w:val="20"/>
        </w:rPr>
        <w:t>`h_i = MLP([alpha_geom(i) h_geom(i), alpha_phylo(i) h_phylo(i), alpha_asr(i) h_asr(i), alpha_retr(i) h_retr(i), alpha_env(i) h_env(i)])`</w:t>
      </w:r>
    </w:p>
    <w:p>
      <w:pPr>
        <w:spacing w:line="264" w:lineRule="auto" w:after="80"/>
      </w:pPr>
      <w:r>
        <w:rPr>
          <w:rFonts w:ascii="Times New Roman" w:hAnsi="Times New Roman" w:eastAsia="Microsoft YaHei"/>
          <w:b w:val="0"/>
          <w:i w:val="0"/>
          <w:sz w:val="20"/>
        </w:rPr>
        <w:t>At the candidate level, the controller combines sequence-conditioned residue-prototype context, candidate-specific evidence features, and pairwise summary features. The candidate embedding feeds three heads:</w:t>
      </w:r>
    </w:p>
    <w:p>
      <w:pPr>
        <w:pStyle w:val="ListBullet"/>
        <w:spacing w:line="254" w:lineRule="auto" w:after="40"/>
      </w:pPr>
      <w:r>
        <w:rPr>
          <w:rFonts w:ascii="Times New Roman" w:hAnsi="Times New Roman" w:eastAsia="Microsoft YaHei"/>
          <w:b w:val="0"/>
          <w:i w:val="0"/>
          <w:sz w:val="20"/>
        </w:rPr>
        <w:t>selection head</w:t>
      </w:r>
    </w:p>
    <w:p>
      <w:pPr>
        <w:pStyle w:val="ListBullet"/>
        <w:spacing w:line="254" w:lineRule="auto" w:after="40"/>
      </w:pPr>
      <w:r>
        <w:rPr>
          <w:rFonts w:ascii="Times New Roman" w:hAnsi="Times New Roman" w:eastAsia="Microsoft YaHei"/>
          <w:b w:val="0"/>
          <w:i w:val="0"/>
          <w:sz w:val="20"/>
        </w:rPr>
        <w:t>engineering head</w:t>
      </w:r>
    </w:p>
    <w:p>
      <w:pPr>
        <w:pStyle w:val="ListBullet"/>
        <w:spacing w:line="254" w:lineRule="auto" w:after="40"/>
      </w:pPr>
      <w:r>
        <w:rPr>
          <w:rFonts w:ascii="Times New Roman" w:hAnsi="Times New Roman" w:eastAsia="Microsoft YaHei"/>
          <w:b w:val="0"/>
          <w:i w:val="0"/>
          <w:sz w:val="20"/>
        </w:rPr>
        <w:t>policy head</w:t>
      </w:r>
    </w:p>
    <w:p>
      <w:pPr>
        <w:spacing w:before="100" w:after="60"/>
      </w:pPr>
      <w:r>
        <w:rPr>
          <w:rFonts w:ascii="Times New Roman" w:hAnsi="Times New Roman" w:eastAsia="Microsoft YaHei"/>
          <w:b/>
          <w:i w:val="0"/>
          <w:sz w:val="23"/>
        </w:rPr>
        <w:t>Training objectives</w:t>
      </w:r>
    </w:p>
    <w:p>
      <w:pPr>
        <w:spacing w:line="264" w:lineRule="auto" w:after="80"/>
      </w:pPr>
      <w:r>
        <w:rPr>
          <w:rFonts w:ascii="Times New Roman" w:hAnsi="Times New Roman" w:eastAsia="Microsoft YaHei"/>
          <w:b w:val="0"/>
          <w:i w:val="0"/>
          <w:sz w:val="20"/>
        </w:rPr>
        <w:t>The controller is trained with multiple objectives.</w:t>
      </w:r>
    </w:p>
    <w:p>
      <w:pPr>
        <w:spacing w:before="100" w:after="60"/>
      </w:pPr>
      <w:r>
        <w:rPr>
          <w:rFonts w:ascii="Times New Roman" w:hAnsi="Times New Roman" w:eastAsia="Microsoft YaHei"/>
          <w:b/>
          <w:i w:val="0"/>
          <w:sz w:val="21"/>
        </w:rPr>
        <w:t>Selection regression</w:t>
      </w:r>
    </w:p>
    <w:p>
      <w:pPr>
        <w:spacing w:line="264" w:lineRule="auto" w:after="80"/>
      </w:pPr>
      <w:r>
        <w:rPr>
          <w:rFonts w:ascii="Times New Roman" w:hAnsi="Times New Roman" w:eastAsia="Microsoft YaHei"/>
          <w:b w:val="0"/>
          <w:i w:val="0"/>
          <w:sz w:val="20"/>
        </w:rPr>
        <w:t>`L_sel = MSE(s_hat, s_norm)`</w:t>
      </w:r>
    </w:p>
    <w:p>
      <w:pPr>
        <w:spacing w:before="100" w:after="60"/>
      </w:pPr>
      <w:r>
        <w:rPr>
          <w:rFonts w:ascii="Times New Roman" w:hAnsi="Times New Roman" w:eastAsia="Microsoft YaHei"/>
          <w:b/>
          <w:i w:val="0"/>
          <w:sz w:val="21"/>
        </w:rPr>
        <w:t>Engineering regression</w:t>
      </w:r>
    </w:p>
    <w:p>
      <w:pPr>
        <w:spacing w:line="264" w:lineRule="auto" w:after="80"/>
      </w:pPr>
      <w:r>
        <w:rPr>
          <w:rFonts w:ascii="Times New Roman" w:hAnsi="Times New Roman" w:eastAsia="Microsoft YaHei"/>
          <w:b w:val="0"/>
          <w:i w:val="0"/>
          <w:sz w:val="20"/>
        </w:rPr>
        <w:t>`L_eng = MSE(e_hat, e_norm)`</w:t>
      </w:r>
    </w:p>
    <w:p>
      <w:pPr>
        <w:spacing w:line="264" w:lineRule="auto" w:after="80"/>
      </w:pPr>
      <w:r>
        <w:rPr>
          <w:rFonts w:ascii="Times New Roman" w:hAnsi="Times New Roman" w:eastAsia="Microsoft YaHei"/>
          <w:b w:val="0"/>
          <w:i w:val="0"/>
          <w:sz w:val="20"/>
        </w:rPr>
        <w:t>where `e_norm` is the standardized engineering score.</w:t>
      </w:r>
    </w:p>
    <w:p>
      <w:pPr>
        <w:spacing w:before="100" w:after="60"/>
      </w:pPr>
      <w:r>
        <w:rPr>
          <w:rFonts w:ascii="Times New Roman" w:hAnsi="Times New Roman" w:eastAsia="Microsoft YaHei"/>
          <w:b/>
          <w:i w:val="0"/>
          <w:sz w:val="21"/>
        </w:rPr>
        <w:t>Policy regression</w:t>
      </w:r>
    </w:p>
    <w:p>
      <w:pPr>
        <w:spacing w:line="264" w:lineRule="auto" w:after="80"/>
      </w:pPr>
      <w:r>
        <w:rPr>
          <w:rFonts w:ascii="Times New Roman" w:hAnsi="Times New Roman" w:eastAsia="Microsoft YaHei"/>
          <w:b w:val="0"/>
          <w:i w:val="0"/>
          <w:sz w:val="20"/>
        </w:rPr>
        <w:t>The target policy score is defined as:</w:t>
      </w:r>
    </w:p>
    <w:p>
      <w:pPr>
        <w:spacing w:line="264" w:lineRule="auto" w:after="80"/>
      </w:pPr>
      <w:r>
        <w:rPr>
          <w:rFonts w:ascii="Times New Roman" w:hAnsi="Times New Roman" w:eastAsia="Microsoft YaHei"/>
          <w:b w:val="0"/>
          <w:i w:val="0"/>
          <w:sz w:val="20"/>
        </w:rPr>
        <w:t>`p_target = 0.30 s_norm + 0.70 e_norm`</w:t>
      </w:r>
    </w:p>
    <w:p>
      <w:pPr>
        <w:spacing w:line="264" w:lineRule="auto" w:after="80"/>
      </w:pPr>
      <w:r>
        <w:rPr>
          <w:rFonts w:ascii="Times New Roman" w:hAnsi="Times New Roman" w:eastAsia="Microsoft YaHei"/>
          <w:b w:val="0"/>
          <w:i w:val="0"/>
          <w:sz w:val="20"/>
        </w:rPr>
        <w:t>with supervision:</w:t>
      </w:r>
    </w:p>
    <w:p>
      <w:pPr>
        <w:spacing w:line="264" w:lineRule="auto" w:after="80"/>
      </w:pPr>
      <w:r>
        <w:rPr>
          <w:rFonts w:ascii="Times New Roman" w:hAnsi="Times New Roman" w:eastAsia="Microsoft YaHei"/>
          <w:b w:val="0"/>
          <w:i w:val="0"/>
          <w:sz w:val="20"/>
        </w:rPr>
        <w:t>`L_pol = MSE(p_hat, p_target)`</w:t>
      </w:r>
    </w:p>
    <w:p>
      <w:pPr>
        <w:spacing w:before="100" w:after="60"/>
      </w:pPr>
      <w:r>
        <w:rPr>
          <w:rFonts w:ascii="Times New Roman" w:hAnsi="Times New Roman" w:eastAsia="Microsoft YaHei"/>
          <w:b/>
          <w:i w:val="0"/>
          <w:sz w:val="21"/>
        </w:rPr>
        <w:t>Pairwise policy ranking</w:t>
      </w:r>
    </w:p>
    <w:p>
      <w:pPr>
        <w:spacing w:line="264" w:lineRule="auto" w:after="80"/>
      </w:pPr>
      <w:r>
        <w:rPr>
          <w:rFonts w:ascii="Times New Roman" w:hAnsi="Times New Roman" w:eastAsia="Microsoft YaHei"/>
          <w:b w:val="0"/>
          <w:i w:val="0"/>
          <w:sz w:val="20"/>
        </w:rPr>
        <w:t>Pairwise ranking supervision is applied to candidate pairs whose target policy values differ by a margin:</w:t>
      </w:r>
    </w:p>
    <w:p>
      <w:pPr>
        <w:spacing w:line="264" w:lineRule="auto" w:after="80"/>
      </w:pPr>
      <w:r>
        <w:rPr>
          <w:rFonts w:ascii="Times New Roman" w:hAnsi="Times New Roman" w:eastAsia="Microsoft YaHei"/>
          <w:b w:val="0"/>
          <w:i w:val="0"/>
          <w:sz w:val="20"/>
        </w:rPr>
        <w:t>`L_rank = mean softplus(-(p_hat_i - p_hat_j))`</w:t>
      </w:r>
    </w:p>
    <w:p>
      <w:pPr>
        <w:spacing w:before="100" w:after="60"/>
      </w:pPr>
      <w:r>
        <w:rPr>
          <w:rFonts w:ascii="Times New Roman" w:hAnsi="Times New Roman" w:eastAsia="Microsoft YaHei"/>
          <w:b/>
          <w:i w:val="0"/>
          <w:sz w:val="21"/>
        </w:rPr>
        <w:t>Decoder-field supervision</w:t>
      </w:r>
    </w:p>
    <w:p>
      <w:pPr>
        <w:spacing w:line="264" w:lineRule="auto" w:after="80"/>
      </w:pPr>
      <w:r>
        <w:rPr>
          <w:rFonts w:ascii="Times New Roman" w:hAnsi="Times New Roman" w:eastAsia="Microsoft YaHei"/>
          <w:b w:val="0"/>
          <w:i w:val="0"/>
          <w:sz w:val="20"/>
        </w:rPr>
        <w:t>The unary field is supervised toward the empirical residue distribution induced by high-quality candidates:</w:t>
      </w:r>
    </w:p>
    <w:p>
      <w:pPr>
        <w:spacing w:line="264" w:lineRule="auto" w:after="80"/>
      </w:pPr>
      <w:r>
        <w:rPr>
          <w:rFonts w:ascii="Times New Roman" w:hAnsi="Times New Roman" w:eastAsia="Microsoft YaHei"/>
          <w:b w:val="0"/>
          <w:i w:val="0"/>
          <w:sz w:val="20"/>
        </w:rPr>
        <w:t>`L_dec = CE(U, q_site)`</w:t>
      </w:r>
    </w:p>
    <w:p>
      <w:pPr>
        <w:spacing w:before="100" w:after="60"/>
      </w:pPr>
      <w:r>
        <w:rPr>
          <w:rFonts w:ascii="Times New Roman" w:hAnsi="Times New Roman" w:eastAsia="Microsoft YaHei"/>
          <w:b/>
          <w:i w:val="0"/>
          <w:sz w:val="21"/>
        </w:rPr>
        <w:t>Additional regularization and auxiliary losses</w:t>
      </w:r>
    </w:p>
    <w:p>
      <w:pPr>
        <w:spacing w:line="264" w:lineRule="auto" w:after="80"/>
      </w:pPr>
      <w:r>
        <w:rPr>
          <w:rFonts w:ascii="Times New Roman" w:hAnsi="Times New Roman" w:eastAsia="Microsoft YaHei"/>
          <w:b w:val="0"/>
          <w:i w:val="0"/>
          <w:sz w:val="20"/>
        </w:rPr>
        <w:t>The current implementation also includes:</w:t>
      </w:r>
    </w:p>
    <w:p>
      <w:pPr>
        <w:pStyle w:val="ListBullet"/>
        <w:spacing w:line="254" w:lineRule="auto" w:after="40"/>
      </w:pPr>
      <w:r>
        <w:rPr>
          <w:rFonts w:ascii="Times New Roman" w:hAnsi="Times New Roman" w:eastAsia="Microsoft YaHei"/>
          <w:b w:val="0"/>
          <w:i w:val="0"/>
          <w:sz w:val="20"/>
        </w:rPr>
        <w:t>recovery loss</w:t>
      </w:r>
    </w:p>
    <w:p>
      <w:pPr>
        <w:pStyle w:val="ListBullet"/>
        <w:spacing w:line="254" w:lineRule="auto" w:after="40"/>
      </w:pPr>
      <w:r>
        <w:rPr>
          <w:rFonts w:ascii="Times New Roman" w:hAnsi="Times New Roman" w:eastAsia="Microsoft YaHei"/>
          <w:b w:val="0"/>
          <w:i w:val="0"/>
          <w:sz w:val="20"/>
        </w:rPr>
        <w:t>ancestry alignment loss</w:t>
      </w:r>
    </w:p>
    <w:p>
      <w:pPr>
        <w:pStyle w:val="ListBullet"/>
        <w:spacing w:line="254" w:lineRule="auto" w:after="40"/>
      </w:pPr>
      <w:r>
        <w:rPr>
          <w:rFonts w:ascii="Times New Roman" w:hAnsi="Times New Roman" w:eastAsia="Microsoft YaHei"/>
          <w:b w:val="0"/>
          <w:i w:val="0"/>
          <w:sz w:val="20"/>
        </w:rPr>
        <w:t>retrieval alignment loss</w:t>
      </w:r>
    </w:p>
    <w:p>
      <w:pPr>
        <w:pStyle w:val="ListBullet"/>
        <w:spacing w:line="254" w:lineRule="auto" w:after="40"/>
      </w:pPr>
      <w:r>
        <w:rPr>
          <w:rFonts w:ascii="Times New Roman" w:hAnsi="Times New Roman" w:eastAsia="Microsoft YaHei"/>
          <w:b w:val="0"/>
          <w:i w:val="0"/>
          <w:sz w:val="20"/>
        </w:rPr>
        <w:t>environment reconstruction loss</w:t>
      </w:r>
    </w:p>
    <w:p>
      <w:pPr>
        <w:pStyle w:val="ListBullet"/>
        <w:spacing w:line="254" w:lineRule="auto" w:after="40"/>
      </w:pPr>
      <w:r>
        <w:rPr>
          <w:rFonts w:ascii="Times New Roman" w:hAnsi="Times New Roman" w:eastAsia="Microsoft YaHei"/>
          <w:b w:val="0"/>
          <w:i w:val="0"/>
          <w:sz w:val="20"/>
        </w:rPr>
        <w:t>pairwise consistency loss</w:t>
      </w:r>
    </w:p>
    <w:p>
      <w:pPr>
        <w:pStyle w:val="ListBullet"/>
        <w:spacing w:line="254" w:lineRule="auto" w:after="40"/>
      </w:pPr>
      <w:r>
        <w:rPr>
          <w:rFonts w:ascii="Times New Roman" w:hAnsi="Times New Roman" w:eastAsia="Microsoft YaHei"/>
          <w:b w:val="0"/>
          <w:i w:val="0"/>
          <w:sz w:val="20"/>
        </w:rPr>
        <w:t>winner-guard loss</w:t>
      </w:r>
    </w:p>
    <w:p>
      <w:pPr>
        <w:pStyle w:val="ListBullet"/>
        <w:spacing w:line="254" w:lineRule="auto" w:after="40"/>
      </w:pPr>
      <w:r>
        <w:rPr>
          <w:rFonts w:ascii="Times New Roman" w:hAnsi="Times New Roman" w:eastAsia="Microsoft YaHei"/>
          <w:b w:val="0"/>
          <w:i w:val="0"/>
          <w:sz w:val="20"/>
        </w:rPr>
        <w:t>non-decoder-guard loss</w:t>
      </w:r>
    </w:p>
    <w:p>
      <w:pPr>
        <w:pStyle w:val="ListBullet"/>
        <w:spacing w:line="254" w:lineRule="auto" w:after="40"/>
      </w:pPr>
      <w:r>
        <w:rPr>
          <w:rFonts w:ascii="Times New Roman" w:hAnsi="Times New Roman" w:eastAsia="Microsoft YaHei"/>
          <w:b w:val="0"/>
          <w:i w:val="0"/>
          <w:sz w:val="20"/>
        </w:rPr>
        <w:t>simplicity-guard loss</w:t>
      </w:r>
    </w:p>
    <w:p>
      <w:pPr>
        <w:pStyle w:val="ListBullet"/>
        <w:spacing w:line="254" w:lineRule="auto" w:after="40"/>
      </w:pPr>
      <w:r>
        <w:rPr>
          <w:rFonts w:ascii="Times New Roman" w:hAnsi="Times New Roman" w:eastAsia="Microsoft YaHei"/>
          <w:b w:val="0"/>
          <w:i w:val="0"/>
          <w:sz w:val="20"/>
        </w:rPr>
        <w:t>selector-anchor loss</w:t>
      </w:r>
    </w:p>
    <w:p>
      <w:pPr>
        <w:pStyle w:val="ListBullet"/>
        <w:spacing w:line="254" w:lineRule="auto" w:after="40"/>
      </w:pPr>
      <w:r>
        <w:rPr>
          <w:rFonts w:ascii="Times New Roman" w:hAnsi="Times New Roman" w:eastAsia="Microsoft YaHei"/>
          <w:b w:val="0"/>
          <w:i w:val="0"/>
          <w:sz w:val="20"/>
        </w:rPr>
        <w:t>gate-entropy and gate-prior regularization</w:t>
      </w:r>
    </w:p>
    <w:p>
      <w:pPr>
        <w:spacing w:line="264" w:lineRule="auto" w:after="80"/>
      </w:pPr>
      <w:r>
        <w:rPr>
          <w:rFonts w:ascii="Times New Roman" w:hAnsi="Times New Roman" w:eastAsia="Microsoft YaHei"/>
          <w:b w:val="0"/>
          <w:i w:val="0"/>
          <w:sz w:val="20"/>
        </w:rPr>
        <w:t>The total objective is a weighted sum of these terms.</w:t>
      </w:r>
    </w:p>
    <w:p>
      <w:pPr>
        <w:spacing w:before="100" w:after="60"/>
      </w:pPr>
      <w:r>
        <w:rPr>
          <w:rFonts w:ascii="Times New Roman" w:hAnsi="Times New Roman" w:eastAsia="Microsoft YaHei"/>
          <w:b/>
          <w:i w:val="0"/>
          <w:sz w:val="23"/>
        </w:rPr>
        <w:t>Teacher-forced neural field decoder</w:t>
      </w:r>
    </w:p>
    <w:p>
      <w:pPr>
        <w:spacing w:line="264" w:lineRule="auto" w:after="80"/>
      </w:pPr>
      <w:r>
        <w:rPr>
          <w:rFonts w:ascii="Times New Roman" w:hAnsi="Times New Roman" w:eastAsia="Microsoft YaHei"/>
          <w:b w:val="0"/>
          <w:i w:val="0"/>
          <w:sz w:val="20"/>
        </w:rPr>
        <w:t>The neural field decoder extends the system beyond reranking. For each held-out target, the benchmark-time pipeline:</w:t>
      </w:r>
    </w:p>
    <w:p>
      <w:pPr>
        <w:spacing w:line="264" w:lineRule="auto" w:after="80"/>
      </w:pPr>
      <w:r>
        <w:rPr>
          <w:rFonts w:ascii="Times New Roman" w:hAnsi="Times New Roman" w:eastAsia="Microsoft YaHei"/>
          <w:b w:val="0"/>
          <w:i w:val="0"/>
          <w:sz w:val="20"/>
        </w:rPr>
        <w:t>1. constructs a runtime neural batch from the live target state</w:t>
      </w:r>
    </w:p>
    <w:p>
      <w:pPr>
        <w:spacing w:line="264" w:lineRule="auto" w:after="80"/>
      </w:pPr>
      <w:r>
        <w:rPr>
          <w:rFonts w:ascii="Times New Roman" w:hAnsi="Times New Roman" w:eastAsia="Microsoft YaHei"/>
          <w:b w:val="0"/>
          <w:i w:val="0"/>
          <w:sz w:val="20"/>
        </w:rPr>
        <w:t>2. trains a leave-one-target-out neural field model using the remaining targets</w:t>
      </w:r>
    </w:p>
    <w:p>
      <w:pPr>
        <w:spacing w:line="264" w:lineRule="auto" w:after="80"/>
      </w:pPr>
      <w:r>
        <w:rPr>
          <w:rFonts w:ascii="Times New Roman" w:hAnsi="Times New Roman" w:eastAsia="Microsoft YaHei"/>
          <w:b w:val="0"/>
          <w:i w:val="0"/>
          <w:sz w:val="20"/>
        </w:rPr>
        <w:t>3. produces learned unary and pairwise field outputs</w:t>
      </w:r>
    </w:p>
    <w:p>
      <w:pPr>
        <w:spacing w:line="264" w:lineRule="auto" w:after="80"/>
      </w:pPr>
      <w:r>
        <w:rPr>
          <w:rFonts w:ascii="Times New Roman" w:hAnsi="Times New Roman" w:eastAsia="Microsoft YaHei"/>
          <w:b w:val="0"/>
          <w:i w:val="0"/>
          <w:sz w:val="20"/>
        </w:rPr>
        <w:t>4. combines these outputs with evidence-derived prior fields</w:t>
      </w:r>
    </w:p>
    <w:p>
      <w:pPr>
        <w:spacing w:line="264" w:lineRule="auto" w:after="80"/>
      </w:pPr>
      <w:r>
        <w:rPr>
          <w:rFonts w:ascii="Times New Roman" w:hAnsi="Times New Roman" w:eastAsia="Microsoft YaHei"/>
          <w:b w:val="0"/>
          <w:i w:val="0"/>
          <w:sz w:val="20"/>
        </w:rPr>
        <w:t>5. decodes `neural_decoder` candidates under constrained beam search</w:t>
      </w:r>
    </w:p>
    <w:p>
      <w:pPr>
        <w:spacing w:line="264" w:lineRule="auto" w:after="80"/>
      </w:pPr>
      <w:r>
        <w:rPr>
          <w:rFonts w:ascii="Times New Roman" w:hAnsi="Times New Roman" w:eastAsia="Microsoft YaHei"/>
          <w:b w:val="0"/>
          <w:i w:val="0"/>
          <w:sz w:val="20"/>
        </w:rPr>
        <w:t>This teacher-forced design prevents the learned field from drifting too far from biologically and engineering-wise supported regions while still allowing decode-time novelty.</w:t>
      </w:r>
    </w:p>
    <w:p>
      <w:pPr>
        <w:spacing w:before="100" w:after="60"/>
      </w:pPr>
      <w:r>
        <w:rPr>
          <w:rFonts w:ascii="Times New Roman" w:hAnsi="Times New Roman" w:eastAsia="Microsoft YaHei"/>
          <w:b/>
          <w:i w:val="0"/>
          <w:sz w:val="23"/>
        </w:rPr>
        <w:t>Final hybrid selection policy</w:t>
      </w:r>
    </w:p>
    <w:p>
      <w:pPr>
        <w:spacing w:line="264" w:lineRule="auto" w:after="80"/>
      </w:pPr>
      <w:r>
        <w:rPr>
          <w:rFonts w:ascii="Times New Roman" w:hAnsi="Times New Roman" w:eastAsia="Microsoft YaHei"/>
          <w:b w:val="0"/>
          <w:i w:val="0"/>
          <w:sz w:val="20"/>
        </w:rPr>
        <w:t>The final controller uses a hybrid policy. If `x_current` is the incumbent policy candidate and `x_neural` is the neural-policy candidate, then `x_neural` is adopted only if:</w:t>
      </w:r>
    </w:p>
    <w:p>
      <w:pPr>
        <w:spacing w:line="264" w:lineRule="auto" w:after="80"/>
      </w:pPr>
      <w:r>
        <w:rPr>
          <w:rFonts w:ascii="Times New Roman" w:hAnsi="Times New Roman" w:eastAsia="Microsoft YaHei"/>
          <w:b w:val="0"/>
          <w:i w:val="0"/>
          <w:sz w:val="20"/>
        </w:rPr>
        <w:t>1. `engineering_score(x_neural) &gt;= engineering_score(x_current)`</w:t>
      </w:r>
    </w:p>
    <w:p>
      <w:pPr>
        <w:spacing w:line="264" w:lineRule="auto" w:after="80"/>
      </w:pPr>
      <w:r>
        <w:rPr>
          <w:rFonts w:ascii="Times New Roman" w:hAnsi="Times New Roman" w:eastAsia="Microsoft YaHei"/>
          <w:b w:val="0"/>
          <w:i w:val="0"/>
          <w:sz w:val="20"/>
        </w:rPr>
        <w:t>2. `selection_score(x_neural) - selection_score(x_current) &gt;= -tau`</w:t>
      </w:r>
    </w:p>
    <w:p>
      <w:pPr>
        <w:spacing w:line="264" w:lineRule="auto" w:after="80"/>
      </w:pPr>
      <w:r>
        <w:rPr>
          <w:rFonts w:ascii="Times New Roman" w:hAnsi="Times New Roman" w:eastAsia="Microsoft YaHei"/>
          <w:b w:val="0"/>
          <w:i w:val="0"/>
          <w:sz w:val="20"/>
        </w:rPr>
        <w:t>In the current benchmark implementation:</w:t>
      </w:r>
    </w:p>
    <w:p>
      <w:pPr>
        <w:pStyle w:val="ListBullet"/>
        <w:spacing w:line="254" w:lineRule="auto" w:after="40"/>
      </w:pPr>
      <w:r>
        <w:rPr>
          <w:rFonts w:ascii="Times New Roman" w:hAnsi="Times New Roman" w:eastAsia="Microsoft YaHei"/>
          <w:b w:val="0"/>
          <w:i w:val="0"/>
          <w:sz w:val="20"/>
        </w:rPr>
        <w:t>`tau = 0.10`</w:t>
      </w:r>
    </w:p>
    <w:p>
      <w:pPr>
        <w:spacing w:line="264" w:lineRule="auto" w:after="80"/>
      </w:pPr>
      <w:r>
        <w:rPr>
          <w:rFonts w:ascii="Times New Roman" w:hAnsi="Times New Roman" w:eastAsia="Microsoft YaHei"/>
          <w:b w:val="0"/>
          <w:i w:val="0"/>
          <w:sz w:val="20"/>
        </w:rPr>
        <w:t>This policy keeps the system conservative on hard targets while still permitting neural branch adoption when adequately supported.</w:t>
      </w:r>
    </w:p>
    <w:p>
      <w:pPr>
        <w:spacing w:before="100" w:after="60"/>
      </w:pPr>
      <w:r>
        <w:rPr>
          <w:rFonts w:ascii="Times New Roman" w:hAnsi="Times New Roman" w:eastAsia="Microsoft YaHei"/>
          <w:b/>
          <w:i w:val="0"/>
          <w:sz w:val="23"/>
        </w:rPr>
        <w:t>Evaluation protocol</w:t>
      </w:r>
    </w:p>
    <w:p>
      <w:pPr>
        <w:spacing w:line="264" w:lineRule="auto" w:after="80"/>
      </w:pPr>
      <w:r>
        <w:rPr>
          <w:rFonts w:ascii="Times New Roman" w:hAnsi="Times New Roman" w:eastAsia="Microsoft YaHei"/>
          <w:b w:val="0"/>
          <w:i w:val="0"/>
          <w:sz w:val="20"/>
        </w:rPr>
        <w:t>The primary evaluation quantities are:</w:t>
      </w:r>
    </w:p>
    <w:p>
      <w:pPr>
        <w:pStyle w:val="ListBullet"/>
        <w:spacing w:line="254" w:lineRule="auto" w:after="40"/>
      </w:pPr>
      <w:r>
        <w:rPr>
          <w:rFonts w:ascii="Times New Roman" w:hAnsi="Times New Roman" w:eastAsia="Microsoft YaHei"/>
          <w:b w:val="0"/>
          <w:i w:val="0"/>
          <w:sz w:val="20"/>
        </w:rPr>
        <w:t>policy selection score</w:t>
      </w:r>
    </w:p>
    <w:p>
      <w:pPr>
        <w:pStyle w:val="ListBullet"/>
        <w:spacing w:line="254" w:lineRule="auto" w:after="40"/>
      </w:pPr>
      <w:r>
        <w:rPr>
          <w:rFonts w:ascii="Times New Roman" w:hAnsi="Times New Roman" w:eastAsia="Microsoft YaHei"/>
          <w:b w:val="0"/>
          <w:i w:val="0"/>
          <w:sz w:val="20"/>
        </w:rPr>
        <w:t>policy engineering score</w:t>
      </w:r>
    </w:p>
    <w:p>
      <w:pPr>
        <w:pStyle w:val="ListBullet"/>
        <w:spacing w:line="254" w:lineRule="auto" w:after="40"/>
      </w:pPr>
      <w:r>
        <w:rPr>
          <w:rFonts w:ascii="Times New Roman" w:hAnsi="Times New Roman" w:eastAsia="Microsoft YaHei"/>
          <w:b w:val="0"/>
          <w:i w:val="0"/>
          <w:sz w:val="20"/>
        </w:rPr>
        <w:t>paired policy delta relative to the incumbent benchmark</w:t>
      </w:r>
    </w:p>
    <w:p>
      <w:pPr>
        <w:pStyle w:val="ListBullet"/>
        <w:spacing w:line="254" w:lineRule="auto" w:after="40"/>
      </w:pPr>
      <w:r>
        <w:rPr>
          <w:rFonts w:ascii="Times New Roman" w:hAnsi="Times New Roman" w:eastAsia="Microsoft YaHei"/>
          <w:b w:val="0"/>
          <w:i w:val="0"/>
          <w:sz w:val="20"/>
        </w:rPr>
        <w:t>neural decoder utilization</w:t>
      </w:r>
    </w:p>
    <w:p>
      <w:pPr>
        <w:spacing w:line="264" w:lineRule="auto" w:after="80"/>
      </w:pPr>
      <w:r>
        <w:rPr>
          <w:rFonts w:ascii="Times New Roman" w:hAnsi="Times New Roman" w:eastAsia="Microsoft YaHei"/>
          <w:b w:val="0"/>
          <w:i w:val="0"/>
          <w:sz w:val="20"/>
        </w:rPr>
        <w:t>Neural decoder utilization is quantified by:</w:t>
      </w:r>
    </w:p>
    <w:p>
      <w:pPr>
        <w:pStyle w:val="ListBullet"/>
        <w:spacing w:line="254" w:lineRule="auto" w:after="40"/>
      </w:pPr>
      <w:r>
        <w:rPr>
          <w:rFonts w:ascii="Times New Roman" w:hAnsi="Times New Roman" w:eastAsia="Microsoft YaHei"/>
          <w:b w:val="0"/>
          <w:i w:val="0"/>
          <w:sz w:val="20"/>
        </w:rPr>
        <w:t>whether the decoder was enabled</w:t>
      </w:r>
    </w:p>
    <w:p>
      <w:pPr>
        <w:pStyle w:val="ListBullet"/>
        <w:spacing w:line="254" w:lineRule="auto" w:after="40"/>
      </w:pPr>
      <w:r>
        <w:rPr>
          <w:rFonts w:ascii="Times New Roman" w:hAnsi="Times New Roman" w:eastAsia="Microsoft YaHei"/>
          <w:b w:val="0"/>
          <w:i w:val="0"/>
          <w:sz w:val="20"/>
        </w:rPr>
        <w:t>preview candidate count</w:t>
      </w:r>
    </w:p>
    <w:p>
      <w:pPr>
        <w:pStyle w:val="ListBullet"/>
        <w:spacing w:line="254" w:lineRule="auto" w:after="40"/>
      </w:pPr>
      <w:r>
        <w:rPr>
          <w:rFonts w:ascii="Times New Roman" w:hAnsi="Times New Roman" w:eastAsia="Microsoft YaHei"/>
          <w:b w:val="0"/>
          <w:i w:val="0"/>
          <w:sz w:val="20"/>
        </w:rPr>
        <w:t>retained novel candidate count</w:t>
      </w:r>
    </w:p>
    <w:p>
      <w:pPr>
        <w:pStyle w:val="ListBullet"/>
        <w:spacing w:line="254" w:lineRule="auto" w:after="40"/>
      </w:pPr>
      <w:r>
        <w:rPr>
          <w:rFonts w:ascii="Times New Roman" w:hAnsi="Times New Roman" w:eastAsia="Microsoft YaHei"/>
          <w:b w:val="0"/>
          <w:i w:val="0"/>
          <w:sz w:val="20"/>
        </w:rPr>
        <w:t>rejected candidate count</w:t>
      </w:r>
    </w:p>
    <w:p>
      <w:pPr>
        <w:pStyle w:val="ListBullet"/>
        <w:spacing w:line="254" w:lineRule="auto" w:after="40"/>
      </w:pPr>
      <w:r>
        <w:rPr>
          <w:rFonts w:ascii="Times New Roman" w:hAnsi="Times New Roman" w:eastAsia="Microsoft YaHei"/>
          <w:b w:val="0"/>
          <w:i w:val="0"/>
          <w:sz w:val="20"/>
        </w:rPr>
        <w:t>best retained neural-decoder-derived candidate</w:t>
      </w:r>
    </w:p>
    <w:p>
      <w:pPr>
        <w:spacing w:line="264" w:lineRule="auto" w:after="80"/>
      </w:pPr>
      <w:r>
        <w:rPr>
          <w:rFonts w:ascii="Times New Roman" w:hAnsi="Times New Roman" w:eastAsia="Microsoft YaHei"/>
          <w:b w:val="0"/>
          <w:i w:val="0"/>
          <w:sz w:val="20"/>
        </w:rPr>
        <w:t>The benchmark is interpreted as a paired engineering panel rather than a single-endpoint statistical trial. The key quantities are therefore:</w:t>
      </w:r>
    </w:p>
    <w:p>
      <w:pPr>
        <w:pStyle w:val="ListBullet"/>
        <w:spacing w:line="254" w:lineRule="auto" w:after="40"/>
      </w:pPr>
      <w:r>
        <w:rPr>
          <w:rFonts w:ascii="Times New Roman" w:hAnsi="Times New Roman" w:eastAsia="Microsoft YaHei"/>
          <w:b w:val="0"/>
          <w:i w:val="0"/>
          <w:sz w:val="20"/>
        </w:rPr>
        <w:t>number of improved targets</w:t>
      </w:r>
    </w:p>
    <w:p>
      <w:pPr>
        <w:pStyle w:val="ListBullet"/>
        <w:spacing w:line="254" w:lineRule="auto" w:after="40"/>
      </w:pPr>
      <w:r>
        <w:rPr>
          <w:rFonts w:ascii="Times New Roman" w:hAnsi="Times New Roman" w:eastAsia="Microsoft YaHei"/>
          <w:b w:val="0"/>
          <w:i w:val="0"/>
          <w:sz w:val="20"/>
        </w:rPr>
        <w:t>number of decreased targets</w:t>
      </w:r>
    </w:p>
    <w:p>
      <w:pPr>
        <w:pStyle w:val="ListBullet"/>
        <w:spacing w:line="254" w:lineRule="auto" w:after="40"/>
      </w:pPr>
      <w:r>
        <w:rPr>
          <w:rFonts w:ascii="Times New Roman" w:hAnsi="Times New Roman" w:eastAsia="Microsoft YaHei"/>
          <w:b w:val="0"/>
          <w:i w:val="0"/>
          <w:sz w:val="20"/>
        </w:rPr>
        <w:t>whether regressions are concentrated or diffuse</w:t>
      </w:r>
    </w:p>
    <w:p>
      <w:pPr>
        <w:pStyle w:val="ListBullet"/>
        <w:spacing w:line="254" w:lineRule="auto" w:after="40"/>
      </w:pPr>
      <w:r>
        <w:rPr>
          <w:rFonts w:ascii="Times New Roman" w:hAnsi="Times New Roman" w:eastAsia="Microsoft YaHei"/>
          <w:b w:val="0"/>
          <w:i w:val="0"/>
          <w:sz w:val="20"/>
        </w:rPr>
        <w:t>whether neural decoding contributes retained non-redundant proposals</w:t>
      </w:r>
    </w:p>
    <w:p>
      <w:pPr>
        <w:spacing w:before="100" w:after="60"/>
      </w:pPr>
      <w:r>
        <w:rPr>
          <w:rFonts w:ascii="Times New Roman" w:hAnsi="Times New Roman" w:eastAsia="Microsoft YaHei"/>
          <w:b/>
          <w:i w:val="0"/>
          <w:sz w:val="23"/>
        </w:rPr>
        <w:t>Scope</w:t>
      </w:r>
    </w:p>
    <w:p>
      <w:pPr>
        <w:spacing w:line="264" w:lineRule="auto" w:after="80"/>
      </w:pPr>
      <w:r>
        <w:rPr>
          <w:rFonts w:ascii="Times New Roman" w:hAnsi="Times New Roman" w:eastAsia="Microsoft YaHei"/>
          <w:b w:val="0"/>
          <w:i w:val="0"/>
          <w:sz w:val="20"/>
        </w:rPr>
        <w:t>The present implementation supports the claim that `MARS-FIELD` is a unified residue-field controller with an active decode-time neural branch in the main benchmark path. It does not yet support the stronger claim of fully joint proposal-generator / field / decoder optimization.</w:t>
      </w:r>
    </w:p>
    <w:p>
      <w:pPr>
        <w:spacing w:before="160" w:after="60"/>
      </w:pPr>
      <w:r>
        <w:rPr>
          <w:rFonts w:ascii="Times New Roman" w:hAnsi="Times New Roman" w:eastAsia="Microsoft YaHei"/>
          <w:b/>
          <w:i w:val="0"/>
          <w:sz w:val="28"/>
        </w:rPr>
        <w:t>Figure Legends</w:t>
      </w:r>
    </w:p>
    <w:p>
      <w:pPr>
        <w:spacing w:before="160" w:after="60"/>
      </w:pPr>
      <w:r>
        <w:rPr>
          <w:rFonts w:ascii="Times New Roman" w:hAnsi="Times New Roman" w:eastAsia="Microsoft YaHei"/>
          <w:b/>
          <w:i w:val="0"/>
          <w:sz w:val="28"/>
        </w:rPr>
        <w:t>MARS-FIELD Figure Legends v3</w:t>
      </w:r>
    </w:p>
    <w:p>
      <w:pPr>
        <w:spacing w:before="100" w:after="60"/>
      </w:pPr>
      <w:r>
        <w:rPr>
          <w:rFonts w:ascii="Times New Roman" w:hAnsi="Times New Roman" w:eastAsia="Microsoft YaHei"/>
          <w:b/>
          <w:i w:val="0"/>
          <w:sz w:val="23"/>
        </w:rPr>
        <w:t>Figure 1 | MARS-FIELD integrates heterogeneous evidence into a shared residue field</w:t>
      </w:r>
    </w:p>
    <w:p>
      <w:pPr>
        <w:spacing w:line="264" w:lineRule="auto" w:after="80"/>
      </w:pPr>
      <w:r>
        <w:rPr>
          <w:rFonts w:ascii="Times New Roman" w:hAnsi="Times New Roman" w:eastAsia="Microsoft YaHei"/>
          <w:b w:val="0"/>
          <w:i w:val="0"/>
          <w:sz w:val="20"/>
        </w:rPr>
        <w:t>**a,** Multi-modal evidence streams entering the controller, including geometry-conditioned structural information, phylogenetic context, ancestral lineage priors, retrieval-based motif memory, and environment-conditioned engineering context.</w:t>
      </w:r>
    </w:p>
    <w:p>
      <w:pPr>
        <w:spacing w:line="264" w:lineRule="auto" w:after="80"/>
      </w:pPr>
      <w:r>
        <w:rPr>
          <w:rFonts w:ascii="Times New Roman" w:hAnsi="Times New Roman" w:eastAsia="Microsoft YaHei"/>
          <w:b w:val="0"/>
          <w:i w:val="0"/>
          <w:sz w:val="20"/>
        </w:rPr>
        <w:t>**b,** Central representation of the method as a shared residue field defined by site-wise residue energies `U(i, a)` and pairwise couplings `C(i, j, a, b)`.</w:t>
      </w:r>
    </w:p>
    <w:p>
      <w:pPr>
        <w:spacing w:line="264" w:lineRule="auto" w:after="80"/>
      </w:pPr>
      <w:r>
        <w:rPr>
          <w:rFonts w:ascii="Times New Roman" w:hAnsi="Times New Roman" w:eastAsia="Microsoft YaHei"/>
          <w:b w:val="0"/>
          <w:i w:val="0"/>
          <w:sz w:val="20"/>
        </w:rPr>
        <w:t>**c,** Downstream controller-decoder actions on the field. The structured decoder performs constrained field-to-sequence search, whereas the calibrated selector enforces target-wise normalization, prior consistency, and safety gating before final ranking.</w:t>
      </w:r>
    </w:p>
    <w:p>
      <w:pPr>
        <w:spacing w:line="264" w:lineRule="auto" w:after="80"/>
      </w:pPr>
      <w:r>
        <w:rPr>
          <w:rFonts w:ascii="Times New Roman" w:hAnsi="Times New Roman" w:eastAsia="Microsoft YaHei"/>
          <w:b w:val="0"/>
          <w:i w:val="0"/>
          <w:sz w:val="20"/>
        </w:rPr>
        <w:t>**d,** Example target-level field instantiation showing how residue preferences and pairwise couplings are represented on a concrete design window.</w:t>
      </w:r>
    </w:p>
    <w:p>
      <w:pPr>
        <w:spacing w:before="100" w:after="60"/>
      </w:pPr>
      <w:r>
        <w:rPr>
          <w:rFonts w:ascii="Times New Roman" w:hAnsi="Times New Roman" w:eastAsia="Microsoft YaHei"/>
          <w:b/>
          <w:i w:val="0"/>
          <w:sz w:val="23"/>
        </w:rPr>
        <w:t>Figure 2 | The final controller remains benchmark-stable while activating neural decode-time generation</w:t>
      </w:r>
    </w:p>
    <w:p>
      <w:pPr>
        <w:spacing w:line="264" w:lineRule="auto" w:after="80"/>
      </w:pPr>
      <w:r>
        <w:rPr>
          <w:rFonts w:ascii="Times New Roman" w:hAnsi="Times New Roman" w:eastAsia="Microsoft YaHei"/>
          <w:b w:val="0"/>
          <w:i w:val="0"/>
          <w:sz w:val="20"/>
        </w:rPr>
        <w:t>**a,** Paired policy-score differences between the final controller and the incumbent benchmark across the twelve-target panel. Positive values indicate targets whose final policy score increased relative to the incumbent pipeline.</w:t>
      </w:r>
    </w:p>
    <w:p>
      <w:pPr>
        <w:spacing w:line="264" w:lineRule="auto" w:after="80"/>
      </w:pPr>
      <w:r>
        <w:rPr>
          <w:rFonts w:ascii="Times New Roman" w:hAnsi="Times New Roman" w:eastAsia="Microsoft YaHei"/>
          <w:b w:val="0"/>
          <w:i w:val="0"/>
          <w:sz w:val="20"/>
        </w:rPr>
        <w:t>**b,** Headline benchmark metrics summarizing improved targets, decreased targets, mean paired policy delta, and retained neural-decoder-derived candidates.</w:t>
      </w:r>
    </w:p>
    <w:p>
      <w:pPr>
        <w:spacing w:line="264" w:lineRule="auto" w:after="80"/>
      </w:pPr>
      <w:r>
        <w:rPr>
          <w:rFonts w:ascii="Times New Roman" w:hAnsi="Times New Roman" w:eastAsia="Microsoft YaHei"/>
          <w:b w:val="0"/>
          <w:i w:val="0"/>
          <w:sz w:val="20"/>
        </w:rPr>
        <w:t>**c,** Neural decoder utilization across the benchmark, decomposed into preview, rejected, and retained novel candidates.</w:t>
      </w:r>
    </w:p>
    <w:p>
      <w:pPr>
        <w:spacing w:line="264" w:lineRule="auto" w:after="80"/>
      </w:pPr>
      <w:r>
        <w:rPr>
          <w:rFonts w:ascii="Times New Roman" w:hAnsi="Times New Roman" w:eastAsia="Microsoft YaHei"/>
          <w:b w:val="0"/>
          <w:i w:val="0"/>
          <w:sz w:val="20"/>
        </w:rPr>
        <w:t>**d,** Family-level summary showing final controller behavior across the represented protein families and prior regimes.</w:t>
      </w:r>
    </w:p>
    <w:p>
      <w:pPr>
        <w:spacing w:before="100" w:after="60"/>
      </w:pPr>
      <w:r>
        <w:rPr>
          <w:rFonts w:ascii="Times New Roman" w:hAnsi="Times New Roman" w:eastAsia="Microsoft YaHei"/>
          <w:b/>
          <w:i w:val="0"/>
          <w:sz w:val="23"/>
        </w:rPr>
        <w:t>Figure 3 | Ablations and neural diagnostics reveal both the drivers and the boundaries of MARS-FIELD</w:t>
      </w:r>
    </w:p>
    <w:p>
      <w:pPr>
        <w:spacing w:line="264" w:lineRule="auto" w:after="80"/>
      </w:pPr>
      <w:r>
        <w:rPr>
          <w:rFonts w:ascii="Times New Roman" w:hAnsi="Times New Roman" w:eastAsia="Microsoft YaHei"/>
          <w:b w:val="0"/>
          <w:i w:val="0"/>
          <w:sz w:val="20"/>
        </w:rPr>
        <w:t>**a,** Component ablation analysis showing sensitivity to oxidation-aware, surface-aware, and evolutionary evidence.</w:t>
      </w:r>
    </w:p>
    <w:p>
      <w:pPr>
        <w:spacing w:line="264" w:lineRule="auto" w:after="80"/>
      </w:pPr>
      <w:r>
        <w:rPr>
          <w:rFonts w:ascii="Times New Roman" w:hAnsi="Times New Roman" w:eastAsia="Microsoft YaHei"/>
          <w:b w:val="0"/>
          <w:i w:val="0"/>
          <w:sz w:val="20"/>
        </w:rPr>
        <w:t>**b,** Target-specific neural gate profiles across geometry, phylogeny, ancestry, retrieval, and environment branches.</w:t>
      </w:r>
    </w:p>
    <w:p>
      <w:pPr>
        <w:spacing w:line="264" w:lineRule="auto" w:after="80"/>
      </w:pPr>
      <w:r>
        <w:rPr>
          <w:rFonts w:ascii="Times New Roman" w:hAnsi="Times New Roman" w:eastAsia="Microsoft YaHei"/>
          <w:b w:val="0"/>
          <w:i w:val="0"/>
          <w:sz w:val="20"/>
        </w:rPr>
        <w:t>**c,** Concentrated negative paired-delta targets, illustrating that the remaining failures are localized rather than diffuse.</w:t>
      </w:r>
    </w:p>
    <w:p>
      <w:pPr>
        <w:spacing w:line="264" w:lineRule="auto" w:after="80"/>
      </w:pPr>
      <w:r>
        <w:rPr>
          <w:rFonts w:ascii="Times New Roman" w:hAnsi="Times New Roman" w:eastAsia="Microsoft YaHei"/>
          <w:b w:val="0"/>
          <w:i w:val="0"/>
          <w:sz w:val="20"/>
        </w:rPr>
        <w:t>**d,** Decoder selectivity map relating preview counts to retained-novel fractions.</w:t>
      </w:r>
    </w:p>
    <w:p>
      <w:pPr>
        <w:spacing w:before="100" w:after="60"/>
      </w:pPr>
      <w:r>
        <w:rPr>
          <w:rFonts w:ascii="Times New Roman" w:hAnsi="Times New Roman" w:eastAsia="Microsoft YaHei"/>
          <w:b/>
          <w:i w:val="0"/>
          <w:sz w:val="23"/>
        </w:rPr>
        <w:t>Figure 4 | Representative case studies reveal distinct controller regimes</w:t>
      </w:r>
    </w:p>
    <w:p>
      <w:pPr>
        <w:spacing w:line="264" w:lineRule="auto" w:after="80"/>
      </w:pPr>
      <w:r>
        <w:rPr>
          <w:rFonts w:ascii="Times New Roman" w:hAnsi="Times New Roman" w:eastAsia="Microsoft YaHei"/>
          <w:b w:val="0"/>
          <w:i w:val="0"/>
          <w:sz w:val="20"/>
        </w:rPr>
        <w:t>**a,** `1LBT` as a safety-preserving regime in which the final controller maintains the incumbent solution despite active neural decoding.</w:t>
      </w:r>
    </w:p>
    <w:p>
      <w:pPr>
        <w:spacing w:line="264" w:lineRule="auto" w:after="80"/>
      </w:pPr>
      <w:r>
        <w:rPr>
          <w:rFonts w:ascii="Times New Roman" w:hAnsi="Times New Roman" w:eastAsia="Microsoft YaHei"/>
          <w:b w:val="0"/>
          <w:i w:val="0"/>
          <w:sz w:val="20"/>
        </w:rPr>
        <w:t>**b,** `TEM1` as a stable-incumbent regime with a neural-decoder-derived learned alternative that remains below the final policy winner.</w:t>
      </w:r>
    </w:p>
    <w:p>
      <w:pPr>
        <w:spacing w:line="264" w:lineRule="auto" w:after="80"/>
      </w:pPr>
      <w:r>
        <w:rPr>
          <w:rFonts w:ascii="Times New Roman" w:hAnsi="Times New Roman" w:eastAsia="Microsoft YaHei"/>
          <w:b w:val="0"/>
          <w:i w:val="0"/>
          <w:sz w:val="20"/>
        </w:rPr>
        <w:t>**c,** `PETase` as a reproducibility regime across related structural contexts.</w:t>
      </w:r>
    </w:p>
    <w:p>
      <w:pPr>
        <w:spacing w:line="264" w:lineRule="auto" w:after="80"/>
      </w:pPr>
      <w:r>
        <w:rPr>
          <w:rFonts w:ascii="Times New Roman" w:hAnsi="Times New Roman" w:eastAsia="Microsoft YaHei"/>
          <w:b w:val="0"/>
          <w:i w:val="0"/>
          <w:sz w:val="20"/>
        </w:rPr>
        <w:t>**d,** `CLD` as a calibration stress test in which the incumbent remains stable while the neural branch continues to surface a nearby alternative.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