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color w:val="333333"/>
        </w:rPr>
        <w:t>软件工程管理的评分体系下表所示。本文简述小组项目文档（16%）、立项（10%）、中期（10%）、项目综合评价（25%）、个人部分得分（20%）、小组过程记录（19%）、附加分（最多+5%，加满后不溢分）的评分方法和标准，请参与本课程的学员遵照执行。</w:t>
      </w:r>
    </w:p>
    <w:tbl>
      <w:tblPr>
        <w:tblStyle w:val="10"/>
        <w:tblW w:w="9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0"/>
        <w:gridCol w:w="3360"/>
        <w:gridCol w:w="2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b/>
                <w:bCs/>
              </w:rPr>
              <w:t>内容</w:t>
            </w:r>
          </w:p>
        </w:tc>
        <w:tc>
          <w:tcPr>
            <w:tcW w:w="2385" w:type="dxa"/>
          </w:tcPr>
          <w:p>
            <w:pPr>
              <w:keepNext w:val="0"/>
              <w:keepLines w:val="0"/>
              <w:suppressLineNumbers w:val="0"/>
              <w:spacing w:before="0" w:beforeAutospacing="0" w:after="0" w:afterAutospacing="0"/>
              <w:ind w:left="0" w:right="0"/>
              <w:rPr>
                <w:rFonts w:hint="default"/>
              </w:rPr>
            </w:pPr>
            <w:r>
              <w:rPr>
                <w:rFonts w:hint="default"/>
                <w:b/>
                <w:bCs/>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restart"/>
          </w:tcPr>
          <w:p>
            <w:pPr>
              <w:keepNext w:val="0"/>
              <w:keepLines w:val="0"/>
              <w:suppressLineNumbers w:val="0"/>
              <w:spacing w:before="0" w:beforeAutospacing="0" w:after="0" w:afterAutospacing="0"/>
              <w:ind w:left="0" w:right="0"/>
              <w:rPr>
                <w:rFonts w:hint="default"/>
              </w:rPr>
            </w:pPr>
            <w:r>
              <w:rPr>
                <w:rFonts w:hint="default"/>
                <w:b/>
                <w:bCs/>
              </w:rPr>
              <w:t>小组项目文档（16%）</w:t>
            </w:r>
          </w:p>
          <w:p>
            <w:pPr>
              <w:keepNext w:val="0"/>
              <w:keepLines w:val="0"/>
              <w:suppressLineNumbers w:val="0"/>
              <w:spacing w:before="0" w:beforeAutospacing="0" w:after="0" w:afterAutospacing="0"/>
              <w:ind w:left="0" w:right="0"/>
              <w:rPr>
                <w:rFonts w:hint="default"/>
              </w:rPr>
            </w:pPr>
            <w:r>
              <w:rPr>
                <w:rFonts w:hint="default"/>
              </w:rPr>
              <w:t>（授课教师及助教打分）</w:t>
            </w:r>
          </w:p>
        </w:tc>
        <w:tc>
          <w:tcPr>
            <w:tcW w:w="3360" w:type="dxa"/>
          </w:tcPr>
          <w:p>
            <w:pPr>
              <w:keepNext w:val="0"/>
              <w:keepLines w:val="0"/>
              <w:suppressLineNumbers w:val="0"/>
              <w:spacing w:before="0" w:beforeAutospacing="0" w:after="0" w:afterAutospacing="0"/>
              <w:ind w:left="0" w:right="0"/>
              <w:rPr>
                <w:rFonts w:hint="default"/>
              </w:rPr>
            </w:pPr>
            <w:r>
              <w:rPr>
                <w:rFonts w:hint="default"/>
              </w:rPr>
              <w:t>项目计划书</w:t>
            </w:r>
          </w:p>
        </w:tc>
        <w:tc>
          <w:tcPr>
            <w:tcW w:w="2385" w:type="dxa"/>
          </w:tcPr>
          <w:p>
            <w:pPr>
              <w:keepNext w:val="0"/>
              <w:keepLines w:val="0"/>
              <w:suppressLineNumbers w:val="0"/>
              <w:spacing w:before="0" w:beforeAutospacing="0" w:after="0" w:afterAutospacing="0"/>
              <w:ind w:left="0" w:right="0"/>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continue"/>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rPr>
              <w:t>软件需求规格书</w:t>
            </w:r>
          </w:p>
        </w:tc>
        <w:tc>
          <w:tcPr>
            <w:tcW w:w="2385" w:type="dxa"/>
          </w:tcPr>
          <w:p>
            <w:pPr>
              <w:keepNext w:val="0"/>
              <w:keepLines w:val="0"/>
              <w:suppressLineNumbers w:val="0"/>
              <w:spacing w:before="0" w:beforeAutospacing="0" w:after="0" w:afterAutospacing="0"/>
              <w:ind w:left="0" w:right="0"/>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vMerge w:val="continue"/>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rPr>
              <w:t>系统设计报告</w:t>
            </w:r>
          </w:p>
        </w:tc>
        <w:tc>
          <w:tcPr>
            <w:tcW w:w="2385" w:type="dxa"/>
          </w:tcPr>
          <w:p>
            <w:pPr>
              <w:keepNext w:val="0"/>
              <w:keepLines w:val="0"/>
              <w:suppressLineNumbers w:val="0"/>
              <w:spacing w:before="0" w:beforeAutospacing="0" w:after="0" w:afterAutospacing="0"/>
              <w:ind w:left="0" w:right="0"/>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continue"/>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rPr>
              <w:t>系统测试报告</w:t>
            </w:r>
          </w:p>
        </w:tc>
        <w:tc>
          <w:tcPr>
            <w:tcW w:w="2385" w:type="dxa"/>
          </w:tcPr>
          <w:p>
            <w:pPr>
              <w:keepNext w:val="0"/>
              <w:keepLines w:val="0"/>
              <w:suppressLineNumbers w:val="0"/>
              <w:spacing w:before="0" w:beforeAutospacing="0" w:after="0" w:afterAutospacing="0"/>
              <w:ind w:left="0" w:right="0"/>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tcPr>
          <w:p>
            <w:pPr>
              <w:keepNext w:val="0"/>
              <w:keepLines w:val="0"/>
              <w:suppressLineNumbers w:val="0"/>
              <w:spacing w:before="0" w:beforeAutospacing="0" w:after="0" w:afterAutospacing="0"/>
              <w:ind w:left="0" w:right="0"/>
              <w:rPr>
                <w:rFonts w:hint="default"/>
              </w:rPr>
            </w:pPr>
            <w:r>
              <w:rPr>
                <w:rFonts w:hint="default"/>
                <w:b/>
                <w:bCs/>
              </w:rPr>
              <w:t>立项（10%）</w:t>
            </w:r>
          </w:p>
          <w:p>
            <w:pPr>
              <w:keepNext w:val="0"/>
              <w:keepLines w:val="0"/>
              <w:suppressLineNumbers w:val="0"/>
              <w:spacing w:before="0" w:beforeAutospacing="0" w:after="0" w:afterAutospacing="0"/>
              <w:ind w:left="0" w:right="0"/>
              <w:rPr>
                <w:rFonts w:hint="default"/>
              </w:rPr>
            </w:pPr>
            <w:r>
              <w:rPr>
                <w:rFonts w:hint="default"/>
              </w:rPr>
              <w:t>(授课教师打分及各小组互评)</w:t>
            </w:r>
          </w:p>
        </w:tc>
        <w:tc>
          <w:tcPr>
            <w:tcW w:w="3360" w:type="dxa"/>
          </w:tcPr>
          <w:p>
            <w:pPr>
              <w:keepNext w:val="0"/>
              <w:keepLines w:val="0"/>
              <w:suppressLineNumbers w:val="0"/>
              <w:spacing w:before="0" w:beforeAutospacing="0" w:after="0" w:afterAutospacing="0"/>
              <w:ind w:left="0" w:right="0"/>
              <w:rPr>
                <w:rFonts w:hint="default"/>
              </w:rPr>
            </w:pPr>
            <w:r>
              <w:rPr>
                <w:rFonts w:hint="default"/>
              </w:rPr>
              <w:t>立项报告展示</w:t>
            </w:r>
          </w:p>
        </w:tc>
        <w:tc>
          <w:tcPr>
            <w:tcW w:w="2385" w:type="dxa"/>
          </w:tcPr>
          <w:p>
            <w:pPr>
              <w:keepNext w:val="0"/>
              <w:keepLines w:val="0"/>
              <w:suppressLineNumbers w:val="0"/>
              <w:spacing w:before="0" w:beforeAutospacing="0" w:after="0" w:afterAutospacing="0"/>
              <w:ind w:left="0" w:right="0"/>
              <w:rPr>
                <w:rFonts w:hint="default"/>
              </w:rPr>
            </w:pPr>
            <w:r>
              <w:rPr>
                <w:rFonts w:hint="default"/>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tcPr>
          <w:p>
            <w:pPr>
              <w:keepNext w:val="0"/>
              <w:keepLines w:val="0"/>
              <w:suppressLineNumbers w:val="0"/>
              <w:spacing w:before="0" w:beforeAutospacing="0" w:after="0" w:afterAutospacing="0"/>
              <w:ind w:left="0" w:right="0"/>
              <w:rPr>
                <w:rFonts w:hint="default"/>
              </w:rPr>
            </w:pPr>
            <w:r>
              <w:rPr>
                <w:rFonts w:hint="default"/>
                <w:b/>
                <w:bCs/>
              </w:rPr>
              <w:t>中期（10%）</w:t>
            </w:r>
          </w:p>
          <w:p>
            <w:pPr>
              <w:keepNext w:val="0"/>
              <w:keepLines w:val="0"/>
              <w:suppressLineNumbers w:val="0"/>
              <w:spacing w:before="0" w:beforeAutospacing="0" w:after="0" w:afterAutospacing="0"/>
              <w:ind w:left="0" w:right="0"/>
              <w:rPr>
                <w:rFonts w:hint="default"/>
              </w:rPr>
            </w:pPr>
            <w:r>
              <w:rPr>
                <w:rFonts w:hint="default"/>
              </w:rPr>
              <w:t>(授课教师打分及各小组互评)</w:t>
            </w:r>
          </w:p>
        </w:tc>
        <w:tc>
          <w:tcPr>
            <w:tcW w:w="3360" w:type="dxa"/>
          </w:tcPr>
          <w:p>
            <w:pPr>
              <w:keepNext w:val="0"/>
              <w:keepLines w:val="0"/>
              <w:suppressLineNumbers w:val="0"/>
              <w:spacing w:before="0" w:beforeAutospacing="0" w:after="0" w:afterAutospacing="0"/>
              <w:ind w:left="0" w:right="0"/>
              <w:rPr>
                <w:rFonts w:hint="default"/>
              </w:rPr>
            </w:pPr>
            <w:r>
              <w:rPr>
                <w:rFonts w:hint="default"/>
              </w:rPr>
              <w:t>中期报告展示</w:t>
            </w:r>
          </w:p>
        </w:tc>
        <w:tc>
          <w:tcPr>
            <w:tcW w:w="2385" w:type="dxa"/>
          </w:tcPr>
          <w:p>
            <w:pPr>
              <w:keepNext w:val="0"/>
              <w:keepLines w:val="0"/>
              <w:suppressLineNumbers w:val="0"/>
              <w:spacing w:before="0" w:beforeAutospacing="0" w:after="0" w:afterAutospacing="0"/>
              <w:ind w:left="0" w:right="0"/>
              <w:rPr>
                <w:rFonts w:hint="default"/>
              </w:rPr>
            </w:pPr>
            <w:r>
              <w:rPr>
                <w:rFonts w:hint="default"/>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930" w:type="dxa"/>
            <w:vMerge w:val="restart"/>
          </w:tcPr>
          <w:p>
            <w:pPr>
              <w:keepNext w:val="0"/>
              <w:keepLines w:val="0"/>
              <w:suppressLineNumbers w:val="0"/>
              <w:spacing w:before="0" w:beforeAutospacing="0" w:after="0" w:afterAutospacing="0"/>
              <w:ind w:left="0" w:right="0"/>
              <w:rPr>
                <w:rFonts w:hint="default"/>
              </w:rPr>
            </w:pPr>
            <w:r>
              <w:rPr>
                <w:rFonts w:hint="default"/>
                <w:b/>
                <w:bCs/>
              </w:rPr>
              <w:t>项目综合评价（25%）</w:t>
            </w:r>
          </w:p>
          <w:p>
            <w:pPr>
              <w:keepNext w:val="0"/>
              <w:keepLines w:val="0"/>
              <w:suppressLineNumbers w:val="0"/>
              <w:spacing w:before="0" w:beforeAutospacing="0" w:after="0" w:afterAutospacing="0"/>
              <w:ind w:left="0" w:right="0"/>
              <w:rPr>
                <w:rFonts w:hint="default"/>
              </w:rPr>
            </w:pPr>
            <w:r>
              <w:rPr>
                <w:rFonts w:hint="default"/>
              </w:rPr>
              <w:t>(授课教师打分及各小组互评)</w:t>
            </w:r>
          </w:p>
        </w:tc>
        <w:tc>
          <w:tcPr>
            <w:tcW w:w="3360" w:type="dxa"/>
          </w:tcPr>
          <w:p>
            <w:pPr>
              <w:keepNext w:val="0"/>
              <w:keepLines w:val="0"/>
              <w:suppressLineNumbers w:val="0"/>
              <w:spacing w:before="0" w:beforeAutospacing="0" w:after="0" w:afterAutospacing="0"/>
              <w:ind w:left="0" w:right="0"/>
              <w:rPr>
                <w:rFonts w:hint="default"/>
              </w:rPr>
            </w:pPr>
            <w:r>
              <w:rPr>
                <w:rFonts w:hint="default"/>
              </w:rPr>
              <w:t>各小组间根据末期报告互评</w:t>
            </w:r>
          </w:p>
        </w:tc>
        <w:tc>
          <w:tcPr>
            <w:tcW w:w="2385" w:type="dxa"/>
          </w:tcPr>
          <w:p>
            <w:pPr>
              <w:keepNext w:val="0"/>
              <w:keepLines w:val="0"/>
              <w:suppressLineNumbers w:val="0"/>
              <w:spacing w:before="0" w:beforeAutospacing="0" w:after="0" w:afterAutospacing="0"/>
              <w:ind w:left="0" w:right="0"/>
              <w:rPr>
                <w:rFonts w:hint="default"/>
              </w:rPr>
            </w:pPr>
            <w:r>
              <w:rPr>
                <w:rFonts w:hint="default"/>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continue"/>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rPr>
              <w:t>教师和助教依据成果综合评价</w:t>
            </w:r>
          </w:p>
        </w:tc>
        <w:tc>
          <w:tcPr>
            <w:tcW w:w="2385" w:type="dxa"/>
          </w:tcPr>
          <w:p>
            <w:pPr>
              <w:keepNext w:val="0"/>
              <w:keepLines w:val="0"/>
              <w:suppressLineNumbers w:val="0"/>
              <w:spacing w:before="0" w:beforeAutospacing="0" w:after="0" w:afterAutospacing="0"/>
              <w:ind w:left="0" w:right="0"/>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restart"/>
          </w:tcPr>
          <w:p>
            <w:pPr>
              <w:keepNext w:val="0"/>
              <w:keepLines w:val="0"/>
              <w:suppressLineNumbers w:val="0"/>
              <w:spacing w:before="0" w:beforeAutospacing="0" w:after="0" w:afterAutospacing="0"/>
              <w:ind w:left="0" w:right="0"/>
              <w:rPr>
                <w:rFonts w:hint="default"/>
              </w:rPr>
            </w:pPr>
            <w:r>
              <w:rPr>
                <w:rFonts w:hint="default"/>
                <w:b/>
                <w:bCs/>
              </w:rPr>
              <w:t>小组过程记录（19%）</w:t>
            </w:r>
          </w:p>
          <w:p>
            <w:pPr>
              <w:keepNext w:val="0"/>
              <w:keepLines w:val="0"/>
              <w:suppressLineNumbers w:val="0"/>
              <w:spacing w:before="0" w:beforeAutospacing="0" w:after="0" w:afterAutospacing="0"/>
              <w:ind w:left="0" w:right="0"/>
              <w:rPr>
                <w:rFonts w:hint="default"/>
              </w:rPr>
            </w:pPr>
            <w:r>
              <w:rPr>
                <w:rFonts w:hint="default"/>
              </w:rPr>
              <w:t>(授课教师及助教打分)</w:t>
            </w:r>
          </w:p>
        </w:tc>
        <w:tc>
          <w:tcPr>
            <w:tcW w:w="3360" w:type="dxa"/>
          </w:tcPr>
          <w:p>
            <w:pPr>
              <w:keepNext w:val="0"/>
              <w:keepLines w:val="0"/>
              <w:suppressLineNumbers w:val="0"/>
              <w:spacing w:before="0" w:beforeAutospacing="0" w:after="0" w:afterAutospacing="0"/>
              <w:ind w:left="0" w:right="0"/>
              <w:rPr>
                <w:rFonts w:hint="default"/>
              </w:rPr>
            </w:pPr>
            <w:r>
              <w:rPr>
                <w:rFonts w:hint="default"/>
              </w:rPr>
              <w:t>组会纪要（&gt;=</w:t>
            </w:r>
            <w:r>
              <w:rPr>
                <w:rFonts w:hint="default"/>
              </w:rPr>
              <w:t>6</w:t>
            </w:r>
            <w:bookmarkStart w:id="0" w:name="_GoBack"/>
            <w:bookmarkEnd w:id="0"/>
            <w:r>
              <w:rPr>
                <w:rFonts w:hint="default"/>
              </w:rPr>
              <w:t>份）</w:t>
            </w:r>
          </w:p>
        </w:tc>
        <w:tc>
          <w:tcPr>
            <w:tcW w:w="2385" w:type="dxa"/>
          </w:tcPr>
          <w:p>
            <w:pPr>
              <w:keepNext w:val="0"/>
              <w:keepLines w:val="0"/>
              <w:suppressLineNumbers w:val="0"/>
              <w:spacing w:before="0" w:beforeAutospacing="0" w:after="0" w:afterAutospacing="0"/>
              <w:ind w:left="0" w:right="0"/>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vMerge w:val="continue"/>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rPr>
              <w:t>过程总结报告</w:t>
            </w:r>
          </w:p>
        </w:tc>
        <w:tc>
          <w:tcPr>
            <w:tcW w:w="2385" w:type="dxa"/>
          </w:tcPr>
          <w:p>
            <w:pPr>
              <w:keepNext w:val="0"/>
              <w:keepLines w:val="0"/>
              <w:suppressLineNumbers w:val="0"/>
              <w:spacing w:before="0" w:beforeAutospacing="0" w:after="0" w:afterAutospacing="0"/>
              <w:ind w:left="0" w:right="0"/>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restart"/>
          </w:tcPr>
          <w:p>
            <w:pPr>
              <w:keepNext w:val="0"/>
              <w:keepLines w:val="0"/>
              <w:suppressLineNumbers w:val="0"/>
              <w:spacing w:before="0" w:beforeAutospacing="0" w:after="0" w:afterAutospacing="0"/>
              <w:ind w:left="0" w:right="0"/>
              <w:rPr>
                <w:rFonts w:hint="default"/>
              </w:rPr>
            </w:pPr>
            <w:r>
              <w:rPr>
                <w:rFonts w:hint="default"/>
                <w:b/>
                <w:bCs/>
              </w:rPr>
              <w:t>个人部分得分（20%）</w:t>
            </w:r>
          </w:p>
          <w:p>
            <w:pPr>
              <w:keepNext w:val="0"/>
              <w:keepLines w:val="0"/>
              <w:suppressLineNumbers w:val="0"/>
              <w:spacing w:before="0" w:beforeAutospacing="0" w:after="0" w:afterAutospacing="0"/>
              <w:ind w:left="0" w:right="0"/>
              <w:rPr>
                <w:rFonts w:hint="default"/>
              </w:rPr>
            </w:pPr>
            <w:r>
              <w:rPr>
                <w:rFonts w:hint="default"/>
              </w:rPr>
              <w:t>(授课教师及助教打分)</w:t>
            </w:r>
          </w:p>
        </w:tc>
        <w:tc>
          <w:tcPr>
            <w:tcW w:w="3360" w:type="dxa"/>
          </w:tcPr>
          <w:p>
            <w:pPr>
              <w:keepNext w:val="0"/>
              <w:keepLines w:val="0"/>
              <w:suppressLineNumbers w:val="0"/>
              <w:spacing w:before="0" w:beforeAutospacing="0" w:after="0" w:afterAutospacing="0"/>
              <w:ind w:left="0" w:right="0"/>
              <w:rPr>
                <w:rFonts w:hint="default"/>
              </w:rPr>
            </w:pPr>
            <w:r>
              <w:rPr>
                <w:rFonts w:hint="default"/>
              </w:rPr>
              <w:t>个人负责部分报告</w:t>
            </w:r>
          </w:p>
        </w:tc>
        <w:tc>
          <w:tcPr>
            <w:tcW w:w="2385" w:type="dxa"/>
          </w:tcPr>
          <w:p>
            <w:pPr>
              <w:keepNext w:val="0"/>
              <w:keepLines w:val="0"/>
              <w:suppressLineNumbers w:val="0"/>
              <w:spacing w:before="0" w:beforeAutospacing="0" w:after="0" w:afterAutospacing="0"/>
              <w:ind w:left="0" w:right="0"/>
              <w:rPr>
                <w:rFonts w:hint="default"/>
              </w:rPr>
            </w:pPr>
            <w:r>
              <w:rPr>
                <w:rFonts w:hint="default"/>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930" w:type="dxa"/>
            <w:vMerge w:val="continue"/>
          </w:tcPr>
          <w:p>
            <w:pPr>
              <w:keepNext w:val="0"/>
              <w:keepLines w:val="0"/>
              <w:suppressLineNumbers w:val="0"/>
              <w:spacing w:before="0" w:beforeAutospacing="0" w:after="0" w:afterAutospacing="0"/>
              <w:ind w:left="0" w:right="0"/>
              <w:rPr>
                <w:rFonts w:hint="default"/>
              </w:rPr>
            </w:pPr>
          </w:p>
        </w:tc>
        <w:tc>
          <w:tcPr>
            <w:tcW w:w="3360" w:type="dxa"/>
          </w:tcPr>
          <w:p>
            <w:pPr>
              <w:keepNext w:val="0"/>
              <w:keepLines w:val="0"/>
              <w:suppressLineNumbers w:val="0"/>
              <w:spacing w:before="0" w:beforeAutospacing="0" w:after="0" w:afterAutospacing="0"/>
              <w:ind w:left="0" w:right="0"/>
              <w:rPr>
                <w:rFonts w:hint="default"/>
              </w:rPr>
            </w:pPr>
            <w:r>
              <w:rPr>
                <w:rFonts w:hint="default"/>
              </w:rPr>
              <w:t>组内互评</w:t>
            </w:r>
          </w:p>
        </w:tc>
        <w:tc>
          <w:tcPr>
            <w:tcW w:w="2385" w:type="dxa"/>
          </w:tcPr>
          <w:p>
            <w:pPr>
              <w:keepNext w:val="0"/>
              <w:keepLines w:val="0"/>
              <w:suppressLineNumbers w:val="0"/>
              <w:spacing w:before="0" w:beforeAutospacing="0" w:after="0" w:afterAutospacing="0"/>
              <w:ind w:left="0" w:right="0"/>
              <w:rPr>
                <w:rFonts w:hint="default"/>
              </w:rPr>
            </w:pPr>
            <w:r>
              <w:rPr>
                <w:rFonts w:hint="default"/>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tcPr>
          <w:p>
            <w:pPr>
              <w:keepNext w:val="0"/>
              <w:keepLines w:val="0"/>
              <w:suppressLineNumbers w:val="0"/>
              <w:spacing w:before="0" w:beforeAutospacing="0" w:after="0" w:afterAutospacing="0"/>
              <w:ind w:left="0" w:right="0"/>
              <w:rPr>
                <w:rFonts w:hint="default"/>
              </w:rPr>
            </w:pPr>
            <w:r>
              <w:rPr>
                <w:rFonts w:hint="default"/>
                <w:b/>
                <w:bCs/>
              </w:rPr>
              <w:t>附加分（+5%）</w:t>
            </w:r>
          </w:p>
        </w:tc>
        <w:tc>
          <w:tcPr>
            <w:tcW w:w="3360" w:type="dxa"/>
          </w:tcPr>
          <w:p>
            <w:pPr>
              <w:keepNext w:val="0"/>
              <w:keepLines w:val="0"/>
              <w:suppressLineNumbers w:val="0"/>
              <w:spacing w:before="0" w:beforeAutospacing="0" w:after="0" w:afterAutospacing="0"/>
              <w:ind w:left="0" w:right="0"/>
              <w:rPr>
                <w:rFonts w:hint="default"/>
              </w:rPr>
            </w:pPr>
            <w:r>
              <w:rPr>
                <w:rFonts w:hint="default"/>
              </w:rPr>
              <w:t>实用性证明材料</w:t>
            </w:r>
          </w:p>
        </w:tc>
        <w:tc>
          <w:tcPr>
            <w:tcW w:w="2385" w:type="dxa"/>
          </w:tcPr>
          <w:p>
            <w:pPr>
              <w:keepNext w:val="0"/>
              <w:keepLines w:val="0"/>
              <w:suppressLineNumbers w:val="0"/>
              <w:spacing w:before="0" w:beforeAutospacing="0" w:after="0" w:afterAutospacing="0"/>
              <w:ind w:left="0" w:right="0"/>
              <w:rPr>
                <w:rFonts w:hint="default"/>
              </w:rPr>
            </w:pPr>
            <w:r>
              <w:rPr>
                <w:rFonts w:hint="default"/>
              </w:rPr>
              <w:t>&lt;=+5%</w:t>
            </w:r>
          </w:p>
        </w:tc>
      </w:tr>
    </w:tbl>
    <w:p>
      <w:pPr>
        <w:pStyle w:val="2"/>
        <w:spacing w:before="220" w:after="220" w:line="204" w:lineRule="auto"/>
      </w:pPr>
      <w:r>
        <w:rPr>
          <w:b/>
          <w:bCs/>
          <w:color w:val="333333"/>
          <w:sz w:val="40"/>
          <w:szCs w:val="40"/>
        </w:rPr>
        <w:t>一、小组项目文档</w:t>
      </w:r>
    </w:p>
    <w:p>
      <w:pPr>
        <w:ind w:firstLine="480"/>
      </w:pPr>
      <w:r>
        <w:rPr>
          <w:sz w:val="24"/>
          <w:szCs w:val="24"/>
        </w:rPr>
        <w:t>软件工程管理的项目文档包括</w:t>
      </w:r>
      <w:r>
        <w:rPr>
          <w:i/>
          <w:iCs/>
          <w:sz w:val="24"/>
          <w:szCs w:val="24"/>
        </w:rPr>
        <w:t>《项目计划书》、《软件需求规格书》、《系统设计报告》、《系统测试报告》</w:t>
      </w:r>
      <w:r>
        <w:rPr>
          <w:sz w:val="24"/>
          <w:szCs w:val="24"/>
        </w:rPr>
        <w:t>共4份报告，也可提供的上述4份文档之外的其他文档，但不计分（如《用户手册》等）。</w:t>
      </w:r>
    </w:p>
    <w:p>
      <w:pPr>
        <w:ind w:firstLine="480"/>
      </w:pPr>
      <w:r>
        <w:rPr>
          <w:sz w:val="24"/>
          <w:szCs w:val="24"/>
        </w:rPr>
        <w:t>评分时，应考察形式和内容两大方面；其中形式大致占比30%，内容大致占比70%。形式考察范围包括封面、目录、章节合理性（合理、符合或接近相应软件工程文档的结构）、正文、页眉页脚页码、图表标引和标注、参考文献规范性和引用规范性，以及各项排版的规范性和美观性。内容考察范围随报告不同有所不同，从内容的合理性、正确性、完整性、规范性、恰如其分的细节展开度、新颖性、乃至趣味性、挑战性等角度，予以评价。</w:t>
      </w:r>
    </w:p>
    <w:p>
      <w:pPr>
        <w:ind w:firstLine="480"/>
      </w:pPr>
      <w:r>
        <w:rPr>
          <w:sz w:val="24"/>
          <w:szCs w:val="24"/>
        </w:rPr>
        <w:t>每份报告满分100分，评委仅需给出结果分。具体评分范围参考如下：</w:t>
      </w:r>
    </w:p>
    <w:p>
      <w:pPr>
        <w:pStyle w:val="14"/>
        <w:numPr>
          <w:ilvl w:val="0"/>
          <w:numId w:val="1"/>
        </w:numPr>
        <w:ind w:left="480"/>
        <w:jc w:val="left"/>
      </w:pPr>
      <w:r>
        <w:rPr>
          <w:sz w:val="24"/>
          <w:szCs w:val="24"/>
        </w:rPr>
        <w:t>优秀86-95（以90为中间值），特别优秀95以上</w:t>
      </w:r>
    </w:p>
    <w:p>
      <w:pPr>
        <w:pStyle w:val="14"/>
        <w:numPr>
          <w:ilvl w:val="0"/>
          <w:numId w:val="1"/>
        </w:numPr>
        <w:ind w:left="480"/>
        <w:jc w:val="left"/>
      </w:pPr>
      <w:r>
        <w:rPr>
          <w:sz w:val="24"/>
          <w:szCs w:val="24"/>
        </w:rPr>
        <w:t>良好76-85（以80为中间值）</w:t>
      </w:r>
    </w:p>
    <w:p>
      <w:pPr>
        <w:pStyle w:val="14"/>
        <w:numPr>
          <w:ilvl w:val="0"/>
          <w:numId w:val="1"/>
        </w:numPr>
        <w:ind w:left="480"/>
        <w:jc w:val="left"/>
      </w:pPr>
      <w:r>
        <w:rPr>
          <w:sz w:val="24"/>
          <w:szCs w:val="24"/>
        </w:rPr>
        <w:t>合格65-75（以70为中间值）</w:t>
      </w:r>
    </w:p>
    <w:p>
      <w:r>
        <w:rPr>
          <w:sz w:val="24"/>
          <w:szCs w:val="24"/>
        </w:rPr>
        <w:t>特别差，甚至不合格（64以下，甚至可以60以下）</w:t>
      </w:r>
    </w:p>
    <w:p>
      <w:pPr>
        <w:pStyle w:val="4"/>
        <w:spacing w:line="240" w:lineRule="auto"/>
      </w:pPr>
      <w:r>
        <w:rPr>
          <w:b/>
          <w:bCs/>
          <w:color w:val="333333"/>
          <w:sz w:val="39"/>
          <w:szCs w:val="39"/>
        </w:rPr>
        <w:t>二、小组演示与答辩</w:t>
      </w:r>
    </w:p>
    <w:p>
      <w:pPr>
        <w:ind w:firstLine="480"/>
      </w:pPr>
      <w:r>
        <w:t>本课程共有三次小组演示与答辩，包括</w:t>
      </w:r>
      <w:r>
        <w:rPr>
          <w:i/>
          <w:iCs/>
        </w:rPr>
        <w:t>立项报告展示、中期报告展示、答辩报告展示</w:t>
      </w:r>
      <w:r>
        <w:t>。考察范围包括小组呈现的PPT、演讲和展示本身、可能附带的短视频，结合小组提供的网站操作界面进行实际体验，外加问答过程的交流进行评价。着重考察项目目标的达成度，项目过程的完整性，项目结果（指整个系统和应用软件）的完成度、可用性、先进性，还有项目结果的新颖性、创新程度等。如果被评小组提供了基准要求之外的比如挑战极限等等的，评委在评价时要纳入综合考虑；另外，如果被评小组人数较少，评委在评价时也要适度考虑和标准5人小组的差异。</w:t>
      </w:r>
    </w:p>
    <w:p>
      <w:pPr>
        <w:ind w:firstLine="480"/>
      </w:pPr>
    </w:p>
    <w:p>
      <w:pPr>
        <w:keepNext w:val="0"/>
        <w:keepLines w:val="0"/>
        <w:widowControl w:val="0"/>
        <w:suppressLineNumbers w:val="0"/>
        <w:spacing w:before="0" w:beforeAutospacing="0" w:after="0" w:afterAutospacing="0"/>
        <w:ind w:left="0" w:right="0"/>
        <w:jc w:val="both"/>
        <w:rPr>
          <w:color w:val="000000"/>
          <w:sz w:val="24"/>
          <w:szCs w:val="24"/>
          <w:lang w:val="en-US"/>
        </w:rPr>
      </w:pPr>
      <w:r>
        <w:rPr>
          <w:rFonts w:hint="eastAsia" w:ascii="Calibri" w:hAnsi="Calibri" w:eastAsia="宋体" w:cs="宋体"/>
          <w:color w:val="000000"/>
          <w:kern w:val="2"/>
          <w:sz w:val="24"/>
          <w:szCs w:val="24"/>
          <w:lang w:val="en-US" w:eastAsia="zh-CN" w:bidi="ar"/>
        </w:rPr>
        <w:t>中期展示</w:t>
      </w:r>
    </w:p>
    <w:p>
      <w:pPr>
        <w:keepNext w:val="0"/>
        <w:keepLines w:val="0"/>
        <w:widowControl w:val="0"/>
        <w:suppressLineNumbers w:val="0"/>
        <w:spacing w:before="0" w:beforeAutospacing="0" w:after="0" w:afterAutospacing="0"/>
        <w:ind w:left="0" w:right="0" w:firstLine="420"/>
        <w:jc w:val="both"/>
        <w:rPr>
          <w:color w:val="000000"/>
          <w:sz w:val="24"/>
          <w:szCs w:val="24"/>
          <w:lang w:val="en-US"/>
        </w:rPr>
      </w:pPr>
      <w:r>
        <w:rPr>
          <w:rFonts w:hint="eastAsia" w:ascii="Calibri" w:hAnsi="Calibri" w:eastAsia="宋体" w:cs="宋体"/>
          <w:color w:val="000000"/>
          <w:kern w:val="2"/>
          <w:sz w:val="24"/>
          <w:szCs w:val="24"/>
          <w:lang w:val="en-US" w:eastAsia="zh-CN" w:bidi="ar"/>
        </w:rPr>
        <w:t>中期展示计划于</w:t>
      </w:r>
      <w:r>
        <w:rPr>
          <w:rFonts w:hint="default" w:ascii="Calibri" w:hAnsi="Calibri" w:eastAsia="宋体" w:cs="Times New Roman"/>
          <w:color w:val="000000"/>
          <w:kern w:val="2"/>
          <w:sz w:val="24"/>
          <w:szCs w:val="24"/>
          <w:lang w:val="en-US" w:eastAsia="zh-CN" w:bidi="ar"/>
        </w:rPr>
        <w:t>11</w:t>
      </w:r>
      <w:r>
        <w:rPr>
          <w:rFonts w:hint="eastAsia" w:ascii="Calibri" w:hAnsi="Calibri" w:eastAsia="宋体" w:cs="宋体"/>
          <w:color w:val="000000"/>
          <w:kern w:val="2"/>
          <w:sz w:val="24"/>
          <w:szCs w:val="24"/>
          <w:lang w:val="en-US" w:eastAsia="zh-CN" w:bidi="ar"/>
        </w:rPr>
        <w:t>月</w:t>
      </w:r>
      <w:r>
        <w:rPr>
          <w:rFonts w:hint="default" w:ascii="Calibri" w:hAnsi="Calibri" w:eastAsia="宋体" w:cs="Times New Roman"/>
          <w:color w:val="000000"/>
          <w:kern w:val="2"/>
          <w:sz w:val="24"/>
          <w:szCs w:val="24"/>
          <w:lang w:val="en-US" w:eastAsia="zh-CN" w:bidi="ar"/>
        </w:rPr>
        <w:t>28</w:t>
      </w:r>
      <w:r>
        <w:rPr>
          <w:rFonts w:hint="eastAsia" w:ascii="Calibri" w:hAnsi="Calibri" w:eastAsia="宋体" w:cs="宋体"/>
          <w:color w:val="000000"/>
          <w:kern w:val="2"/>
          <w:sz w:val="24"/>
          <w:szCs w:val="24"/>
          <w:lang w:val="en-US" w:eastAsia="zh-CN" w:bidi="ar"/>
        </w:rPr>
        <w:t>日举行。各小组应汇报项目完成情况、项目是否按照立项时的计划有序进行、对项目预期做了哪些调整等问题</w:t>
      </w:r>
      <w:r>
        <w:rPr>
          <w:rFonts w:hint="default" w:ascii="Calibri" w:hAnsi="Calibri" w:eastAsia="宋体" w:cs="Times New Roman"/>
          <w:color w:val="000000"/>
          <w:kern w:val="2"/>
          <w:sz w:val="24"/>
          <w:szCs w:val="24"/>
          <w:lang w:val="en-US" w:eastAsia="zh-CN" w:bidi="ar"/>
        </w:rPr>
        <w:t>(</w:t>
      </w:r>
      <w:r>
        <w:rPr>
          <w:rFonts w:hint="eastAsia" w:ascii="Calibri" w:hAnsi="Calibri" w:eastAsia="宋体" w:cs="宋体"/>
          <w:color w:val="000000"/>
          <w:kern w:val="2"/>
          <w:sz w:val="24"/>
          <w:szCs w:val="24"/>
          <w:lang w:val="en-US" w:eastAsia="zh-CN" w:bidi="ar"/>
        </w:rPr>
        <w:t>可选</w:t>
      </w:r>
      <w:r>
        <w:rPr>
          <w:rFonts w:hint="default" w:ascii="Calibri" w:hAnsi="Calibri" w:eastAsia="宋体" w:cs="Times New Roman"/>
          <w:color w:val="000000"/>
          <w:kern w:val="2"/>
          <w:sz w:val="24"/>
          <w:szCs w:val="24"/>
          <w:lang w:val="en-US" w:eastAsia="zh-CN" w:bidi="ar"/>
        </w:rPr>
        <w:t>)</w:t>
      </w:r>
      <w:r>
        <w:rPr>
          <w:rFonts w:hint="eastAsia" w:ascii="Calibri" w:hAnsi="Calibri" w:eastAsia="宋体" w:cs="宋体"/>
          <w:color w:val="000000"/>
          <w:kern w:val="2"/>
          <w:sz w:val="24"/>
          <w:szCs w:val="24"/>
          <w:lang w:val="en-US" w:eastAsia="zh-CN" w:bidi="ar"/>
        </w:rPr>
        <w:t>。汇报的形式、时间、评分规则同上。如果小组较好地完成了网站的某些功能并在展示中体现，</w:t>
      </w:r>
      <w:r>
        <w:rPr>
          <w:rFonts w:hint="default" w:ascii="Calibri" w:hAnsi="Calibri" w:eastAsia="宋体" w:cs="宋体"/>
          <w:color w:val="000000"/>
          <w:kern w:val="2"/>
          <w:sz w:val="24"/>
          <w:szCs w:val="24"/>
          <w:lang w:eastAsia="zh-CN" w:bidi="ar"/>
        </w:rPr>
        <w:t>可</w:t>
      </w:r>
      <w:r>
        <w:rPr>
          <w:rFonts w:hint="eastAsia" w:ascii="Calibri" w:hAnsi="Calibri" w:eastAsia="宋体" w:cs="宋体"/>
          <w:color w:val="000000"/>
          <w:kern w:val="2"/>
          <w:sz w:val="24"/>
          <w:szCs w:val="24"/>
          <w:lang w:val="en-US" w:eastAsia="zh-CN" w:bidi="ar"/>
        </w:rPr>
        <w:t>在评分时酌情分。</w:t>
      </w:r>
    </w:p>
    <w:p>
      <w:pPr>
        <w:keepNext w:val="0"/>
        <w:keepLines w:val="0"/>
        <w:widowControl w:val="0"/>
        <w:suppressLineNumbers w:val="0"/>
        <w:spacing w:before="0" w:beforeAutospacing="0" w:after="0" w:afterAutospacing="0"/>
        <w:ind w:left="0" w:right="0" w:firstLine="899"/>
        <w:jc w:val="both"/>
        <w:rPr>
          <w:color w:val="000000"/>
          <w:sz w:val="24"/>
          <w:szCs w:val="24"/>
          <w:lang w:val="en-US"/>
        </w:rPr>
      </w:pPr>
    </w:p>
    <w:p>
      <w:pPr>
        <w:keepNext w:val="0"/>
        <w:keepLines w:val="0"/>
        <w:widowControl w:val="0"/>
        <w:suppressLineNumbers w:val="0"/>
        <w:spacing w:before="0" w:beforeAutospacing="0" w:after="0" w:afterAutospacing="0"/>
        <w:ind w:left="0" w:right="0"/>
        <w:jc w:val="both"/>
        <w:rPr>
          <w:color w:val="000000"/>
          <w:sz w:val="24"/>
          <w:szCs w:val="24"/>
          <w:lang w:val="en-US"/>
        </w:rPr>
      </w:pPr>
      <w:r>
        <w:rPr>
          <w:rFonts w:hint="eastAsia" w:ascii="Calibri" w:hAnsi="Calibri" w:eastAsia="宋体" w:cs="宋体"/>
          <w:color w:val="000000"/>
          <w:kern w:val="2"/>
          <w:sz w:val="24"/>
          <w:szCs w:val="24"/>
          <w:lang w:val="en-US" w:eastAsia="zh-CN" w:bidi="ar"/>
        </w:rPr>
        <w:t>答辩报告展示</w:t>
      </w:r>
    </w:p>
    <w:p>
      <w:pPr>
        <w:keepNext w:val="0"/>
        <w:keepLines w:val="0"/>
        <w:widowControl w:val="0"/>
        <w:suppressLineNumbers w:val="0"/>
        <w:spacing w:before="0" w:beforeAutospacing="0" w:after="0" w:afterAutospacing="0"/>
        <w:ind w:left="0" w:right="0" w:firstLine="420"/>
        <w:jc w:val="both"/>
        <w:rPr>
          <w:color w:val="000000"/>
          <w:sz w:val="24"/>
          <w:szCs w:val="24"/>
          <w:lang w:val="en-US"/>
        </w:rPr>
      </w:pPr>
      <w:r>
        <w:rPr>
          <w:rFonts w:hint="eastAsia" w:ascii="Calibri" w:hAnsi="Calibri" w:eastAsia="宋体" w:cs="宋体"/>
          <w:color w:val="000000"/>
          <w:kern w:val="2"/>
          <w:sz w:val="24"/>
          <w:szCs w:val="24"/>
          <w:lang w:val="en-US" w:eastAsia="zh-CN" w:bidi="ar"/>
        </w:rPr>
        <w:t>答辩报告展示在</w:t>
      </w:r>
      <w:r>
        <w:rPr>
          <w:rFonts w:hint="default" w:ascii="Calibri" w:hAnsi="Calibri" w:eastAsia="宋体" w:cs="Times New Roman"/>
          <w:color w:val="000000"/>
          <w:kern w:val="2"/>
          <w:sz w:val="24"/>
          <w:szCs w:val="24"/>
          <w:lang w:val="en-US" w:eastAsia="zh-CN" w:bidi="ar"/>
        </w:rPr>
        <w:t>12</w:t>
      </w:r>
      <w:r>
        <w:rPr>
          <w:rFonts w:hint="eastAsia" w:ascii="Calibri" w:hAnsi="Calibri" w:eastAsia="宋体" w:cs="宋体"/>
          <w:color w:val="000000"/>
          <w:kern w:val="2"/>
          <w:sz w:val="24"/>
          <w:szCs w:val="24"/>
          <w:lang w:val="en-US" w:eastAsia="zh-CN" w:bidi="ar"/>
        </w:rPr>
        <w:t>月</w:t>
      </w:r>
      <w:r>
        <w:rPr>
          <w:rFonts w:hint="default" w:ascii="Calibri" w:hAnsi="Calibri" w:eastAsia="宋体" w:cs="Times New Roman"/>
          <w:color w:val="000000"/>
          <w:kern w:val="2"/>
          <w:sz w:val="24"/>
          <w:szCs w:val="24"/>
          <w:lang w:val="en-US" w:eastAsia="zh-CN" w:bidi="ar"/>
        </w:rPr>
        <w:t>26</w:t>
      </w:r>
      <w:r>
        <w:rPr>
          <w:rFonts w:hint="eastAsia" w:ascii="Calibri" w:hAnsi="Calibri" w:eastAsia="宋体" w:cs="宋体"/>
          <w:color w:val="000000"/>
          <w:kern w:val="2"/>
          <w:sz w:val="24"/>
          <w:szCs w:val="24"/>
          <w:lang w:val="en-US" w:eastAsia="zh-CN" w:bidi="ar"/>
        </w:rPr>
        <w:t>日举行。各组应对本组项目的核心功能进行现场演示，并对项目的完成情况进行总结，对项目的进行和过程管理进行回顾，并现场回答问题。</w:t>
      </w:r>
    </w:p>
    <w:p>
      <w:pPr>
        <w:ind w:firstLine="480"/>
      </w:pPr>
    </w:p>
    <w:p>
      <w:pPr>
        <w:ind w:firstLine="480"/>
      </w:pPr>
      <w:r>
        <w:rPr>
          <w:sz w:val="24"/>
          <w:szCs w:val="24"/>
        </w:rPr>
        <w:t>评分满分100分，具体评分参考范围同上。</w:t>
      </w:r>
    </w:p>
    <w:p>
      <w:pPr>
        <w:pStyle w:val="2"/>
        <w:spacing w:before="220" w:after="220" w:line="204" w:lineRule="auto"/>
      </w:pPr>
      <w:r>
        <w:rPr>
          <w:b/>
          <w:bCs/>
          <w:sz w:val="40"/>
          <w:szCs w:val="40"/>
        </w:rPr>
        <w:t>三、小组过程记录</w:t>
      </w:r>
    </w:p>
    <w:p>
      <w:pPr>
        <w:ind w:firstLine="480"/>
      </w:pPr>
      <w:r>
        <w:rPr>
          <w:sz w:val="24"/>
          <w:szCs w:val="24"/>
        </w:rPr>
        <w:t>各小组提交最终的</w:t>
      </w:r>
      <w:r>
        <w:t>项目文件后，应当提交至少</w:t>
      </w:r>
      <w:r>
        <w:rPr>
          <w:i/>
          <w:iCs/>
        </w:rPr>
        <w:t>8份组会纪要</w:t>
      </w:r>
      <w:r>
        <w:t>（可用会议小组群消息截图等代替），以及</w:t>
      </w:r>
      <w:r>
        <w:rPr>
          <w:i/>
          <w:iCs/>
        </w:rPr>
        <w:t>《过程总结报告》</w:t>
      </w:r>
      <w:r>
        <w:t>。</w:t>
      </w:r>
    </w:p>
    <w:p>
      <w:pPr>
        <w:ind w:firstLine="480"/>
      </w:pPr>
      <w:r>
        <w:t>其中，《过程总结报告》要突出过程管理</w:t>
      </w:r>
      <w:r>
        <w:rPr>
          <w:rFonts w:ascii="微软雅黑" w:hAnsi="微软雅黑" w:eastAsia="微软雅黑" w:cs="微软雅黑"/>
          <w:color w:val="171A1D"/>
          <w:sz w:val="21"/>
          <w:szCs w:val="21"/>
        </w:rPr>
        <w:t>，</w:t>
      </w:r>
      <w:r>
        <w:t>需包含项目完成过程中的”里程碑“记录、详述项目完成的过程和时间、项目完成后的总结与反思等，</w:t>
      </w:r>
      <w:r>
        <w:rPr>
          <w:rFonts w:ascii="微软雅黑" w:hAnsi="微软雅黑" w:eastAsia="微软雅黑" w:cs="微软雅黑"/>
          <w:color w:val="171A1D"/>
          <w:sz w:val="21"/>
          <w:szCs w:val="21"/>
        </w:rPr>
        <w:t>要突出总结报告中的过程管理，包括使用的一些管理方法、评估方法等</w:t>
      </w:r>
      <w:r>
        <w:t>。</w:t>
      </w:r>
    </w:p>
    <w:p>
      <w:pPr>
        <w:ind w:firstLine="480"/>
      </w:pPr>
      <w:r>
        <w:t>评委在给项目总结报告评分时，应综合考察工作量分配的合理性、工作时间安排的合理性、工作完成的及时性等。</w:t>
      </w:r>
    </w:p>
    <w:p>
      <w:pPr>
        <w:pStyle w:val="2"/>
        <w:spacing w:before="220" w:after="220" w:line="204" w:lineRule="auto"/>
      </w:pPr>
      <w:r>
        <w:rPr>
          <w:b/>
          <w:bCs/>
          <w:color w:val="333333"/>
          <w:sz w:val="40"/>
          <w:szCs w:val="40"/>
        </w:rPr>
        <w:t>四、项目综合评价</w:t>
      </w:r>
    </w:p>
    <w:p>
      <w:pPr>
        <w:ind w:firstLine="480"/>
      </w:pPr>
      <w:r>
        <w:rPr>
          <w:sz w:val="24"/>
          <w:szCs w:val="24"/>
        </w:rPr>
        <w:t>各小组提交最终的</w:t>
      </w:r>
      <w:r>
        <w:t>项目展示视频以及项目文件后，由各小组互评和授课教师评价给出总的综合分。</w:t>
      </w:r>
      <w:r>
        <w:rPr>
          <w:sz w:val="24"/>
          <w:szCs w:val="24"/>
        </w:rPr>
        <w:t>评委除了给出结果分，同时需给出一段两百字以内的对整个项目的评语，涵盖演示和答辩、对前期4份文档的总体评价。</w:t>
      </w:r>
    </w:p>
    <w:p>
      <w:pPr>
        <w:pStyle w:val="2"/>
        <w:spacing w:before="220" w:after="220" w:line="204" w:lineRule="auto"/>
      </w:pPr>
      <w:r>
        <w:rPr>
          <w:b/>
          <w:bCs/>
          <w:color w:val="333333"/>
          <w:sz w:val="40"/>
          <w:szCs w:val="40"/>
        </w:rPr>
        <w:t>五、个人部分得分</w:t>
      </w:r>
    </w:p>
    <w:p>
      <w:pPr>
        <w:ind w:firstLine="480"/>
      </w:pPr>
      <w:r>
        <w:rPr>
          <w:sz w:val="24"/>
          <w:szCs w:val="24"/>
        </w:rPr>
        <w:t>各小组提交最终的</w:t>
      </w:r>
      <w:r>
        <w:t>项目文件后，个人需要提交个人负责部分报告，格式不限，需要详述个人在团体中所负责的部分，个人在项目会议和执行中所扮演的角色、以及个人在项目中所完成的内容等。评委在给个人负责部分报告评分时，应综合考察工作量、工作的质量、工作完成的及时性等等。</w:t>
      </w:r>
    </w:p>
    <w:p>
      <w:pPr>
        <w:ind w:firstLine="480"/>
      </w:pPr>
      <w:r>
        <w:t>组内互评部分的个人得分具体评价过程和评价标准由各组自行制定。可以组长独立决定，可以组长结合组员交叉评分最终决定，可以组内交叉评分加权平均（组长权重较大）。包括组长在内，每人100分满分，精确到整数；</w:t>
      </w:r>
      <w:r>
        <w:rPr>
          <w:i/>
          <w:iCs/>
        </w:rPr>
        <w:t>要求平均分最高90分</w:t>
      </w:r>
      <w:r>
        <w:t>，且最好能有较明显的区分度（原则上在70-95分），能准确反映实际情况。</w:t>
      </w:r>
    </w:p>
    <w:p>
      <w:pPr>
        <w:pStyle w:val="2"/>
        <w:spacing w:before="220" w:after="220" w:line="204" w:lineRule="auto"/>
      </w:pPr>
      <w:r>
        <w:rPr>
          <w:b/>
          <w:bCs/>
          <w:sz w:val="40"/>
          <w:szCs w:val="40"/>
        </w:rPr>
        <w:t>六、附加分</w:t>
      </w:r>
    </w:p>
    <w:p>
      <w:pPr>
        <w:ind w:firstLine="480"/>
      </w:pPr>
      <w:r>
        <w:t>本次软件工程管理课程非常鼓励大家将小组所做的项目与社会学校生活生产实践相结合。如果项目具有现实价值，被真正应用，需要提交证明材料（如是校内外实验室相关项目，需提供相关负责人的手写证明；如是市场应用的项目，需提供相关网站链接、收购合同等；如是确实引起市场反响的实际网站，需提供网站链接、用户数据等），如确有实际应用，授课教师在核实后，可依照实用性进行适当加分，最多加5分。</w:t>
      </w:r>
    </w:p>
    <w:p>
      <w:pPr>
        <w:pStyle w:val="2"/>
        <w:spacing w:before="220" w:after="220" w:line="204" w:lineRule="auto"/>
      </w:pPr>
      <w:r>
        <w:rPr>
          <w:b/>
          <w:bCs/>
          <w:sz w:val="40"/>
          <w:szCs w:val="40"/>
        </w:rPr>
        <w:t>七、其他说明</w:t>
      </w:r>
    </w:p>
    <w:p>
      <w:pPr>
        <w:pStyle w:val="14"/>
        <w:numPr>
          <w:ilvl w:val="0"/>
          <w:numId w:val="2"/>
        </w:numPr>
      </w:pPr>
      <w:r>
        <w:t>如果项目实现过程中存在部分组长或组员长期失联、拒不合作、消极怠工等现象，应及时反应给授课教师或助教，介入协商后，记该组长或组员警告一次，同时可以更换组长、调整组队名单等，如已有警告再次被反应，则做弃修处理，无法获得学分。</w:t>
      </w:r>
    </w:p>
    <w:p>
      <w:pPr>
        <w:pStyle w:val="14"/>
        <w:numPr>
          <w:ilvl w:val="0"/>
          <w:numId w:val="2"/>
        </w:numPr>
      </w:pPr>
      <w:r>
        <w:t>组内和组间互评都应以公平、公正、民主、协商为基本原则，违背该原则的应及时反应给授课教师或助教，核实后予以相关成员警告一次，情节严重者将予以总评扣分。</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微软雅黑">
    <w:altName w:val="汉仪旗黑KW 55S"/>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1E952B"/>
    <w:multiLevelType w:val="multilevel"/>
    <w:tmpl w:val="631E952B"/>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lvl w:ilvl="8" w:tentative="0">
      <w:start w:val="1"/>
      <w:numFmt w:val="bullet"/>
      <w:lvlText w:val=""/>
      <w:lvlJc w:val="left"/>
      <w:pPr>
        <w:ind w:left="3780" w:hanging="420"/>
      </w:pPr>
      <w:rPr>
        <w:rFonts w:ascii="Wingdings" w:hAnsi="Wingdings" w:eastAsia="Wingdings" w:cs="Wingdings"/>
      </w:rPr>
    </w:lvl>
  </w:abstractNum>
  <w:abstractNum w:abstractNumId="1">
    <w:nsid w:val="631E9536"/>
    <w:multiLevelType w:val="multilevel"/>
    <w:tmpl w:val="631E9536"/>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lvl w:ilvl="8" w:tentative="0">
      <w:start w:val="1"/>
      <w:numFmt w:val="bullet"/>
      <w:lvlText w:val=""/>
      <w:lvlJc w:val="left"/>
      <w:pPr>
        <w:ind w:left="3780" w:hanging="42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BDD92F9"/>
    <w:rsid w:val="7FFA7D6F"/>
    <w:rsid w:val="BCFFD6F8"/>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2"/>
      <w:szCs w:val="22"/>
      <w:lang w:val="en-US" w:eastAsia="zh-CN" w:bidi="ar-SA"/>
    </w:rPr>
  </w:style>
  <w:style w:type="paragraph" w:styleId="2">
    <w:name w:val="heading 1"/>
    <w:basedOn w:val="3"/>
    <w:next w:val="3"/>
    <w:link w:val="15"/>
    <w:qFormat/>
    <w:uiPriority w:val="9"/>
    <w:pPr>
      <w:keepNext/>
      <w:keepLines/>
      <w:spacing w:before="340" w:after="330" w:line="578" w:lineRule="auto"/>
      <w:outlineLvl w:val="0"/>
    </w:pPr>
    <w:rPr>
      <w:b/>
      <w:bCs/>
      <w:kern w:val="44"/>
      <w:sz w:val="44"/>
      <w:szCs w:val="44"/>
    </w:rPr>
  </w:style>
  <w:style w:type="paragraph" w:styleId="4">
    <w:name w:val="heading 2"/>
    <w:basedOn w:val="3"/>
    <w:next w:val="3"/>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3"/>
    <w:next w:val="3"/>
    <w:link w:val="17"/>
    <w:unhideWhenUsed/>
    <w:qFormat/>
    <w:uiPriority w:val="9"/>
    <w:pPr>
      <w:keepNext/>
      <w:keepLines/>
      <w:spacing w:before="260" w:after="260" w:line="416" w:lineRule="auto"/>
      <w:outlineLvl w:val="2"/>
    </w:pPr>
    <w:rPr>
      <w:b/>
      <w:bCs/>
      <w:sz w:val="32"/>
      <w:szCs w:val="32"/>
    </w:rPr>
  </w:style>
  <w:style w:type="paragraph" w:styleId="6">
    <w:name w:val="heading 4"/>
    <w:basedOn w:val="3"/>
    <w:next w:val="3"/>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3"/>
    <w:next w:val="3"/>
    <w:link w:val="19"/>
    <w:unhideWhenUsed/>
    <w:qFormat/>
    <w:uiPriority w:val="9"/>
    <w:pPr>
      <w:keepNext/>
      <w:keepLines/>
      <w:spacing w:before="280" w:after="290" w:line="376" w:lineRule="auto"/>
      <w:outlineLvl w:val="4"/>
    </w:pPr>
    <w:rPr>
      <w:b/>
      <w:bCs/>
      <w:sz w:val="28"/>
      <w:szCs w:val="28"/>
    </w:rPr>
  </w:style>
  <w:style w:type="paragraph" w:styleId="8">
    <w:name w:val="heading 6"/>
    <w:basedOn w:val="3"/>
    <w:next w:val="3"/>
    <w:link w:val="20"/>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character" w:default="1" w:styleId="11">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customStyle="1" w:styleId="3">
    <w:name w:val="Normal Paragraph"/>
    <w:qFormat/>
    <w:uiPriority w:val="0"/>
    <w:pPr>
      <w:widowControl w:val="0"/>
      <w:jc w:val="both"/>
    </w:pPr>
    <w:rPr>
      <w:rFonts w:asciiTheme="minorHAnsi" w:hAnsiTheme="minorHAnsi" w:eastAsiaTheme="minorEastAsia" w:cstheme="minorBidi"/>
      <w:kern w:val="2"/>
      <w:sz w:val="22"/>
      <w:szCs w:val="22"/>
      <w:lang w:val="en-US" w:eastAsia="zh-CN" w:bidi="ar-SA"/>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3"/>
    <w:unhideWhenUsed/>
    <w:qFormat/>
    <w:uiPriority w:val="99"/>
    <w:rPr>
      <w:color w:val="0000FF" w:themeColor="hyperlink"/>
      <w:u w:val="single"/>
      <w14:textFill>
        <w14:solidFill>
          <w14:schemeClr w14:val="hlink"/>
        </w14:solidFill>
      </w14:textFill>
    </w:rPr>
  </w:style>
  <w:style w:type="character" w:customStyle="1" w:styleId="13">
    <w:name w:val="Normal Character"/>
    <w:unhideWhenUsed/>
    <w:qFormat/>
    <w:uiPriority w:val="1"/>
  </w:style>
  <w:style w:type="paragraph" w:customStyle="1" w:styleId="14">
    <w:name w:val="List Paragraph"/>
    <w:basedOn w:val="3"/>
    <w:qFormat/>
    <w:uiPriority w:val="34"/>
    <w:pPr>
      <w:ind w:firstLine="420" w:firstLineChars="200"/>
    </w:pPr>
  </w:style>
  <w:style w:type="character" w:customStyle="1" w:styleId="15">
    <w:name w:val="标题 1 字符"/>
    <w:basedOn w:val="13"/>
    <w:link w:val="2"/>
    <w:qFormat/>
    <w:uiPriority w:val="9"/>
    <w:rPr>
      <w:b/>
      <w:bCs/>
      <w:kern w:val="40"/>
      <w:sz w:val="40"/>
      <w:szCs w:val="40"/>
    </w:rPr>
  </w:style>
  <w:style w:type="character" w:customStyle="1" w:styleId="16">
    <w:name w:val="标题 2 字符"/>
    <w:basedOn w:val="13"/>
    <w:link w:val="4"/>
    <w:qFormat/>
    <w:uiPriority w:val="9"/>
    <w:rPr>
      <w:rFonts w:asciiTheme="majorHAnsi" w:hAnsiTheme="majorHAnsi" w:eastAsiaTheme="majorEastAsia" w:cstheme="majorBidi"/>
      <w:b/>
      <w:bCs/>
      <w:sz w:val="32"/>
      <w:szCs w:val="32"/>
    </w:rPr>
  </w:style>
  <w:style w:type="character" w:customStyle="1" w:styleId="17">
    <w:name w:val="标题 3 字符"/>
    <w:basedOn w:val="13"/>
    <w:link w:val="5"/>
    <w:qFormat/>
    <w:uiPriority w:val="9"/>
    <w:rPr>
      <w:b/>
      <w:bCs/>
      <w:sz w:val="32"/>
      <w:szCs w:val="32"/>
    </w:rPr>
  </w:style>
  <w:style w:type="character" w:customStyle="1" w:styleId="18">
    <w:name w:val="标题 4 字符"/>
    <w:basedOn w:val="13"/>
    <w:link w:val="6"/>
    <w:qFormat/>
    <w:uiPriority w:val="9"/>
    <w:rPr>
      <w:rFonts w:asciiTheme="majorHAnsi" w:hAnsiTheme="majorHAnsi" w:eastAsiaTheme="majorEastAsia" w:cstheme="majorBidi"/>
      <w:b/>
      <w:bCs/>
      <w:sz w:val="28"/>
      <w:szCs w:val="28"/>
    </w:rPr>
  </w:style>
  <w:style w:type="character" w:customStyle="1" w:styleId="19">
    <w:name w:val="标题 5 字符"/>
    <w:basedOn w:val="13"/>
    <w:link w:val="7"/>
    <w:qFormat/>
    <w:uiPriority w:val="9"/>
    <w:rPr>
      <w:b/>
      <w:bCs/>
      <w:sz w:val="28"/>
      <w:szCs w:val="28"/>
    </w:rPr>
  </w:style>
  <w:style w:type="character" w:customStyle="1" w:styleId="20">
    <w:name w:val="标题 6 字符"/>
    <w:basedOn w:val="13"/>
    <w:link w:val="8"/>
    <w:qFormat/>
    <w:uiPriority w:val="9"/>
    <w:rPr>
      <w:rFonts w:asciiTheme="majorHAnsi" w:hAnsiTheme="majorHAnsi" w:eastAsiaTheme="majorEastAsia" w:cstheme="majorBidi"/>
      <w:b/>
      <w:bCs/>
      <w:sz w:val="24"/>
    </w:rPr>
  </w:style>
  <w:style w:type="paragraph" w:customStyle="1" w:styleId="21">
    <w:name w:val="钉钉文档引用"/>
    <w:qFormat/>
    <w:uiPriority w:val="0"/>
    <w:pPr>
      <w:pBdr>
        <w:left w:val="single" w:color="F0F0F0" w:sz="30" w:space="10"/>
      </w:pBdr>
    </w:pPr>
    <w:rPr>
      <w:rFonts w:ascii="微软雅黑" w:hAnsi="微软雅黑" w:eastAsia="微软雅黑" w:cs="微软雅黑"/>
      <w:color w:val="ADADAD"/>
      <w:kern w:val="0"/>
      <w:sz w:val="22"/>
      <w:szCs w:val="2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 WWO_dingtalk_20221031101348-1857be321c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2021-11-04T20:26:00Z</dcterms:created>
  <dc:creator>DingTalk</dc:creator>
  <dc:description>钉钉文档</dc:description>
  <cp:lastModifiedBy>jshao</cp:lastModifiedBy>
  <dcterms:modified xsi:type="dcterms:W3CDTF">2022-12-24T13:59:59Z</dcterms:modified>
  <dc:title>DingTalk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