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4"/>
        <w:ind w:left="0" w:right="0"/>
      </w:pPr>
    </w:p>
    <w:p>
      <w:pPr>
        <w:autoSpaceDN w:val="0"/>
        <w:autoSpaceDE w:val="0"/>
        <w:pStyle w:val="Heading1"/>
        <w:widowControl/>
        <w:spacing w:line="378" w:lineRule="exact" w:before="0" w:after="0"/>
        <w:ind w:left="680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1"/>
        </w:rPr>
        <w:t>2.</w:t>
      </w:r>
      <w:r>
        <w:rPr>
          <w:rFonts w:ascii="CIDFont+F1" w:hAnsi="CIDFont+F1" w:eastAsia="CIDFont+F1"/>
          <w:b/>
          <w:i w:val="0"/>
          <w:color w:val="000000"/>
          <w:sz w:val="31"/>
          <w:u w:val="single"/>
        </w:rPr>
        <w:t>Descripción del sistema actual</w:t>
      </w:r>
      <w:r>
        <w:rPr>
          <w:rFonts w:ascii="CIDFont+F1" w:hAnsi="CIDFont+F1" w:eastAsia="CIDFont+F1"/>
          <w:b/>
          <w:i w:val="0"/>
          <w:color w:val="000000"/>
          <w:sz w:val="31"/>
        </w:rPr>
        <w:t xml:space="preserve"> </w:t>
      </w:r>
    </w:p>
    <w:p>
      <w:pPr>
        <w:autoSpaceDN w:val="0"/>
        <w:autoSpaceDE w:val="0"/>
        <w:widowControl/>
        <w:spacing w:line="240" w:lineRule="auto" w:before="302" w:after="0"/>
        <w:ind w:left="15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247890" cy="4472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47890" cy="447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48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sectPr>
          <w:pgSz w:w="11906" w:h="16838"/>
          <w:pgMar w:top="626" w:right="780" w:bottom="144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5540" cy="876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626" w:right="780" w:bottom="1440" w:left="878" w:header="720" w:footer="720" w:gutter="0"/>
          <w:cols w:num="2" w:equalWidth="0">
            <w:col w:w="4279" w:space="0"/>
            <w:col w:w="5968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236" w:lineRule="exact" w:before="0" w:after="784"/>
        <w:ind w:left="3486" w:right="0" w:hanging="1096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 xml:space="preserve"> Estado actual plataforma BBDD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 xml:space="preserve">Ref. Doc_Tec_202505 </w:t>
      </w:r>
    </w:p>
    <w:p>
      <w:pPr>
        <w:sectPr>
          <w:type w:val="nextColumn"/>
          <w:pgSz w:w="11906" w:h="16838"/>
          <w:pgMar w:top="626" w:right="780" w:bottom="1440" w:left="878" w:header="720" w:footer="720" w:gutter="0"/>
          <w:cols w:num="2" w:equalWidth="0">
            <w:col w:w="4279" w:space="0"/>
            <w:col w:w="5968" w:space="0"/>
          </w:cols>
          <w:docGrid w:linePitch="360"/>
        </w:sectPr>
      </w:pPr>
    </w:p>
    <w:p>
      <w:pPr>
        <w:autoSpaceDN w:val="0"/>
        <w:autoSpaceDE w:val="0"/>
        <w:widowControl/>
        <w:spacing w:line="354" w:lineRule="exact" w:before="216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La arquitectura actual de bases de datos de Navantia, ilustrada en el esquema proporcionado, presenta un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ecosistema estructurado en instancias de SQL Server. Estas instancias están distribuidas según su función y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ámbito geográfico, formando agrupaciones que representan entornos lógicos orientados a servicios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específicos, tales como producción, catálogo, integración y almacenamiento histórico. </w:t>
      </w:r>
    </w:p>
    <w:p>
      <w:pPr>
        <w:autoSpaceDN w:val="0"/>
        <w:autoSpaceDE w:val="0"/>
        <w:widowControl/>
        <w:spacing w:line="236" w:lineRule="exact" w:before="234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Los principales elementos son: </w:t>
      </w:r>
    </w:p>
    <w:p>
      <w:pPr>
        <w:autoSpaceDN w:val="0"/>
        <w:tabs>
          <w:tab w:pos="1190" w:val="left"/>
        </w:tabs>
        <w:autoSpaceDE w:val="0"/>
        <w:widowControl/>
        <w:spacing w:line="292" w:lineRule="exact" w:before="226" w:after="0"/>
        <w:ind w:left="90" w:right="0" w:firstLine="0"/>
        <w:jc w:val="left"/>
      </w:pPr>
      <w:r>
        <w:rPr>
          <w:w w:val="101.57046940015711"/>
          <w:rFonts w:ascii="CIDFont+F5" w:hAnsi="CIDFont+F5" w:eastAsia="CIDFont+F5"/>
          <w:b/>
          <w:i w:val="0"/>
          <w:color w:val="000000"/>
          <w:sz w:val="23"/>
        </w:rPr>
        <w:t xml:space="preserve">2.1. </w:t>
      </w:r>
      <w:r>
        <w:tab/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>Núcleo HOSTDB2 (</w:t>
      </w:r>
      <w:r>
        <w:rPr>
          <w:w w:val="102.05118279708059"/>
          <w:rFonts w:ascii="CIDFont+F6" w:hAnsi="CIDFont+F6" w:eastAsia="CIDFont+F6"/>
          <w:b/>
          <w:i w:val="0"/>
          <w:color w:val="000000"/>
          <w:sz w:val="19"/>
        </w:rPr>
        <w:t>MASQL20171\HOSTDB2</w:t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 xml:space="preserve">) </w:t>
      </w:r>
    </w:p>
    <w:p>
      <w:pPr>
        <w:autoSpaceDN w:val="0"/>
        <w:autoSpaceDE w:val="0"/>
        <w:widowControl/>
        <w:spacing w:line="356" w:lineRule="exact" w:before="610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Esta instancia alberga las bases de datos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V6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V6_2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y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DB2P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herederas del entorno z/OS. HOSTDB2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centraliza información histórica migrada desde el sistema HOST, actuando como fuente para múltiples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réplicas hacia otras instancias. Se alimenta mediante copias de seguridad y mantiene relaciones directas con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bases de datos de catálogo y explotación, asegurando la integridad y disponibilidad de la información histórica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crítica. </w:t>
      </w:r>
    </w:p>
    <w:p>
      <w:pPr>
        <w:autoSpaceDN w:val="0"/>
        <w:tabs>
          <w:tab w:pos="1190" w:val="left"/>
        </w:tabs>
        <w:autoSpaceDE w:val="0"/>
        <w:widowControl/>
        <w:spacing w:line="294" w:lineRule="exact" w:before="696" w:after="0"/>
        <w:ind w:left="90" w:right="0" w:firstLine="0"/>
        <w:jc w:val="left"/>
      </w:pPr>
      <w:r>
        <w:rPr>
          <w:w w:val="101.57046940015711"/>
          <w:rFonts w:ascii="CIDFont+F5" w:hAnsi="CIDFont+F5" w:eastAsia="CIDFont+F5"/>
          <w:b/>
          <w:i w:val="0"/>
          <w:color w:val="000000"/>
          <w:sz w:val="23"/>
        </w:rPr>
        <w:t xml:space="preserve">2.2. </w:t>
      </w:r>
      <w:r>
        <w:tab/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>Plataforma Necor@ clásica (</w:t>
      </w:r>
      <w:r>
        <w:rPr>
          <w:w w:val="102.05118279708059"/>
          <w:rFonts w:ascii="CIDFont+F6" w:hAnsi="CIDFont+F6" w:eastAsia="CIDFont+F6"/>
          <w:b/>
          <w:i w:val="0"/>
          <w:color w:val="000000"/>
          <w:sz w:val="19"/>
        </w:rPr>
        <w:t>MASQL20142\SQL20142</w:t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 xml:space="preserve">) </w:t>
      </w:r>
    </w:p>
    <w:p>
      <w:pPr>
        <w:autoSpaceDN w:val="0"/>
        <w:autoSpaceDE w:val="0"/>
        <w:widowControl/>
        <w:spacing w:line="356" w:lineRule="exact" w:before="136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Esta plataforma agrupa la base de datos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Necor@NC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utilizada por aplicaciones legadas como ECADAT y para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la integración con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SAP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en la gestión de hojas de catálogo y materiales. Su función principal es servir como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punto de entrada para datos técnicos (materiales, ingeniería), que posteriormente se redistribuyen a otras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instancias, facilitando la interoperabilidad y el flujo de información entre sistemas. </w:t>
      </w:r>
    </w:p>
    <w:p>
      <w:pPr>
        <w:autoSpaceDN w:val="0"/>
        <w:tabs>
          <w:tab w:pos="1190" w:val="left"/>
        </w:tabs>
        <w:autoSpaceDE w:val="0"/>
        <w:widowControl/>
        <w:spacing w:line="292" w:lineRule="exact" w:before="700" w:after="0"/>
        <w:ind w:left="90" w:right="0" w:firstLine="0"/>
        <w:jc w:val="left"/>
      </w:pPr>
      <w:r>
        <w:rPr>
          <w:w w:val="101.57046940015711"/>
          <w:rFonts w:ascii="CIDFont+F5" w:hAnsi="CIDFont+F5" w:eastAsia="CIDFont+F5"/>
          <w:b/>
          <w:i w:val="0"/>
          <w:color w:val="000000"/>
          <w:sz w:val="23"/>
        </w:rPr>
        <w:t xml:space="preserve">2.3. </w:t>
      </w:r>
      <w:r>
        <w:tab/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>Plataforma Necor@ extendida (</w:t>
      </w:r>
      <w:r>
        <w:rPr>
          <w:w w:val="102.05118279708059"/>
          <w:rFonts w:ascii="CIDFont+F6" w:hAnsi="CIDFont+F6" w:eastAsia="CIDFont+F6"/>
          <w:b/>
          <w:i w:val="0"/>
          <w:color w:val="000000"/>
          <w:sz w:val="19"/>
        </w:rPr>
        <w:t>MASQL20142\NECORANET</w:t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 xml:space="preserve">) </w:t>
      </w:r>
    </w:p>
    <w:p>
      <w:pPr>
        <w:autoSpaceDN w:val="0"/>
        <w:autoSpaceDE w:val="0"/>
        <w:widowControl/>
        <w:spacing w:line="236" w:lineRule="exact" w:before="258" w:after="6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Este entorno funcional de AWD incluye bases de datos como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NecoraDocAWD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InterfacesAWD_PEC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1139"/>
        <w:gridCol w:w="1139"/>
        <w:gridCol w:w="1139"/>
        <w:gridCol w:w="1139"/>
        <w:gridCol w:w="1139"/>
        <w:gridCol w:w="1139"/>
        <w:gridCol w:w="1139"/>
        <w:gridCol w:w="1139"/>
        <w:gridCol w:w="1139"/>
      </w:tblGrid>
      <w:tr>
        <w:trPr>
          <w:trHeight w:hRule="exact" w:val="35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4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Necor@AWD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0" w:firstLine="0"/>
              <w:jc w:val="center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y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NAI_InterfacesAWD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0" w:firstLine="0"/>
              <w:jc w:val="center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Además,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0" w:firstLine="0"/>
              <w:jc w:val="center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incorpora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0" w:firstLine="0"/>
              <w:jc w:val="center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el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0" w:firstLine="0"/>
              <w:jc w:val="center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servidor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0" w:firstLine="0"/>
              <w:jc w:val="center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de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140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informes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90" w:right="20" w:firstLine="0"/>
        <w:jc w:val="both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REPORTSERVERSNECORANET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que explota datos de todas las bases anteriores e integra herramientas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como Power BI y otras soluciones internas. Desde esta instancia, se consolidan datos provenientes de otras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instancias a través del objeto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PDB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que actúa como origen común para clientes satélites y operaciones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cruzadas, optimizando la gestión y análisis de datos. </w:t>
      </w:r>
    </w:p>
    <w:p>
      <w:pPr>
        <w:sectPr>
          <w:type w:val="continuous"/>
          <w:pgSz w:w="11906" w:h="16838"/>
          <w:pgMar w:top="626" w:right="780" w:bottom="144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6"/>
        <w:gridCol w:w="3416"/>
        <w:gridCol w:w="3416"/>
      </w:tblGrid>
      <w:tr>
        <w:trPr>
          <w:trHeight w:hRule="exact" w:val="1634"/>
        </w:trPr>
        <w:tc>
          <w:tcPr>
            <w:tcW w:type="dxa" w:w="6482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114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  <w:tr>
        <w:trPr>
          <w:trHeight w:hRule="exact" w:val="664"/>
        </w:trPr>
        <w:tc>
          <w:tcPr>
            <w:tcW w:type="dxa" w:w="84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8" w:after="0"/>
              <w:ind w:left="90" w:right="0" w:firstLine="0"/>
              <w:jc w:val="left"/>
            </w:pPr>
            <w:r>
              <w:rPr>
                <w:w w:val="101.57046940015711"/>
                <w:rFonts w:ascii="CIDFont+F5" w:hAnsi="CIDFont+F5" w:eastAsia="CIDFont+F5"/>
                <w:b/>
                <w:i w:val="0"/>
                <w:color w:val="000000"/>
                <w:sz w:val="23"/>
              </w:rPr>
              <w:t>2.4.</w:t>
            </w:r>
          </w:p>
        </w:tc>
        <w:tc>
          <w:tcPr>
            <w:tcW w:type="dxa" w:w="56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98" w:after="0"/>
              <w:ind w:left="348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/>
                <w:i w:val="0"/>
                <w:color w:val="000000"/>
                <w:sz w:val="23"/>
              </w:rPr>
              <w:t>Clientes internacionales (</w:t>
            </w:r>
            <w:r>
              <w:rPr>
                <w:w w:val="102.05118279708059"/>
                <w:rFonts w:ascii="CIDFont+F6" w:hAnsi="CIDFont+F6" w:eastAsia="CIDFont+F6"/>
                <w:b/>
                <w:i w:val="0"/>
                <w:color w:val="000000"/>
                <w:sz w:val="19"/>
              </w:rPr>
              <w:t>SQL Server 2022</w:t>
            </w:r>
            <w:r>
              <w:rPr>
                <w:w w:val="101.57046940015711"/>
                <w:rFonts w:ascii="CIDFont+F1" w:hAnsi="CIDFont+F1" w:eastAsia="CIDFont+F1"/>
                <w:b/>
                <w:i w:val="0"/>
                <w:color w:val="000000"/>
                <w:sz w:val="23"/>
              </w:rPr>
              <w:t xml:space="preserve">) </w:t>
            </w:r>
          </w:p>
        </w:tc>
        <w:tc>
          <w:tcPr>
            <w:tcW w:type="dxa" w:w="36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6" w:lineRule="exact" w:before="200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Las instancias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MASQL20221\SQLTURK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y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MASQL20221\SQLNORWAY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están diseñadas específicamente </w:t>
      </w:r>
    </w:p>
    <w:p>
      <w:pPr>
        <w:autoSpaceDN w:val="0"/>
        <w:autoSpaceDE w:val="0"/>
        <w:widowControl/>
        <w:spacing w:line="236" w:lineRule="exact" w:before="120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para los contratos de Turquía y Noruega, respectivamente, y albergan la base de datos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Necor@AWD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. Ambas </w:t>
      </w:r>
    </w:p>
    <w:p>
      <w:pPr>
        <w:autoSpaceDN w:val="0"/>
        <w:autoSpaceDE w:val="0"/>
        <w:widowControl/>
        <w:spacing w:line="234" w:lineRule="exact" w:before="120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instancias consumen datos del objeto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PDB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y cuentan con procesos ETL para la replicación, validación y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extracción específica por proyecto. Cada una de estas instancias opera de manera sincronizada gracias a </w:t>
      </w:r>
    </w:p>
    <w:p>
      <w:pPr>
        <w:autoSpaceDN w:val="0"/>
        <w:autoSpaceDE w:val="0"/>
        <w:widowControl/>
        <w:spacing w:line="234" w:lineRule="exact" w:before="120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enlaces definidos, que incluyen copias de seguridad, servicios ETL y replicaciones manuales, lo que permite </w:t>
      </w:r>
    </w:p>
    <w:p>
      <w:pPr>
        <w:autoSpaceDN w:val="0"/>
        <w:autoSpaceDE w:val="0"/>
        <w:widowControl/>
        <w:spacing w:line="236" w:lineRule="exact" w:before="120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mantener la consistencia y trazabilidad de los datos. Este diseño modular refleja una arquitectura evolutiva </w:t>
      </w:r>
    </w:p>
    <w:p>
      <w:pPr>
        <w:autoSpaceDN w:val="0"/>
        <w:autoSpaceDE w:val="0"/>
        <w:widowControl/>
        <w:spacing w:line="234" w:lineRule="exact" w:before="120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orientada a clientes distribuidos, aislando entornos según su uso y país, y asegurando la adaptabilidad a </w:t>
      </w:r>
    </w:p>
    <w:p>
      <w:pPr>
        <w:autoSpaceDN w:val="0"/>
        <w:autoSpaceDE w:val="0"/>
        <w:widowControl/>
        <w:spacing w:line="236" w:lineRule="exact" w:before="120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requisitos locales. </w:t>
      </w:r>
    </w:p>
    <w:p>
      <w:pPr>
        <w:autoSpaceDN w:val="0"/>
        <w:tabs>
          <w:tab w:pos="1190" w:val="left"/>
        </w:tabs>
        <w:autoSpaceDE w:val="0"/>
        <w:widowControl/>
        <w:spacing w:line="292" w:lineRule="exact" w:before="224" w:after="0"/>
        <w:ind w:left="90" w:right="0" w:firstLine="0"/>
        <w:jc w:val="left"/>
      </w:pPr>
      <w:r>
        <w:rPr>
          <w:w w:val="101.57046940015711"/>
          <w:rFonts w:ascii="CIDFont+F5" w:hAnsi="CIDFont+F5" w:eastAsia="CIDFont+F5"/>
          <w:b/>
          <w:i w:val="0"/>
          <w:color w:val="000000"/>
          <w:sz w:val="23"/>
        </w:rPr>
        <w:t xml:space="preserve">2.5. </w:t>
      </w:r>
      <w:r>
        <w:tab/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>Servicios intermedios (</w:t>
      </w:r>
      <w:r>
        <w:rPr>
          <w:w w:val="102.05118279708059"/>
          <w:rFonts w:ascii="CIDFont+F6" w:hAnsi="CIDFont+F6" w:eastAsia="CIDFont+F6"/>
          <w:b/>
          <w:i w:val="0"/>
          <w:color w:val="000000"/>
          <w:sz w:val="19"/>
        </w:rPr>
        <w:t>MASERVF9</w:t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>)</w:t>
      </w:r>
    </w:p>
    <w:p>
      <w:pPr>
        <w:autoSpaceDN w:val="0"/>
        <w:autoSpaceDE w:val="0"/>
        <w:widowControl/>
        <w:spacing w:line="270" w:lineRule="exact" w:before="412" w:after="0"/>
        <w:ind w:left="90" w:right="0" w:firstLine="0"/>
        <w:jc w:val="left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El servidor IIS 10, configurado como pasarela de integración entre SAP PO y SQL Server, actúa como 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intermediario en la comunicación de datos. Expone </w:t>
      </w:r>
      <w:r>
        <w:rPr>
          <w:w w:val="101.57046940015711"/>
          <w:rFonts w:ascii="CIDFont+F8" w:hAnsi="CIDFont+F8" w:eastAsia="CIDFont+F8"/>
          <w:b/>
          <w:i w:val="0"/>
          <w:color w:val="000000"/>
          <w:sz w:val="23"/>
        </w:rPr>
        <w:t>Web Services REST/SOAP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que permiten a SAP 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consultar datos de materiales y recibir confirmaciones de manera segura. Se comunica directamente con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HOSTDB2.V6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a través de ODBC y opera en un puerto fijo (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58898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), controlado por un firewall y validado por 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el departamento de Ciberseguridad. </w:t>
      </w:r>
    </w:p>
    <w:p>
      <w:pPr>
        <w:autoSpaceDN w:val="0"/>
        <w:autoSpaceDE w:val="0"/>
        <w:widowControl/>
        <w:spacing w:line="270" w:lineRule="exact" w:before="270" w:after="0"/>
        <w:ind w:left="90" w:right="432" w:firstLine="0"/>
        <w:jc w:val="left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MASERVF9 es el host Windows Server 2019 (10.100.161.76) que reemplaza al antiguo </w:t>
      </w:r>
      <w:r>
        <w:rPr>
          <w:w w:val="101.57046940015711"/>
          <w:rFonts w:ascii="CIDFont+F8" w:hAnsi="CIDFont+F8" w:eastAsia="CIDFont+F8"/>
          <w:b/>
          <w:i w:val="0"/>
          <w:color w:val="000000"/>
          <w:sz w:val="23"/>
        </w:rPr>
        <w:t xml:space="preserve">MANECNET 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como punto único de integración SOAP entre SAP PO y Necor@. Desde noviembre de 2024, aloja: </w:t>
      </w:r>
    </w:p>
    <w:p>
      <w:pPr>
        <w:autoSpaceDN w:val="0"/>
        <w:tabs>
          <w:tab w:pos="790" w:val="left"/>
        </w:tabs>
        <w:autoSpaceDE w:val="0"/>
        <w:widowControl/>
        <w:spacing w:line="258" w:lineRule="exact" w:before="264" w:after="0"/>
        <w:ind w:left="440" w:right="0" w:firstLine="0"/>
        <w:jc w:val="left"/>
      </w:pPr>
      <w:r>
        <w:rPr>
          <w:w w:val="102.05118279708059"/>
          <w:rFonts w:ascii="CIDFont+F11" w:hAnsi="CIDFont+F11" w:eastAsia="CIDFont+F11"/>
          <w:b w:val="0"/>
          <w:i w:val="0"/>
          <w:color w:val="000000"/>
          <w:sz w:val="19"/>
        </w:rPr>
        <w:t></w:t>
      </w:r>
      <w:r>
        <w:tab/>
      </w:r>
      <w:r>
        <w:rPr>
          <w:w w:val="101.57046940015711"/>
          <w:rFonts w:ascii="CIDFont+F8" w:hAnsi="CIDFont+F8" w:eastAsia="CIDFont+F8"/>
          <w:b/>
          <w:i w:val="0"/>
          <w:color w:val="000000"/>
          <w:sz w:val="23"/>
        </w:rPr>
        <w:t>Web Service NecoraWebIntegrator.svc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— expuesto en IIS 10, puerto 80. </w:t>
      </w:r>
    </w:p>
    <w:p>
      <w:pPr>
        <w:autoSpaceDN w:val="0"/>
        <w:tabs>
          <w:tab w:pos="790" w:val="left"/>
        </w:tabs>
        <w:autoSpaceDE w:val="0"/>
        <w:widowControl/>
        <w:spacing w:line="268" w:lineRule="exact" w:before="0" w:after="0"/>
        <w:ind w:left="440" w:right="0" w:firstLine="0"/>
        <w:jc w:val="left"/>
      </w:pPr>
      <w:r>
        <w:rPr>
          <w:w w:val="102.05118279708059"/>
          <w:rFonts w:ascii="CIDFont+F11" w:hAnsi="CIDFont+F11" w:eastAsia="CIDFont+F11"/>
          <w:b w:val="0"/>
          <w:i w:val="0"/>
          <w:color w:val="000000"/>
          <w:sz w:val="19"/>
        </w:rPr>
        <w:t></w:t>
      </w:r>
      <w:r>
        <w:tab/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Carpetas de intercambio </w:t>
      </w:r>
      <w:r>
        <w:rPr>
          <w:w w:val="101.57046940015711"/>
          <w:rFonts w:ascii="CIDFont+F8" w:hAnsi="CIDFont+F8" w:eastAsia="CIDFont+F8"/>
          <w:b/>
          <w:i w:val="0"/>
          <w:color w:val="000000"/>
          <w:sz w:val="23"/>
        </w:rPr>
        <w:t>NecoraSAP\Request|Response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con permisos NTFS equivalentes a los de </w:t>
      </w:r>
      <w:r>
        <w:tab/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MANECNET. </w:t>
      </w:r>
    </w:p>
    <w:p>
      <w:pPr>
        <w:autoSpaceDN w:val="0"/>
        <w:tabs>
          <w:tab w:pos="790" w:val="left"/>
        </w:tabs>
        <w:autoSpaceDE w:val="0"/>
        <w:widowControl/>
        <w:spacing w:line="248" w:lineRule="exact" w:before="0" w:after="0"/>
        <w:ind w:left="440" w:right="0" w:firstLine="0"/>
        <w:jc w:val="left"/>
      </w:pPr>
      <w:r>
        <w:rPr>
          <w:w w:val="102.05118279708059"/>
          <w:rFonts w:ascii="CIDFont+F11" w:hAnsi="CIDFont+F11" w:eastAsia="CIDFont+F11"/>
          <w:b w:val="0"/>
          <w:i w:val="0"/>
          <w:color w:val="000000"/>
          <w:sz w:val="19"/>
        </w:rPr>
        <w:t></w:t>
      </w:r>
      <w:r>
        <w:tab/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Cliente SQL Native 11 para conectividad con </w:t>
      </w:r>
      <w:r>
        <w:rPr>
          <w:w w:val="101.57046940015711"/>
          <w:rFonts w:ascii="CIDFont+F8" w:hAnsi="CIDFont+F8" w:eastAsia="CIDFont+F8"/>
          <w:b/>
          <w:i w:val="0"/>
          <w:color w:val="000000"/>
          <w:sz w:val="23"/>
        </w:rPr>
        <w:t>MASQL20171\HOSTDB2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. </w:t>
      </w:r>
    </w:p>
    <w:p>
      <w:pPr>
        <w:autoSpaceDN w:val="0"/>
        <w:tabs>
          <w:tab w:pos="790" w:val="left"/>
        </w:tabs>
        <w:autoSpaceDE w:val="0"/>
        <w:widowControl/>
        <w:spacing w:line="270" w:lineRule="exact" w:before="0" w:after="0"/>
        <w:ind w:left="440" w:right="4320" w:firstLine="0"/>
        <w:jc w:val="left"/>
      </w:pPr>
      <w:r>
        <w:tab/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Agente de monitorización Centreon (plantilla </w:t>
      </w:r>
      <w:r>
        <w:rPr>
          <w:w w:val="101.57046940015711"/>
          <w:rFonts w:ascii="CIDFont+F13" w:hAnsi="CIDFont+F13" w:eastAsia="CIDFont+F13"/>
          <w:b w:val="0"/>
          <w:i/>
          <w:color w:val="000000"/>
          <w:sz w:val="23"/>
        </w:rPr>
        <w:t>IIS 10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). </w:t>
      </w:r>
      <w:r>
        <w:rPr>
          <w:w w:val="102.05118279708059"/>
          <w:rFonts w:ascii="CIDFont+F11" w:hAnsi="CIDFont+F11" w:eastAsia="CIDFont+F11"/>
          <w:b w:val="0"/>
          <w:i w:val="0"/>
          <w:color w:val="000000"/>
          <w:sz w:val="19"/>
        </w:rPr>
        <w:t></w:t>
      </w:r>
      <w:r>
        <w:br/>
      </w:r>
      <w:r>
        <w:rPr>
          <w:w w:val="102.05118279708059"/>
          <w:rFonts w:ascii="CIDFont+F11" w:hAnsi="CIDFont+F11" w:eastAsia="CIDFont+F11"/>
          <w:b w:val="0"/>
          <w:i w:val="0"/>
          <w:color w:val="000000"/>
          <w:sz w:val="19"/>
        </w:rPr>
        <w:t></w:t>
      </w:r>
      <w:r>
        <w:tab/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Repositorio de archivos de ingeniería y producción. </w:t>
      </w:r>
    </w:p>
    <w:p>
      <w:pPr>
        <w:autoSpaceDN w:val="0"/>
        <w:autoSpaceDE w:val="0"/>
        <w:widowControl/>
        <w:spacing w:line="268" w:lineRule="exact" w:before="272" w:after="0"/>
        <w:ind w:left="90" w:right="0" w:firstLine="0"/>
        <w:jc w:val="left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>Este servidor concentra ahora los flujos M-AT (</w:t>
      </w:r>
      <w:r>
        <w:rPr>
          <w:w w:val="101.57046940015711"/>
          <w:rFonts w:ascii="CIDFont+F13" w:hAnsi="CIDFont+F13" w:eastAsia="CIDFont+F13"/>
          <w:b w:val="0"/>
          <w:i/>
          <w:color w:val="000000"/>
          <w:sz w:val="23"/>
        </w:rPr>
        <w:t>SetInfoMateriales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) y Login, que sincronizan el material 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maestro entre SAP y la base </w:t>
      </w:r>
      <w:r>
        <w:rPr>
          <w:w w:val="101.57046940015711"/>
          <w:rFonts w:ascii="CIDFont+F8" w:hAnsi="CIDFont+F8" w:eastAsia="CIDFont+F8"/>
          <w:b/>
          <w:i w:val="0"/>
          <w:color w:val="000000"/>
          <w:sz w:val="23"/>
        </w:rPr>
        <w:t>V6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. Su consolidación elimina dependencias de hardware obsoleto y simplifica 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la matriz del firewall corporativo, mejorando la eficiencia operativa y la seguridad de las comunicaciones. </w:t>
      </w:r>
    </w:p>
    <w:p>
      <w:pPr>
        <w:autoSpaceDN w:val="0"/>
        <w:autoSpaceDE w:val="0"/>
        <w:widowControl/>
        <w:spacing w:line="260" w:lineRule="exact" w:before="280" w:after="0"/>
        <w:ind w:left="90" w:right="0" w:firstLine="0"/>
        <w:jc w:val="left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. </w:t>
      </w:r>
    </w:p>
    <w:p>
      <w:pPr>
        <w:autoSpaceDN w:val="0"/>
        <w:autoSpaceDE w:val="0"/>
        <w:widowControl/>
        <w:spacing w:line="206" w:lineRule="exact" w:before="1664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7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6"/>
        <w:gridCol w:w="3416"/>
        <w:gridCol w:w="3416"/>
      </w:tblGrid>
      <w:tr>
        <w:trPr>
          <w:trHeight w:hRule="exact" w:val="1634"/>
        </w:trPr>
        <w:tc>
          <w:tcPr>
            <w:tcW w:type="dxa" w:w="5722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190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  <w:tr>
        <w:trPr>
          <w:trHeight w:hRule="exact" w:val="654"/>
        </w:trPr>
        <w:tc>
          <w:tcPr>
            <w:tcW w:type="dxa" w:w="84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8" w:after="0"/>
              <w:ind w:left="90" w:right="0" w:firstLine="0"/>
              <w:jc w:val="left"/>
            </w:pPr>
            <w:r>
              <w:rPr>
                <w:w w:val="101.57046940015711"/>
                <w:rFonts w:ascii="CIDFont+F5" w:hAnsi="CIDFont+F5" w:eastAsia="CIDFont+F5"/>
                <w:b/>
                <w:i w:val="0"/>
                <w:color w:val="000000"/>
                <w:sz w:val="23"/>
              </w:rPr>
              <w:t>2.6.</w:t>
            </w:r>
          </w:p>
        </w:tc>
        <w:tc>
          <w:tcPr>
            <w:tcW w:type="dxa" w:w="488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8" w:after="0"/>
              <w:ind w:left="348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/>
                <w:i w:val="0"/>
                <w:color w:val="000000"/>
                <w:sz w:val="23"/>
              </w:rPr>
              <w:t xml:space="preserve">Flujos de carga y extracción </w:t>
            </w:r>
          </w:p>
        </w:tc>
        <w:tc>
          <w:tcPr>
            <w:tcW w:type="dxa" w:w="440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4" w:lineRule="exact" w:before="82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El sistema de bases de datos de Navantia incorpora una serie de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paquetes SSIS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(SQL Server Integration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Services),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planificaciones de SQL Server Agent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y validaciones CRC (Control de Redundancia Cíclica) que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aseguran la integridad en cada operación de lectura, carga o replicación de datos. Estos flujos están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cuidadosamente definidos según el país, cliente y uso funcional, abarcando tareas como la generación de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informes, procesos ETL nocturnos y la sincronización de catálogos. </w:t>
      </w:r>
    </w:p>
    <w:p>
      <w:pPr>
        <w:autoSpaceDN w:val="0"/>
        <w:autoSpaceDE w:val="0"/>
        <w:widowControl/>
        <w:spacing w:line="258" w:lineRule="exact" w:before="244" w:after="0"/>
        <w:ind w:left="0" w:right="0" w:firstLine="0"/>
        <w:jc w:val="center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Cada flujo es auditado mediante registros detallados (logs) y comprobaciones periódicas, lo que permite una </w:t>
      </w:r>
    </w:p>
    <w:p>
      <w:pPr>
        <w:autoSpaceDN w:val="0"/>
        <w:autoSpaceDE w:val="0"/>
        <w:widowControl/>
        <w:spacing w:line="258" w:lineRule="exact" w:before="148" w:after="0"/>
        <w:ind w:left="0" w:right="0" w:firstLine="0"/>
        <w:jc w:val="center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supervisión continua y la capacidad de identificar y resolver rápidamente cualquier anomalía que pueda </w:t>
      </w:r>
    </w:p>
    <w:p>
      <w:pPr>
        <w:autoSpaceDN w:val="0"/>
        <w:autoSpaceDE w:val="0"/>
        <w:widowControl/>
        <w:spacing w:line="260" w:lineRule="exact" w:before="142" w:after="0"/>
        <w:ind w:left="90" w:right="0" w:firstLine="0"/>
        <w:jc w:val="left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surgir. </w:t>
      </w:r>
    </w:p>
    <w:p>
      <w:pPr>
        <w:autoSpaceDN w:val="0"/>
        <w:autoSpaceDE w:val="0"/>
        <w:widowControl/>
        <w:spacing w:line="258" w:lineRule="exact" w:before="262" w:after="0"/>
        <w:ind w:left="0" w:right="0" w:firstLine="0"/>
        <w:jc w:val="center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El modelo de datos actual se caracteriza por su arquitectura </w:t>
      </w:r>
      <w:r>
        <w:rPr>
          <w:w w:val="101.57046940015711"/>
          <w:rFonts w:ascii="CIDFont+F8" w:hAnsi="CIDFont+F8" w:eastAsia="CIDFont+F8"/>
          <w:b/>
          <w:i w:val="0"/>
          <w:color w:val="000000"/>
          <w:sz w:val="23"/>
        </w:rPr>
        <w:t>modular, desacoplada y orientada al cliente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. </w:t>
      </w:r>
    </w:p>
    <w:p>
      <w:pPr>
        <w:autoSpaceDN w:val="0"/>
        <w:autoSpaceDE w:val="0"/>
        <w:widowControl/>
        <w:spacing w:line="260" w:lineRule="exact" w:before="144" w:after="0"/>
        <w:ind w:left="0" w:right="0" w:firstLine="0"/>
        <w:jc w:val="center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Esta estructura permite la existencia de instancias dedicadas por función, país o sistema fuente, lo que </w:t>
      </w:r>
    </w:p>
    <w:p>
      <w:pPr>
        <w:autoSpaceDN w:val="0"/>
        <w:autoSpaceDE w:val="0"/>
        <w:widowControl/>
        <w:spacing w:line="258" w:lineRule="exact" w:before="144" w:after="0"/>
        <w:ind w:left="0" w:right="0" w:firstLine="0"/>
        <w:jc w:val="center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garantiza una trazabilidad completa desde el origen en SAP hasta la entrega final en Necor@. Esta </w:t>
      </w:r>
    </w:p>
    <w:p>
      <w:pPr>
        <w:autoSpaceDN w:val="0"/>
        <w:autoSpaceDE w:val="0"/>
        <w:widowControl/>
        <w:spacing w:line="260" w:lineRule="exact" w:before="142" w:after="0"/>
        <w:ind w:left="0" w:right="0" w:firstLine="0"/>
        <w:jc w:val="center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orientación modular no solo facilita la gestión y el mantenimiento del sistema, sino que también asegura que </w:t>
      </w:r>
    </w:p>
    <w:p>
      <w:pPr>
        <w:autoSpaceDN w:val="0"/>
        <w:autoSpaceDE w:val="0"/>
        <w:widowControl/>
        <w:spacing w:line="258" w:lineRule="exact" w:before="146" w:after="0"/>
        <w:ind w:left="90" w:right="0" w:firstLine="0"/>
        <w:jc w:val="left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>las necesidades específicas de cada cliente y región sean atendidas de manera eficiente y efectiva.</w:t>
      </w:r>
    </w:p>
    <w:p>
      <w:pPr>
        <w:autoSpaceDN w:val="0"/>
        <w:autoSpaceDE w:val="0"/>
        <w:widowControl/>
        <w:spacing w:line="206" w:lineRule="exact" w:before="5904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8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4"/>
        <w:gridCol w:w="5124"/>
      </w:tblGrid>
      <w:tr>
        <w:trPr>
          <w:trHeight w:hRule="exact" w:val="1634"/>
        </w:trPr>
        <w:tc>
          <w:tcPr>
            <w:tcW w:type="dxa" w:w="414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</w:tbl>
    <w:p>
      <w:pPr>
        <w:autoSpaceDN w:val="0"/>
        <w:autoSpaceDE w:val="0"/>
        <w:pStyle w:val="Heading1"/>
        <w:widowControl/>
        <w:spacing w:line="376" w:lineRule="exact" w:before="988" w:after="0"/>
        <w:ind w:left="90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1"/>
        </w:rPr>
        <w:t>3.</w:t>
      </w:r>
      <w:r>
        <w:rPr>
          <w:rFonts w:ascii="CIDFont+F1" w:hAnsi="CIDFont+F1" w:eastAsia="CIDFont+F1"/>
          <w:b/>
          <w:i w:val="0"/>
          <w:color w:val="000000"/>
          <w:sz w:val="31"/>
          <w:u w:val="single"/>
        </w:rPr>
        <w:t>Detalle técnico por servidor/instancia</w:t>
      </w:r>
      <w:r>
        <w:rPr>
          <w:rFonts w:ascii="CIDFont+F1" w:hAnsi="CIDFont+F1" w:eastAsia="CIDFont+F1"/>
          <w:b/>
          <w:i w:val="0"/>
          <w:color w:val="000000"/>
          <w:sz w:val="31"/>
        </w:rPr>
        <w:t xml:space="preserve"> </w:t>
      </w:r>
    </w:p>
    <w:p>
      <w:pPr>
        <w:autoSpaceDN w:val="0"/>
        <w:tabs>
          <w:tab w:pos="1190" w:val="left"/>
        </w:tabs>
        <w:autoSpaceDE w:val="0"/>
        <w:pStyle w:val="Heading1"/>
        <w:widowControl/>
        <w:spacing w:line="284" w:lineRule="exact" w:before="988" w:after="0"/>
        <w:ind w:left="90" w:right="0" w:firstLine="0"/>
        <w:jc w:val="left"/>
      </w:pPr>
      <w:r>
        <w:rPr>
          <w:w w:val="101.57046940015711"/>
          <w:rFonts w:ascii="CIDFont+F5" w:hAnsi="CIDFont+F5" w:eastAsia="CIDFont+F5"/>
          <w:b/>
          <w:i w:val="0"/>
          <w:color w:val="000000"/>
          <w:sz w:val="23"/>
        </w:rPr>
        <w:t xml:space="preserve">3.1. </w:t>
      </w:r>
      <w:r>
        <w:tab/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 xml:space="preserve">MASQL20171\HOSTDB2 </w:t>
      </w:r>
    </w:p>
    <w:p>
      <w:pPr>
        <w:autoSpaceDN w:val="0"/>
        <w:autoSpaceDE w:val="0"/>
        <w:widowControl/>
        <w:spacing w:line="354" w:lineRule="exact" w:before="160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La instancia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MASQL20171\HOSTDB2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funciona como el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nodo central de consolidación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tras el apagado del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entorno HOST (DB2/VSAM). Implementada sobre SQL Server 2017 CU31, concentra todas las bases de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datos migradas desde el ecosistema mainframe, así como los esquemas técnicos heredados de instancias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auxiliares como FESRV014 y MAHOST. </w:t>
      </w:r>
    </w:p>
    <w:p>
      <w:pPr>
        <w:autoSpaceDN w:val="0"/>
        <w:tabs>
          <w:tab w:pos="1190" w:val="left"/>
        </w:tabs>
        <w:autoSpaceDE w:val="0"/>
        <w:widowControl/>
        <w:spacing w:line="286" w:lineRule="exact" w:before="696" w:after="0"/>
        <w:ind w:left="90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000000"/>
          <w:sz w:val="23"/>
        </w:rPr>
        <w:t xml:space="preserve">3.1.1. </w:t>
      </w:r>
      <w:r>
        <w:tab/>
      </w:r>
      <w:r>
        <w:rPr>
          <w:w w:val="101.57046940015711"/>
          <w:rFonts w:ascii="CIDFont+F4" w:hAnsi="CIDFont+F4" w:eastAsia="CIDFont+F4"/>
          <w:b w:val="0"/>
          <w:i w:val="0"/>
          <w:color w:val="000000"/>
          <w:sz w:val="23"/>
        </w:rPr>
        <w:t xml:space="preserve">Características generales </w:t>
      </w:r>
    </w:p>
    <w:p>
      <w:pPr>
        <w:autoSpaceDN w:val="0"/>
        <w:autoSpaceDE w:val="0"/>
        <w:widowControl/>
        <w:spacing w:line="240" w:lineRule="exact" w:before="424" w:after="0"/>
        <w:ind w:left="90" w:right="2448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Rol: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Nodo central de consolidación tras el apagado del entorno HOST (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DB2/VSAM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)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Versión: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SQL Server 2017 CU31. </w:t>
      </w:r>
    </w:p>
    <w:p>
      <w:pPr>
        <w:autoSpaceDN w:val="0"/>
        <w:autoSpaceDE w:val="0"/>
        <w:widowControl/>
        <w:spacing w:line="238" w:lineRule="exact" w:before="14" w:after="0"/>
        <w:ind w:left="90" w:right="648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Bases de datos: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V6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V6_2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DB2T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 xml:space="preserve">DB2P </w:t>
      </w:r>
      <w:r>
        <w:br/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Conexiones entrantes:</w:t>
      </w:r>
    </w:p>
    <w:p>
      <w:pPr>
        <w:autoSpaceDN w:val="0"/>
        <w:tabs>
          <w:tab w:pos="1490" w:val="left"/>
        </w:tabs>
        <w:autoSpaceDE w:val="0"/>
        <w:widowControl/>
        <w:spacing w:line="300" w:lineRule="exact" w:before="202" w:after="0"/>
        <w:ind w:left="1140" w:right="4176" w:firstLine="0"/>
        <w:jc w:val="left"/>
      </w:pP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 xml:space="preserve">o </w:t>
      </w:r>
      <w:r>
        <w:tab/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MASERVF9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(vía ODBC desde IIS/WebService) </w:t>
      </w:r>
      <w:r>
        <w:br/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 xml:space="preserve">o </w:t>
      </w:r>
      <w:r>
        <w:tab/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MASQL20142\NECORANET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(lectura cruzada) </w:t>
      </w:r>
      <w:r>
        <w:br/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o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Objeto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PDB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(consulta y consolidación de datos) </w:t>
      </w:r>
    </w:p>
    <w:p>
      <w:pPr>
        <w:autoSpaceDN w:val="0"/>
        <w:autoSpaceDE w:val="0"/>
        <w:widowControl/>
        <w:spacing w:line="238" w:lineRule="exact" w:before="546" w:after="0"/>
        <w:ind w:left="90" w:right="72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Conexiones salientes: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Réplicas parciales y flujos ETL hacia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NecoraNet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,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SQLTURK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y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SQLNORWAY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.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Parámetros relevantes:</w:t>
      </w:r>
    </w:p>
    <w:p>
      <w:pPr>
        <w:autoSpaceDN w:val="0"/>
        <w:autoSpaceDE w:val="0"/>
        <w:widowControl/>
        <w:spacing w:line="278" w:lineRule="exact" w:before="270" w:after="0"/>
        <w:ind w:left="1140" w:right="1440" w:firstLine="0"/>
        <w:jc w:val="left"/>
      </w:pP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o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Puerto TCP fijo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58898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(asignado en nov. 2024, validado por Ciberseguridad)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o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Compresión de datos tipo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 xml:space="preserve">ROW </w:t>
      </w:r>
      <w:r>
        <w:br/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o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Collation: </w:t>
      </w: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SQL_Latin1_General_CP1_CI_AS</w:t>
      </w:r>
    </w:p>
    <w:p>
      <w:pPr>
        <w:autoSpaceDN w:val="0"/>
        <w:autoSpaceDE w:val="0"/>
        <w:pStyle w:val="Heading1"/>
        <w:widowControl/>
        <w:spacing w:line="236" w:lineRule="exact" w:before="274" w:after="0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Cambios recientes: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Generación de la copia V6_2.</w:t>
      </w:r>
    </w:p>
    <w:p>
      <w:pPr>
        <w:autoSpaceDN w:val="0"/>
        <w:autoSpaceDE w:val="0"/>
        <w:widowControl/>
        <w:spacing w:line="206" w:lineRule="exact" w:before="1514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9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0"/>
        <w:gridCol w:w="5090"/>
      </w:tblGrid>
      <w:tr>
        <w:trPr>
          <w:trHeight w:hRule="exact" w:val="1634"/>
        </w:trPr>
        <w:tc>
          <w:tcPr>
            <w:tcW w:type="dxa" w:w="414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</w:tbl>
    <w:p>
      <w:pPr>
        <w:autoSpaceDN w:val="0"/>
        <w:autoSpaceDE w:val="0"/>
        <w:widowControl/>
        <w:spacing w:line="268" w:lineRule="exact" w:before="310" w:after="0"/>
        <w:ind w:left="90" w:right="0" w:firstLine="0"/>
        <w:jc w:val="left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Esta instancia proporciona datos operativos y documentales a múltiples servicios de negocio, incluyendo 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SAP, Necor@NET y reporting externo. Los procesos de carga, validación e indexado están diseñados para 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garantizar estabilidad, trazabilidad y rendimiento. </w:t>
      </w:r>
    </w:p>
    <w:p>
      <w:pPr>
        <w:autoSpaceDN w:val="0"/>
        <w:tabs>
          <w:tab w:pos="1190" w:val="left"/>
        </w:tabs>
        <w:autoSpaceDE w:val="0"/>
        <w:widowControl/>
        <w:spacing w:line="286" w:lineRule="exact" w:before="940" w:after="0"/>
        <w:ind w:left="90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000000"/>
          <w:sz w:val="23"/>
        </w:rPr>
        <w:t xml:space="preserve">3.1.2. </w:t>
      </w:r>
      <w:r>
        <w:tab/>
      </w:r>
      <w:r>
        <w:rPr>
          <w:w w:val="101.57046940015711"/>
          <w:rFonts w:ascii="CIDFont+F4" w:hAnsi="CIDFont+F4" w:eastAsia="CIDFont+F4"/>
          <w:b w:val="0"/>
          <w:i w:val="0"/>
          <w:color w:val="000000"/>
          <w:sz w:val="23"/>
        </w:rPr>
        <w:t xml:space="preserve">Contenido migrado </w:t>
      </w:r>
    </w:p>
    <w:p>
      <w:pPr>
        <w:autoSpaceDN w:val="0"/>
        <w:autoSpaceDE w:val="0"/>
        <w:widowControl/>
        <w:spacing w:line="266" w:lineRule="exact" w:before="420" w:after="272"/>
        <w:ind w:left="90" w:right="0" w:firstLine="0"/>
        <w:jc w:val="left"/>
      </w:pPr>
      <w:r>
        <w:rPr>
          <w:w w:val="102.05118279708059"/>
          <w:rFonts w:ascii="CIDFont+F10" w:hAnsi="CIDFont+F10" w:eastAsia="CIDFont+F10"/>
          <w:b w:val="0"/>
          <w:i w:val="0"/>
          <w:color w:val="000000"/>
          <w:sz w:val="19"/>
        </w:rPr>
        <w:t>MASQL20171\HOSTDB2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almacena la información consolidada desde tres orígenes principales: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10180"/>
      </w:tblGrid>
      <w:tr>
        <w:trPr>
          <w:trHeight w:hRule="exact" w:val="1438"/>
        </w:trPr>
        <w:tc>
          <w:tcPr>
            <w:tcW w:type="dxa" w:w="10060"/>
            <w:tcBorders>
              <w:start w:sz="3.1999999999999886" w:val="single" w:color="#5B9AD4"/>
              <w:top w:sz="4.0" w:val="single" w:color="#5B9AD4"/>
              <w:end w:sz="4.0" w:val="single" w:color="#5B9AD4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3353"/>
              <w:gridCol w:w="3353"/>
              <w:gridCol w:w="3353"/>
            </w:tblGrid>
            <w:tr>
              <w:trPr>
                <w:trHeight w:hRule="exact" w:val="304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97" w:type="dxa"/>
                  </w:tblPr>
                  <w:tblGrid>
                    <w:gridCol w:w="1220"/>
                  </w:tblGrid>
                  <w:tr>
                    <w:trPr>
                      <w:trHeight w:hRule="exact" w:val="254"/>
                    </w:trPr>
                    <w:tc>
                      <w:tcPr>
                        <w:tcW w:type="dxa" w:w="1182"/>
                        <w:tcBorders>
                          <w:start w:sz="2.3999999999999773" w:val="single" w:color="#5B9AD4"/>
                          <w:top w:sz="4.0" w:val="single" w:color="#5B9AD4"/>
                          <w:end w:sz="4.0" w:val="single" w:color="#5B9AD4"/>
                          <w:bottom w:sz="3.200000000000273" w:val="single" w:color="#5B9AD4"/>
                        </w:tcBorders>
                        <w:shd w:fill="bcd6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 xml:space="preserve">Origen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3180"/>
                  </w:tblGrid>
                  <w:tr>
                    <w:trPr>
                      <w:trHeight w:hRule="exact" w:val="254"/>
                    </w:trPr>
                    <w:tc>
                      <w:tcPr>
                        <w:tcW w:type="dxa" w:w="3132"/>
                        <w:tcBorders>
                          <w:start w:sz="4.0" w:val="single" w:color="#5B9AD4"/>
                          <w:top w:sz="4.0" w:val="single" w:color="#5B9AD4"/>
                          <w:end w:sz="4.0" w:val="single" w:color="#5B9AD4"/>
                          <w:bottom w:sz="3.200000000000273" w:val="single" w:color="#5B9AD4"/>
                        </w:tcBorders>
                        <w:shd w:fill="bcd6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 xml:space="preserve">Destino en SQL Server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5620"/>
                  </w:tblGrid>
                  <w:tr>
                    <w:trPr>
                      <w:trHeight w:hRule="exact" w:val="254"/>
                    </w:trPr>
                    <w:tc>
                      <w:tcPr>
                        <w:tcW w:type="dxa" w:w="5596"/>
                        <w:tcBorders>
                          <w:start w:sz="4.0" w:val="single" w:color="#5B9AD4"/>
                          <w:top w:sz="4.0" w:val="single" w:color="#5B9AD4"/>
                          <w:end w:sz="3.199999999999818" w:val="single" w:color="#5B9AD4"/>
                          <w:bottom w:sz="3.200000000000273" w:val="single" w:color="#5B9AD4"/>
                        </w:tcBorders>
                        <w:shd w:fill="bcd6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 xml:space="preserve">Descripción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W w:type="dxa" w:w="44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97" w:type="dxa"/>
                  </w:tblPr>
                  <w:tblGrid>
                    <w:gridCol w:w="4400"/>
                  </w:tblGrid>
                  <w:tr>
                    <w:trPr>
                      <w:trHeight w:hRule="exact" w:val="510"/>
                    </w:trPr>
                    <w:tc>
                      <w:tcPr>
                        <w:tcW w:type="dxa" w:w="1182"/>
                        <w:tcBorders>
                          <w:start w:sz="2.3999999999999773" w:val="single" w:color="#5B9AD4"/>
                          <w:top w:sz="4.0" w:val="single" w:color="#5B9AD4"/>
                          <w:end w:sz="4.0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4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HOST DB2 DB2T / DB2P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50.0" w:type="dxa"/>
                  </w:tblPr>
                  <w:tblGrid>
                    <w:gridCol w:w="4400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3132"/>
                        <w:tcBorders>
                          <w:start w:sz="4.0" w:val="single" w:color="#5B9AD4"/>
                          <w:top w:sz="4.0" w:val="single" w:color="#5B9AD4"/>
                          <w:end w:sz="4.0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5620"/>
                  </w:tblGrid>
                  <w:tr>
                    <w:trPr>
                      <w:trHeight w:hRule="exact" w:val="490"/>
                    </w:trPr>
                    <w:tc>
                      <w:tcPr>
                        <w:tcW w:type="dxa" w:w="5596"/>
                        <w:tcBorders>
                          <w:start w:sz="4.0" w:val="single" w:color="#5B9AD4"/>
                          <w:top w:sz="4.0" w:val="single" w:color="#5B9AD4"/>
                          <w:end w:sz="3.199999999999818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8" w:after="0"/>
                          <w:ind w:left="14" w:right="0" w:firstLine="0"/>
                          <w:jc w:val="left"/>
                        </w:pP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Copia exacta de tablas fuente dentro del alcance. Carga </w:t>
                        </w: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vía paquete MoveDataDB2ToSQLServer.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8"/>
              </w:trPr>
              <w:tc>
                <w:tcPr>
                  <w:tcW w:type="dxa" w:w="10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97" w:type="dxa"/>
                  </w:tblPr>
                  <w:tblGrid>
                    <w:gridCol w:w="10020"/>
                  </w:tblGrid>
                  <w:tr>
                    <w:trPr>
                      <w:trHeight w:hRule="exact" w:val="508"/>
                    </w:trPr>
                    <w:tc>
                      <w:tcPr>
                        <w:tcW w:type="dxa" w:w="1182"/>
                        <w:tcBorders>
                          <w:start w:sz="2.3999999999999773" w:val="single" w:color="#5B9AD4"/>
                          <w:top w:sz="4.0" w:val="single" w:color="#5B9AD4"/>
                          <w:end w:sz="4.0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52" w:lineRule="exact" w:before="0" w:after="0"/>
                    <w:ind w:left="4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FESRV014 HOSTDB2 (diversos esquemas) </w:t>
                  </w: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Bases de datos ControlDoc, ControlAsuntos, etc. Job: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50.0" w:type="dxa"/>
                  </w:tblPr>
                  <w:tblGrid>
                    <w:gridCol w:w="10020"/>
                  </w:tblGrid>
                  <w:tr>
                    <w:trPr>
                      <w:trHeight w:hRule="exact" w:val="508"/>
                    </w:trPr>
                    <w:tc>
                      <w:tcPr>
                        <w:tcW w:type="dxa" w:w="3132"/>
                        <w:tcBorders>
                          <w:start w:sz="4.0" w:val="single" w:color="#5B9AD4"/>
                          <w:top w:sz="4.0" w:val="single" w:color="#5B9AD4"/>
                          <w:end w:sz="4.0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422.0" w:type="dxa"/>
                  </w:tblPr>
                  <w:tblGrid>
                    <w:gridCol w:w="10020"/>
                  </w:tblGrid>
                  <w:tr>
                    <w:trPr>
                      <w:trHeight w:hRule="exact" w:val="488"/>
                    </w:trPr>
                    <w:tc>
                      <w:tcPr>
                        <w:tcW w:type="dxa" w:w="5596"/>
                        <w:tcBorders>
                          <w:start w:sz="4.0" w:val="single" w:color="#5B9AD4"/>
                          <w:top w:sz="4.0" w:val="single" w:color="#5B9AD4"/>
                          <w:end w:sz="3.199999999999818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254" w:after="0"/>
                          <w:ind w:left="14" w:right="0" w:firstLine="0"/>
                          <w:jc w:val="left"/>
                        </w:pP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MoveAppAuxToNewNecor@.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5090"/>
        <w:gridCol w:w="5090"/>
      </w:tblGrid>
      <w:tr>
        <w:trPr>
          <w:trHeight w:hRule="exact" w:val="908"/>
        </w:trPr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03" w:type="dxa"/>
            </w:tblPr>
            <w:tblGrid>
              <w:gridCol w:w="10120"/>
            </w:tblGrid>
            <w:tr>
              <w:trPr>
                <w:trHeight w:hRule="exact" w:val="530"/>
              </w:trPr>
              <w:tc>
                <w:tcPr>
                  <w:tcW w:type="dxa" w:w="10060"/>
                  <w:tcBorders>
                    <w:start w:sz="3.1999999999999886" w:val="single" w:color="#5B9AD4"/>
                    <w:end w:sz="4.0" w:val="single" w:color="#5B9AD4"/>
                    <w:bottom w:sz="3.199999999999818" w:val="single" w:color="#5B9AD4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24.0" w:type="dxa"/>
                  </w:tblPr>
                  <w:tblGrid>
                    <w:gridCol w:w="5030"/>
                    <w:gridCol w:w="5030"/>
                  </w:tblGrid>
                  <w:tr>
                    <w:trPr>
                      <w:trHeight w:hRule="exact" w:val="480"/>
                    </w:trPr>
                    <w:tc>
                      <w:tcPr>
                        <w:tcW w:type="dxa" w:w="3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0" w:after="0"/>
                          <w:ind w:left="648" w:right="144" w:firstLine="0"/>
                          <w:jc w:val="left"/>
                        </w:pP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HOSTDB2.DB2T (esquema a </w:t>
                        </w: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esquema) </w:t>
                        </w:r>
                      </w:p>
                    </w:tc>
                    <w:tc>
                      <w:tcPr>
                        <w:tcW w:type="dxa" w:w="5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0" w:after="0"/>
                          <w:ind w:left="162" w:right="288" w:firstLine="0"/>
                          <w:jc w:val="left"/>
                        </w:pP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Bases DBFERR, DBCART, DBMADR, DBSFER. Job: </w:t>
                        </w: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PackageMAHOST_a_DB2T.dtsx.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7.99999999999997" w:type="dxa"/>
            </w:tblPr>
            <w:tblGrid>
              <w:gridCol w:w="10120"/>
            </w:tblGrid>
            <w:tr>
              <w:trPr>
                <w:trHeight w:hRule="exact" w:val="508"/>
              </w:trPr>
              <w:tc>
                <w:tcPr>
                  <w:tcW w:type="dxa" w:w="1182"/>
                  <w:tcBorders>
                    <w:start w:sz="2.3999999999999773" w:val="single" w:color="#5B9AD4"/>
                    <w:top w:sz="3.199999999999818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34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MAHOST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0.0" w:type="dxa"/>
            </w:tblPr>
            <w:tblGrid>
              <w:gridCol w:w="10120"/>
            </w:tblGrid>
            <w:tr>
              <w:trPr>
                <w:trHeight w:hRule="exact" w:val="508"/>
              </w:trPr>
              <w:tc>
                <w:tcPr>
                  <w:tcW w:type="dxa" w:w="3132"/>
                  <w:tcBorders>
                    <w:start w:sz="4.0" w:val="single" w:color="#5B9AD4"/>
                    <w:top w:sz="3.199999999999818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82.0" w:type="dxa"/>
            </w:tblPr>
            <w:tblGrid>
              <w:gridCol w:w="10120"/>
            </w:tblGrid>
            <w:tr>
              <w:trPr>
                <w:trHeight w:hRule="exact" w:val="488"/>
              </w:trPr>
              <w:tc>
                <w:tcPr>
                  <w:tcW w:type="dxa" w:w="5596"/>
                  <w:tcBorders>
                    <w:start w:sz="4.0" w:val="single" w:color="#5B9AD4"/>
                    <w:top w:sz="3.199999999999818" w:val="single" w:color="#5B9AD4"/>
                    <w:end w:sz="3.199999999999818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2" w:after="0"/>
              <w:ind w:left="48" w:right="0" w:firstLine="0"/>
              <w:jc w:val="left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3.1.3.</w:t>
            </w:r>
          </w:p>
        </w:tc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300" w:after="0"/>
              <w:ind w:left="3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V6 y creación de V6_2 </w:t>
            </w:r>
          </w:p>
        </w:tc>
      </w:tr>
    </w:tbl>
    <w:p>
      <w:pPr>
        <w:autoSpaceDN w:val="0"/>
        <w:autoSpaceDE w:val="0"/>
        <w:widowControl/>
        <w:spacing w:line="238" w:lineRule="exact" w:before="348" w:after="214"/>
        <w:ind w:left="90" w:right="576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La base de datos V6 contiene los datos de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Necor@V6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tras la migración. Durante el proceso, se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detectó que algunas vistas aplicaban filtros que impedían consultar el histórico completo desde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Necor@. Para solucionarlo: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090"/>
        <w:gridCol w:w="5090"/>
      </w:tblGrid>
      <w:tr>
        <w:trPr>
          <w:trHeight w:hRule="exact" w:val="1538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238" w:right="114" w:firstLine="0"/>
              <w:jc w:val="both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Se creó la base V6_2, réplica exacta de V6 sin filtros de migración.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Se generaron nuevas vistas _V sobre V6_2. </w:t>
            </w:r>
          </w:p>
          <w:p>
            <w:pPr>
              <w:autoSpaceDN w:val="0"/>
              <w:autoSpaceDE w:val="0"/>
              <w:widowControl/>
              <w:spacing w:line="236" w:lineRule="exact" w:before="2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Se reemplazaron los sinónimos en V6 para que apunten a estas vistas no filtradas.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Las vistas originales se renombraron como _BKP para permitir comparativas de rendimiento. 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48" w:right="576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Se reforzaron índices en tablas clave (BO12SQ, BO59SQ, BO80SQ, etc.) y se revisaron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procedimientos (PR_NC_CONSULTA_OPERACIONES, etc.). </w:t>
            </w:r>
          </w:p>
        </w:tc>
      </w:tr>
    </w:tbl>
    <w:p>
      <w:pPr>
        <w:autoSpaceDN w:val="0"/>
        <w:autoSpaceDE w:val="0"/>
        <w:widowControl/>
        <w:spacing w:line="238" w:lineRule="exact" w:before="210" w:after="0"/>
        <w:ind w:left="90" w:right="432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Esta estrategia permite que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 xml:space="preserve">Necor@V6 acceda al histórico completo sin afectar al código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existente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manteniendo la trazabilidad y cumpliendo requerimientos funcionales de Ingeniería y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>Auditoría.</w:t>
      </w:r>
    </w:p>
    <w:p>
      <w:pPr>
        <w:autoSpaceDN w:val="0"/>
        <w:autoSpaceDE w:val="0"/>
        <w:widowControl/>
        <w:spacing w:line="260" w:lineRule="exact" w:before="278" w:after="0"/>
        <w:ind w:left="90" w:right="0" w:firstLine="0"/>
        <w:jc w:val="left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. </w:t>
      </w:r>
    </w:p>
    <w:p>
      <w:pPr>
        <w:autoSpaceDN w:val="0"/>
        <w:autoSpaceDE w:val="0"/>
        <w:widowControl/>
        <w:spacing w:line="206" w:lineRule="exact" w:before="1316" w:after="0"/>
        <w:ind w:left="0" w:right="1636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10 </w:t>
      </w:r>
    </w:p>
    <w:p>
      <w:pPr>
        <w:sectPr>
          <w:pgSz w:w="11906" w:h="16838"/>
          <w:pgMar w:top="764" w:right="848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6"/>
        <w:gridCol w:w="3416"/>
        <w:gridCol w:w="3416"/>
      </w:tblGrid>
      <w:tr>
        <w:trPr>
          <w:trHeight w:hRule="exact" w:val="1634"/>
        </w:trPr>
        <w:tc>
          <w:tcPr>
            <w:tcW w:type="dxa" w:w="5802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182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  <w:tr>
        <w:trPr>
          <w:trHeight w:hRule="exact" w:val="658"/>
        </w:trPr>
        <w:tc>
          <w:tcPr>
            <w:tcW w:type="dxa" w:w="88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0" w:after="0"/>
              <w:ind w:left="90" w:right="0" w:firstLine="0"/>
              <w:jc w:val="left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3.1.4.</w:t>
            </w:r>
          </w:p>
        </w:tc>
        <w:tc>
          <w:tcPr>
            <w:tcW w:type="dxa" w:w="492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8" w:after="0"/>
              <w:ind w:left="3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Antecedentes del proyecto HOST </w:t>
            </w:r>
          </w:p>
        </w:tc>
        <w:tc>
          <w:tcPr>
            <w:tcW w:type="dxa" w:w="432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6" w:lineRule="exact" w:before="352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El proyecto HOST se concibió como una iniciativa de migración y mantenimiento de los sistemas legacy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(DB2/VSAM), gestionándose bajo un modelo mixto que combina soporte y transferencia de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conocimiento. En colaboración con Altia Consultores, se llevaron a cabo tareas de mantenimiento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correctivo y adaptativo, así como procesos de migración escalonada. </w:t>
      </w:r>
    </w:p>
    <w:p>
      <w:pPr>
        <w:autoSpaceDN w:val="0"/>
        <w:autoSpaceDE w:val="0"/>
        <w:widowControl/>
        <w:spacing w:line="236" w:lineRule="exact" w:before="274" w:after="0"/>
        <w:ind w:left="90" w:right="144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Esta colaboración se alineó con las prácticas ITIL y los estándares ISO/IEC 20000, estableciendo una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infraestructura de servicio que incluyó indicadores de calidad (SLA), herramientas de gestión,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dedicación de recursos y mecanismos de seguimiento tanto semanal como mensual. Además, se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garantizó una cobertura integral sobre aplicaciones críticas (Necora, Coral, ControlDoc, Brion, entre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otras) mediante soporte de tercer nivel y supervisión de procesos en explotación. </w:t>
      </w:r>
    </w:p>
    <w:p>
      <w:pPr>
        <w:autoSpaceDN w:val="0"/>
        <w:autoSpaceDE w:val="0"/>
        <w:widowControl/>
        <w:spacing w:line="244" w:lineRule="exact" w:before="264" w:after="0"/>
        <w:ind w:left="90" w:right="144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El acuerdo contemplaba una planificación detallada de proyectos, atención 24x7 para casos críticos y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controles de calidad periódicos. Se documentaron procedimientos para el análisis y resolución de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incidentes, gestión de problemas y planificación de desarrollos, lo que permitió asegurar la </w:t>
      </w:r>
      <w:r>
        <w:br/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continuidad del servicio durante la migración al entorno SQL Server (MASQL20171\HOSTDB2) sin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>pérdida de operatividad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. </w:t>
      </w:r>
    </w:p>
    <w:p>
      <w:pPr>
        <w:autoSpaceDN w:val="0"/>
        <w:autoSpaceDE w:val="0"/>
        <w:widowControl/>
        <w:spacing w:line="236" w:lineRule="exact" w:before="274" w:after="214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El proyecto de migración HOST se inició el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12 de septiembre de 2019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y se estructuró en dos fases: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124"/>
        <w:gridCol w:w="5124"/>
      </w:tblGrid>
      <w:tr>
        <w:trPr>
          <w:trHeight w:hRule="exact" w:val="59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144" w:right="11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8" w:after="0"/>
              <w:ind w:left="144" w:right="1152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Fase I – Migración técnica: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de septiembre de 2019 a julio de 2020.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Fase II – Soporte y cierre definitivo: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de julio a diciembre de 2020. </w:t>
            </w:r>
          </w:p>
        </w:tc>
      </w:tr>
    </w:tbl>
    <w:p>
      <w:pPr>
        <w:autoSpaceDN w:val="0"/>
        <w:autoSpaceDE w:val="0"/>
        <w:pStyle w:val="Heading1"/>
        <w:widowControl/>
        <w:spacing w:line="236" w:lineRule="exact" w:before="214" w:after="212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Objetivos del proyecto: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124"/>
        <w:gridCol w:w="5124"/>
      </w:tblGrid>
      <w:tr>
        <w:trPr>
          <w:trHeight w:hRule="exact" w:val="1068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2" w:after="0"/>
              <w:ind w:left="238" w:right="114" w:firstLine="0"/>
              <w:jc w:val="both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Eliminar el sistema HOST (z/OS + DB2 + VSAM).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Garantizar la continuidad operativa en Necor@NET y PRYC. </w:t>
            </w:r>
          </w:p>
          <w:p>
            <w:pPr>
              <w:autoSpaceDN w:val="0"/>
              <w:autoSpaceDE w:val="0"/>
              <w:widowControl/>
              <w:spacing w:line="234" w:lineRule="exact" w:before="2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Mantener los interfaces activos con clientes externos. </w:t>
            </w:r>
          </w:p>
          <w:p>
            <w:pPr>
              <w:autoSpaceDN w:val="0"/>
              <w:autoSpaceDE w:val="0"/>
              <w:widowControl/>
              <w:spacing w:line="234" w:lineRule="exact" w:before="4" w:after="0"/>
              <w:ind w:left="0" w:right="0" w:firstLine="0"/>
              <w:jc w:val="center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Migrar la información documental y estructural a un entorno soportado (SQL Server 2017). </w:t>
            </w:r>
          </w:p>
        </w:tc>
      </w:tr>
    </w:tbl>
    <w:p>
      <w:pPr>
        <w:autoSpaceDN w:val="0"/>
        <w:autoSpaceDE w:val="0"/>
        <w:pStyle w:val="Heading1"/>
        <w:widowControl/>
        <w:spacing w:line="236" w:lineRule="exact" w:before="212" w:after="212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Logros y aspectos técnicos: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124"/>
        <w:gridCol w:w="5124"/>
      </w:tblGrid>
      <w:tr>
        <w:trPr>
          <w:trHeight w:hRule="exact" w:val="130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2" w:after="0"/>
              <w:ind w:left="238" w:right="114" w:firstLine="0"/>
              <w:jc w:val="both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Más de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30 tablas y 4 ficheros VSAM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migrados utilizando IBM DataUnload.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Pruebas de carga realizadas en el entorno staging (FESRV053) y New PRYC. </w:t>
            </w:r>
          </w:p>
          <w:p>
            <w:pPr>
              <w:autoSpaceDN w:val="0"/>
              <w:autoSpaceDE w:val="0"/>
              <w:widowControl/>
              <w:spacing w:line="234" w:lineRule="exact" w:before="2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Validación funcional con la obra 7564 (Turbinas) como proyecto piloto. </w:t>
            </w:r>
          </w:p>
          <w:p>
            <w:pPr>
              <w:autoSpaceDN w:val="0"/>
              <w:autoSpaceDE w:val="0"/>
              <w:widowControl/>
              <w:spacing w:line="236" w:lineRule="exact" w:before="2" w:after="0"/>
              <w:ind w:left="148" w:right="144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Generación de documentación de procesos y reglas de negocio aplicadas a interfaces AWD.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Integración de cargas documentales desde Windchill. </w:t>
            </w:r>
          </w:p>
        </w:tc>
      </w:tr>
    </w:tbl>
    <w:p>
      <w:pPr>
        <w:autoSpaceDN w:val="0"/>
        <w:autoSpaceDE w:val="0"/>
        <w:pStyle w:val="Heading1"/>
        <w:widowControl/>
        <w:spacing w:line="234" w:lineRule="exact" w:before="212" w:after="216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Riesgos abordados: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124"/>
        <w:gridCol w:w="5124"/>
      </w:tblGrid>
      <w:tr>
        <w:trPr>
          <w:trHeight w:hRule="exact" w:val="59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144" w:right="11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2" w:after="0"/>
              <w:ind w:left="148" w:right="216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No disponibilidad del entorno HOST de desarrollo.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Falta de programas COBOL (por ejemplo, PE46FV). </w:t>
            </w:r>
          </w:p>
        </w:tc>
      </w:tr>
    </w:tbl>
    <w:p>
      <w:pPr>
        <w:autoSpaceDN w:val="0"/>
        <w:autoSpaceDE w:val="0"/>
        <w:widowControl/>
        <w:spacing w:line="206" w:lineRule="exact" w:before="692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11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3"/>
        <w:gridCol w:w="3393"/>
        <w:gridCol w:w="3393"/>
      </w:tblGrid>
      <w:tr>
        <w:trPr>
          <w:trHeight w:hRule="exact" w:val="1634"/>
        </w:trPr>
        <w:tc>
          <w:tcPr>
            <w:tcW w:type="dxa" w:w="4142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  <w:tr>
        <w:trPr>
          <w:trHeight w:hRule="exact" w:val="548"/>
        </w:trPr>
        <w:tc>
          <w:tcPr>
            <w:tcW w:type="dxa" w:w="64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6" w:after="0"/>
              <w:ind w:left="0" w:right="11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440"/>
            <w:gridSpan w:val="2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6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Ausencia de estimación de tamaños de bases de datos debido a retrasos con VSAM. </w:t>
            </w:r>
          </w:p>
        </w:tc>
      </w:tr>
      <w:tr>
        <w:trPr>
          <w:trHeight w:hRule="exact" w:val="238"/>
        </w:trPr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1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Problemas de permisos y catálogo con IBM. </w:t>
            </w:r>
          </w:p>
        </w:tc>
      </w:tr>
      <w:tr>
        <w:trPr>
          <w:trHeight w:hRule="exact" w:val="296"/>
        </w:trPr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11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Recursos técnicos limitados (servidores, estaciones de trabajo, permisos). </w:t>
            </w:r>
          </w:p>
        </w:tc>
      </w:tr>
    </w:tbl>
    <w:p>
      <w:pPr>
        <w:autoSpaceDN w:val="0"/>
        <w:autoSpaceDE w:val="0"/>
        <w:pStyle w:val="Heading1"/>
        <w:widowControl/>
        <w:spacing w:line="236" w:lineRule="exact" w:before="212" w:after="0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Participantes clave:</w:t>
      </w:r>
    </w:p>
    <w:p>
      <w:pPr>
        <w:autoSpaceDN w:val="0"/>
        <w:tabs>
          <w:tab w:pos="4836" w:val="left"/>
        </w:tabs>
        <w:autoSpaceDE w:val="0"/>
        <w:pStyle w:val="Heading1"/>
        <w:widowControl/>
        <w:spacing w:line="236" w:lineRule="exact" w:before="318" w:after="0"/>
        <w:ind w:left="104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 xml:space="preserve">Área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 xml:space="preserve">Personal asignado </w:t>
      </w:r>
    </w:p>
    <w:p>
      <w:pPr>
        <w:autoSpaceDN w:val="0"/>
        <w:autoSpaceDE w:val="0"/>
        <w:widowControl/>
        <w:spacing w:line="234" w:lineRule="exact" w:before="58" w:after="0"/>
        <w:ind w:left="132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>Migración de datos DB2 Navantia: F. Amor, A. Rodríguez · Altia: J.R. Tubío, D. Vega, J. Díaz</w:t>
      </w:r>
    </w:p>
    <w:p>
      <w:pPr>
        <w:autoSpaceDN w:val="0"/>
        <w:tabs>
          <w:tab w:pos="2512" w:val="left"/>
        </w:tabs>
        <w:autoSpaceDE w:val="0"/>
        <w:widowControl/>
        <w:spacing w:line="236" w:lineRule="exact" w:before="60" w:after="0"/>
        <w:ind w:left="132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Interfaces Externos </w:t>
      </w:r>
      <w:r>
        <w:tab/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Navantia: Y. Castiñeira, F. Bordello · Altia: mismos </w:t>
      </w:r>
    </w:p>
    <w:p>
      <w:pPr>
        <w:autoSpaceDN w:val="0"/>
        <w:tabs>
          <w:tab w:pos="2512" w:val="left"/>
        </w:tabs>
        <w:autoSpaceDE w:val="0"/>
        <w:widowControl/>
        <w:spacing w:line="236" w:lineRule="exact" w:before="60" w:after="0"/>
        <w:ind w:left="132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Obra de Turbinas </w:t>
      </w:r>
      <w:r>
        <w:tab/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Navantia: F. Bordello · Altia: D. Vega </w:t>
      </w:r>
    </w:p>
    <w:p>
      <w:pPr>
        <w:autoSpaceDN w:val="0"/>
        <w:autoSpaceDE w:val="0"/>
        <w:pStyle w:val="Heading1"/>
        <w:widowControl/>
        <w:spacing w:line="236" w:lineRule="exact" w:before="316" w:after="212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Fechas clave: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090"/>
        <w:gridCol w:w="5090"/>
      </w:tblGrid>
      <w:tr>
        <w:trPr>
          <w:trHeight w:hRule="exact" w:val="83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38" w:right="114" w:firstLine="0"/>
              <w:jc w:val="both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14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Fin de migración técnica: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15 de julio de 2020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48" w:right="1872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Cierre del entorno HOST: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31 de diciembre de 2020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.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Desactivación de IBM y licencias: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Q4 2020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40" w:lineRule="auto" w:before="206" w:after="0"/>
        <w:ind w:left="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45150" cy="12471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124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6" w:lineRule="exact" w:before="5118" w:after="0"/>
        <w:ind w:left="0" w:right="1636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12 </w:t>
      </w:r>
    </w:p>
    <w:p>
      <w:pPr>
        <w:sectPr>
          <w:pgSz w:w="11906" w:h="16838"/>
          <w:pgMar w:top="764" w:right="848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6"/>
        <w:gridCol w:w="3416"/>
        <w:gridCol w:w="3416"/>
      </w:tblGrid>
      <w:tr>
        <w:trPr>
          <w:trHeight w:hRule="exact" w:val="1634"/>
        </w:trPr>
        <w:tc>
          <w:tcPr>
            <w:tcW w:type="dxa" w:w="4142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  <w:tr>
        <w:trPr>
          <w:trHeight w:hRule="exact" w:val="658"/>
        </w:trPr>
        <w:tc>
          <w:tcPr>
            <w:tcW w:type="dxa" w:w="90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0" w:after="0"/>
              <w:ind w:left="90" w:right="0" w:firstLine="0"/>
              <w:jc w:val="left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3.1.5.</w:t>
            </w:r>
          </w:p>
        </w:tc>
        <w:tc>
          <w:tcPr>
            <w:tcW w:type="dxa" w:w="9220"/>
            <w:gridSpan w:val="2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8" w:after="0"/>
              <w:ind w:left="28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>Interfaces SSIS en entorno HOST consolidado (AWD/ALHD)</w:t>
            </w:r>
          </w:p>
        </w:tc>
      </w:tr>
    </w:tbl>
    <w:p>
      <w:pPr>
        <w:autoSpaceDN w:val="0"/>
        <w:autoSpaceDE w:val="0"/>
        <w:widowControl/>
        <w:spacing w:line="234" w:lineRule="exact" w:before="354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En el marco del proyecto de migración del entorno HOST, se definieron y desplegaron múltiples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paquetes SSIS bajo la codificación INTERFACES_AWD_ALHD_SSIS. Estos paquetes están orientados a </w:t>
      </w:r>
    </w:p>
    <w:p>
      <w:pPr>
        <w:autoSpaceDN w:val="0"/>
        <w:autoSpaceDE w:val="0"/>
        <w:widowControl/>
        <w:spacing w:line="234" w:lineRule="exact" w:before="120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la integración y consolidación de datos técnicos, documentos y órdenes asociadas a los sistemas </w:t>
      </w:r>
    </w:p>
    <w:p>
      <w:pPr>
        <w:autoSpaceDN w:val="0"/>
        <w:autoSpaceDE w:val="0"/>
        <w:widowControl/>
        <w:spacing w:line="236" w:lineRule="exact" w:before="122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heredados, facilitando la automatización de tareas críticas. </w:t>
      </w:r>
    </w:p>
    <w:p>
      <w:pPr>
        <w:autoSpaceDN w:val="0"/>
        <w:autoSpaceDE w:val="0"/>
        <w:widowControl/>
        <w:spacing w:line="274" w:lineRule="exact" w:before="392" w:after="0"/>
        <w:ind w:left="1058" w:right="0" w:firstLine="0"/>
        <w:jc w:val="left"/>
      </w:pPr>
      <w:r>
        <w:rPr>
          <w:w w:val="102.05118279708059"/>
          <w:rFonts w:ascii="CIDFont+F14" w:hAnsi="CIDFont+F14" w:eastAsia="CIDFont+F14"/>
          <w:b w:val="0"/>
          <w:i w:val="0"/>
          <w:color w:val="000000"/>
          <w:sz w:val="19"/>
        </w:rPr>
        <w:t>(a)</w:t>
      </w:r>
      <w:r>
        <w:rPr>
          <w:w w:val="102.05118279708059"/>
          <w:rFonts w:ascii="CIDFont+F14" w:hAnsi="CIDFont+F14" w:eastAsia="CIDFont+F14"/>
          <w:b w:val="0"/>
          <w:i w:val="0"/>
          <w:color w:val="000000"/>
          <w:sz w:val="19"/>
        </w:rPr>
        <w:t xml:space="preserve">Funciones de los Paquetes SSIS </w:t>
      </w:r>
    </w:p>
    <w:p>
      <w:pPr>
        <w:autoSpaceDN w:val="0"/>
        <w:autoSpaceDE w:val="0"/>
        <w:widowControl/>
        <w:spacing w:line="236" w:lineRule="exact" w:before="272" w:after="33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Los paquetes SSIS permiten la automatización de las siguientes tareas críticas: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124"/>
        <w:gridCol w:w="5124"/>
      </w:tblGrid>
      <w:tr>
        <w:trPr>
          <w:trHeight w:hRule="exact" w:val="242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238" w:right="114" w:firstLine="0"/>
              <w:jc w:val="both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  <w:p>
            <w:pPr>
              <w:autoSpaceDN w:val="0"/>
              <w:autoSpaceDE w:val="0"/>
              <w:widowControl/>
              <w:spacing w:line="472" w:lineRule="exact" w:before="236" w:after="0"/>
              <w:ind w:left="144" w:right="11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14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Extracción y limpieza de datos: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Utilizando paquetes como _AtributosConfig.dtsx y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_LimpiarLogs.dtsx, se asegura la integridad y calidad de los datos extraídos.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48" w:right="0" w:firstLine="0"/>
              <w:jc w:val="both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Actualización de estados en tablas funcionales: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El paquete _StatusDeleted.dtsx gestiona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la actualización de estados, asegurando que las tablas reflejen el estado actual de los registros.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Consolidación de documentos técnicos: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Paquetes como Documentos_tecnicos_*.dtsx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consolidan documentos técnicos, garantizando que toda la información relevante esté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centralizada y accesible.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4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Gestión documental completa: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Los paquetes Gestion_Documental_*.dtsx abarcan revisiones,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anexos, secciones y ficheros, proporcionando una gestión integral de los documentos.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Interfaces con MEL y materiales: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Los paquetes MEL_LME_*.dtsx facilitan la integración con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2"/>
        <w:ind w:left="7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sistemas de materiales, asegurando que los datos estén alineados con los requerimientos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técnicos.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124"/>
        <w:gridCol w:w="5124"/>
      </w:tblGrid>
      <w:tr>
        <w:trPr>
          <w:trHeight w:hRule="exact" w:val="768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1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48" w:right="0" w:firstLine="0"/>
              <w:jc w:val="both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Interfaces con el entorno EEA5: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Paquetes como EEA5.dtsx y EEA5_DB2.dtsx permiten la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comunicación y sincronización con el entorno EEA5, asegurando que los datos sean consistentes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y actualizados. </w:t>
            </w:r>
          </w:p>
        </w:tc>
      </w:tr>
    </w:tbl>
    <w:p>
      <w:pPr>
        <w:autoSpaceDN w:val="0"/>
        <w:autoSpaceDE w:val="0"/>
        <w:widowControl/>
        <w:spacing w:line="274" w:lineRule="exact" w:before="214" w:after="0"/>
        <w:ind w:left="1058" w:right="0" w:firstLine="0"/>
        <w:jc w:val="left"/>
      </w:pPr>
      <w:r>
        <w:rPr>
          <w:w w:val="102.05118279708059"/>
          <w:rFonts w:ascii="CIDFont+F14" w:hAnsi="CIDFont+F14" w:eastAsia="CIDFont+F14"/>
          <w:b w:val="0"/>
          <w:i w:val="0"/>
          <w:color w:val="000000"/>
          <w:sz w:val="19"/>
        </w:rPr>
        <w:t>(b)</w:t>
      </w:r>
      <w:r>
        <w:rPr>
          <w:w w:val="102.05118279708059"/>
          <w:rFonts w:ascii="CIDFont+F14" w:hAnsi="CIDFont+F14" w:eastAsia="CIDFont+F14"/>
          <w:b w:val="0"/>
          <w:i w:val="0"/>
          <w:color w:val="000000"/>
          <w:sz w:val="19"/>
        </w:rPr>
        <w:t xml:space="preserve">Características Técnicas </w:t>
      </w:r>
    </w:p>
    <w:p>
      <w:pPr>
        <w:autoSpaceDN w:val="0"/>
        <w:autoSpaceDE w:val="0"/>
        <w:widowControl/>
        <w:spacing w:line="234" w:lineRule="exact" w:before="276" w:after="332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Los scripts SSIS incluyen lógica avanzada para: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124"/>
        <w:gridCol w:w="5124"/>
      </w:tblGrid>
      <w:tr>
        <w:trPr>
          <w:trHeight w:hRule="exact" w:val="201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238" w:right="114" w:firstLine="0"/>
              <w:jc w:val="both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8" w:after="0"/>
              <w:ind w:left="14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Detección de registros huérfanos: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Identificación y manejo de registros que no tienen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correspondencia en otras tablas, asegurando la integridad referencial. 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4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Actualizaciones incrementales: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Implementación de actualizaciones que solo afectan a los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registros modificados, optimizando el rendimiento y reduciendo la carga del sistema.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4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Verificación de consistencia: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Uso de checksum para asegurar que los campos clave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mantienen su consistencia, evitando discrepancias en los datos. 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4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Limpieza de registros obsoletos: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Eliminación de registros con estado status = 'DELETED',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asegurando que la base de datos no acumule información innecesaria. </w:t>
            </w:r>
          </w:p>
        </w:tc>
      </w:tr>
    </w:tbl>
    <w:p>
      <w:pPr>
        <w:autoSpaceDN w:val="0"/>
        <w:autoSpaceDE w:val="0"/>
        <w:widowControl/>
        <w:spacing w:line="206" w:lineRule="exact" w:before="1028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13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4"/>
        <w:gridCol w:w="5124"/>
      </w:tblGrid>
      <w:tr>
        <w:trPr>
          <w:trHeight w:hRule="exact" w:val="1634"/>
        </w:trPr>
        <w:tc>
          <w:tcPr>
            <w:tcW w:type="dxa" w:w="414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</w:tbl>
    <w:p>
      <w:pPr>
        <w:autoSpaceDN w:val="0"/>
        <w:autoSpaceDE w:val="0"/>
        <w:widowControl/>
        <w:spacing w:line="356" w:lineRule="exact" w:before="190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Además, se emplea el objeto UpdateNotice como mecanismo de auditoría de ejecución para los procesos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de carga diarios, proporcionando un registro detallado de las operaciones realizadas y facilitando el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>seguimiento y control de las mismas.</w:t>
      </w:r>
    </w:p>
    <w:p>
      <w:pPr>
        <w:autoSpaceDN w:val="0"/>
        <w:tabs>
          <w:tab w:pos="1190" w:val="left"/>
        </w:tabs>
        <w:autoSpaceDE w:val="0"/>
        <w:pStyle w:val="Heading1"/>
        <w:widowControl/>
        <w:spacing w:line="282" w:lineRule="exact" w:before="1742" w:after="0"/>
        <w:ind w:left="90" w:right="0" w:firstLine="0"/>
        <w:jc w:val="left"/>
      </w:pPr>
      <w:r>
        <w:rPr>
          <w:w w:val="101.57046940015711"/>
          <w:rFonts w:ascii="CIDFont+F5" w:hAnsi="CIDFont+F5" w:eastAsia="CIDFont+F5"/>
          <w:b/>
          <w:i w:val="0"/>
          <w:color w:val="000000"/>
          <w:sz w:val="23"/>
        </w:rPr>
        <w:t xml:space="preserve">3.2. </w:t>
      </w:r>
      <w:r>
        <w:tab/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 xml:space="preserve">MASQL20142\SQL20142 – (MASQL20222) </w:t>
      </w:r>
    </w:p>
    <w:p>
      <w:pPr>
        <w:autoSpaceDN w:val="0"/>
        <w:autoSpaceDE w:val="0"/>
        <w:widowControl/>
        <w:spacing w:line="356" w:lineRule="exact" w:before="138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Instancia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SQL Server 2014 SP3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que sostiene el núcleo histórico de </w:t>
      </w:r>
      <w:r>
        <w:rPr>
          <w:w w:val="102.05118279708059"/>
          <w:rFonts w:ascii="CIDFont+F15" w:hAnsi="CIDFont+F15" w:eastAsia="CIDFont+F15"/>
          <w:b w:val="0"/>
          <w:i/>
          <w:color w:val="000000"/>
          <w:sz w:val="19"/>
        </w:rPr>
        <w:t>Necor@NC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. Aunque se planificó su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retirada junto con el resto de plataformas </w:t>
      </w:r>
      <w:r>
        <w:rPr>
          <w:w w:val="102.05118279708059"/>
          <w:rFonts w:ascii="CIDFont+F15" w:hAnsi="CIDFont+F15" w:eastAsia="CIDFont+F15"/>
          <w:b w:val="0"/>
          <w:i/>
          <w:color w:val="000000"/>
          <w:sz w:val="19"/>
        </w:rPr>
        <w:t>legacy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, continúa en producción porque varios módulos de ingeniería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siguen dependiendo de esquemas y rutinas específicas que aún no se han portado a versiones superiores. </w:t>
      </w:r>
    </w:p>
    <w:p>
      <w:pPr>
        <w:autoSpaceDN w:val="0"/>
        <w:tabs>
          <w:tab w:pos="1190" w:val="left"/>
        </w:tabs>
        <w:autoSpaceDE w:val="0"/>
        <w:widowControl/>
        <w:spacing w:line="286" w:lineRule="exact" w:before="580" w:after="0"/>
        <w:ind w:left="90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000000"/>
          <w:sz w:val="23"/>
        </w:rPr>
        <w:t xml:space="preserve">3.2.1. </w:t>
      </w:r>
      <w:r>
        <w:tab/>
      </w:r>
      <w:r>
        <w:rPr>
          <w:w w:val="101.57046940015711"/>
          <w:rFonts w:ascii="CIDFont+F4" w:hAnsi="CIDFont+F4" w:eastAsia="CIDFont+F4"/>
          <w:b w:val="0"/>
          <w:i w:val="0"/>
          <w:color w:val="000000"/>
          <w:sz w:val="23"/>
        </w:rPr>
        <w:t xml:space="preserve">Características generales </w:t>
      </w:r>
    </w:p>
    <w:p>
      <w:pPr>
        <w:autoSpaceDN w:val="0"/>
        <w:autoSpaceDE w:val="0"/>
        <w:pStyle w:val="Heading1"/>
        <w:widowControl/>
        <w:spacing w:line="234" w:lineRule="exact" w:before="496" w:after="0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Rol: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Plataforma Necor@NC (entorno legado). </w:t>
      </w:r>
    </w:p>
    <w:p>
      <w:pPr>
        <w:autoSpaceDN w:val="0"/>
        <w:autoSpaceDE w:val="0"/>
        <w:pStyle w:val="Heading1"/>
        <w:widowControl/>
        <w:spacing w:line="236" w:lineRule="exact" w:before="0" w:after="0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Versión: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SQL Server 2014 SP3. </w:t>
      </w:r>
    </w:p>
    <w:p>
      <w:pPr>
        <w:autoSpaceDN w:val="0"/>
        <w:autoSpaceDE w:val="0"/>
        <w:pStyle w:val="Heading1"/>
        <w:widowControl/>
        <w:spacing w:line="236" w:lineRule="exact" w:before="2" w:after="0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Bases de datos: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Necor@NC. </w:t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Conexiones entrantes: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ECADAT, SAP (vía interfaces HojasCatálogo). </w:t>
      </w:r>
    </w:p>
    <w:p>
      <w:pPr>
        <w:autoSpaceDN w:val="0"/>
        <w:autoSpaceDE w:val="0"/>
        <w:pStyle w:val="Heading1"/>
        <w:widowControl/>
        <w:spacing w:line="236" w:lineRule="exact" w:before="2" w:after="0"/>
        <w:ind w:left="90" w:right="0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Conexiones salientes: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HOSTDB2 y NECORANET para consolidación. </w:t>
      </w:r>
    </w:p>
    <w:p>
      <w:pPr>
        <w:autoSpaceDN w:val="0"/>
        <w:autoSpaceDE w:val="0"/>
        <w:widowControl/>
        <w:spacing w:line="236" w:lineRule="exact" w:before="2" w:after="0"/>
        <w:ind w:left="90" w:right="2016" w:firstLine="0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Parámetros relevantes: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Puerto dinámico, sin integración AD, collation por defecto.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Cambios recientes: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— Información no disponible. </w:t>
      </w:r>
    </w:p>
    <w:p>
      <w:pPr>
        <w:autoSpaceDN w:val="0"/>
        <w:tabs>
          <w:tab w:pos="1190" w:val="left"/>
        </w:tabs>
        <w:autoSpaceDE w:val="0"/>
        <w:widowControl/>
        <w:spacing w:line="286" w:lineRule="exact" w:before="202" w:after="0"/>
        <w:ind w:left="90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000000"/>
          <w:sz w:val="23"/>
        </w:rPr>
        <w:t xml:space="preserve">3.2.2. </w:t>
      </w:r>
      <w:r>
        <w:tab/>
      </w:r>
      <w:r>
        <w:rPr>
          <w:w w:val="101.57046940015711"/>
          <w:rFonts w:ascii="CIDFont+F4" w:hAnsi="CIDFont+F4" w:eastAsia="CIDFont+F4"/>
          <w:b w:val="0"/>
          <w:i w:val="0"/>
          <w:color w:val="000000"/>
          <w:sz w:val="23"/>
        </w:rPr>
        <w:t>Contexto y dependencias</w:t>
      </w:r>
    </w:p>
    <w:p>
      <w:pPr>
        <w:autoSpaceDN w:val="0"/>
        <w:autoSpaceDE w:val="0"/>
        <w:widowControl/>
        <w:spacing w:line="258" w:lineRule="exact" w:before="422" w:after="0"/>
        <w:ind w:left="0" w:right="0" w:firstLine="0"/>
        <w:jc w:val="center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La instancia alberga exclusivamente la base de datos </w:t>
      </w:r>
      <w:r>
        <w:rPr>
          <w:w w:val="97.33870824178061"/>
          <w:rFonts w:ascii="CIDFont+F16" w:hAnsi="CIDFont+F16" w:eastAsia="CIDFont+F16"/>
          <w:b w:val="0"/>
          <w:i w:val="0"/>
          <w:color w:val="000000"/>
          <w:sz w:val="18"/>
        </w:rPr>
        <w:t>Necor@NC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, empleada por los módulos de ingeniería y </w:t>
      </w:r>
    </w:p>
    <w:p>
      <w:pPr>
        <w:autoSpaceDN w:val="0"/>
        <w:autoSpaceDE w:val="0"/>
        <w:widowControl/>
        <w:spacing w:line="260" w:lineRule="exact" w:before="144" w:after="0"/>
        <w:ind w:left="0" w:right="0" w:firstLine="0"/>
        <w:jc w:val="center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aplicaciones internas como ECADAT. Su integración con SAP se limita a las operaciones de catálogo de </w:t>
      </w:r>
    </w:p>
    <w:p>
      <w:pPr>
        <w:autoSpaceDN w:val="0"/>
        <w:autoSpaceDE w:val="0"/>
        <w:widowControl/>
        <w:spacing w:line="258" w:lineRule="exact" w:before="142" w:after="0"/>
        <w:ind w:left="0" w:right="0" w:firstLine="0"/>
        <w:jc w:val="center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materiales mediante </w:t>
      </w:r>
      <w:r>
        <w:rPr>
          <w:w w:val="97.33870824178061"/>
          <w:rFonts w:ascii="CIDFont+F16" w:hAnsi="CIDFont+F16" w:eastAsia="CIDFont+F16"/>
          <w:b w:val="0"/>
          <w:i w:val="0"/>
          <w:color w:val="000000"/>
          <w:sz w:val="18"/>
        </w:rPr>
        <w:t>HojasCatálogo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. Los enlaces externos son reducidos; la transferencia principal se dirige a </w:t>
      </w:r>
    </w:p>
    <w:p>
      <w:pPr>
        <w:autoSpaceDN w:val="0"/>
        <w:autoSpaceDE w:val="0"/>
        <w:pStyle w:val="Heading1"/>
        <w:widowControl/>
        <w:spacing w:line="258" w:lineRule="exact" w:before="148" w:after="0"/>
        <w:ind w:left="90" w:right="0" w:firstLine="0"/>
        <w:jc w:val="left"/>
      </w:pPr>
      <w:r>
        <w:rPr>
          <w:w w:val="101.57046940015711"/>
          <w:rFonts w:ascii="CIDFont+F8" w:hAnsi="CIDFont+F8" w:eastAsia="CIDFont+F8"/>
          <w:b/>
          <w:i w:val="0"/>
          <w:color w:val="000000"/>
          <w:sz w:val="23"/>
        </w:rPr>
        <w:t>NECORANET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 para consolidación de datos. </w:t>
      </w:r>
    </w:p>
    <w:p>
      <w:pPr>
        <w:autoSpaceDN w:val="0"/>
        <w:autoSpaceDE w:val="0"/>
        <w:widowControl/>
        <w:spacing w:line="206" w:lineRule="exact" w:before="1950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14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9"/>
        <w:gridCol w:w="5119"/>
      </w:tblGrid>
      <w:tr>
        <w:trPr>
          <w:trHeight w:hRule="exact" w:val="1634"/>
        </w:trPr>
        <w:tc>
          <w:tcPr>
            <w:tcW w:type="dxa" w:w="414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</w:tbl>
    <w:p>
      <w:pPr>
        <w:autoSpaceDN w:val="0"/>
        <w:autoSpaceDE w:val="0"/>
        <w:widowControl/>
        <w:spacing w:line="404" w:lineRule="exact" w:before="176" w:after="0"/>
        <w:ind w:left="90" w:right="20" w:firstLine="0"/>
        <w:jc w:val="both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Pese a su carácter legacy, la plataforma continúa operativa mientras persistan las dependencias funcionales 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de los módulos de ingeniería. Su retirada definitiva está condicionada a la migración completa de dichos </w:t>
      </w: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esquemas y rutinas a versiones superiores de SQL Server. </w:t>
      </w:r>
    </w:p>
    <w:p>
      <w:pPr>
        <w:autoSpaceDN w:val="0"/>
        <w:autoSpaceDE w:val="0"/>
        <w:widowControl/>
        <w:spacing w:line="206" w:lineRule="exact" w:before="10470" w:after="0"/>
        <w:ind w:left="0" w:right="169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15 </w:t>
      </w:r>
    </w:p>
    <w:p>
      <w:pPr>
        <w:sectPr>
          <w:pgSz w:w="11906" w:h="16838"/>
          <w:pgMar w:top="764" w:right="79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6"/>
        <w:gridCol w:w="3416"/>
        <w:gridCol w:w="3416"/>
      </w:tblGrid>
      <w:tr>
        <w:trPr>
          <w:trHeight w:hRule="exact" w:val="1634"/>
        </w:trPr>
        <w:tc>
          <w:tcPr>
            <w:tcW w:type="dxa" w:w="4142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  <w:tr>
        <w:trPr>
          <w:trHeight w:hRule="exact" w:val="1554"/>
        </w:trPr>
        <w:tc>
          <w:tcPr>
            <w:tcW w:type="dxa" w:w="84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98" w:after="0"/>
              <w:ind w:left="90" w:right="0" w:firstLine="0"/>
              <w:jc w:val="left"/>
            </w:pPr>
            <w:r>
              <w:rPr>
                <w:w w:val="101.57046940015711"/>
                <w:rFonts w:ascii="CIDFont+F5" w:hAnsi="CIDFont+F5" w:eastAsia="CIDFont+F5"/>
                <w:b/>
                <w:i w:val="0"/>
                <w:color w:val="000000"/>
                <w:sz w:val="23"/>
              </w:rPr>
              <w:t>3.3.</w:t>
            </w:r>
          </w:p>
        </w:tc>
        <w:tc>
          <w:tcPr>
            <w:tcW w:type="dxa" w:w="9280"/>
            <w:gridSpan w:val="2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98" w:after="0"/>
              <w:ind w:left="348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/>
                <w:i w:val="0"/>
                <w:color w:val="000000"/>
                <w:sz w:val="23"/>
              </w:rPr>
              <w:t xml:space="preserve">MASQL20142\NECORANET – (MASQL20222) </w:t>
            </w:r>
          </w:p>
        </w:tc>
      </w:tr>
    </w:tbl>
    <w:p>
      <w:pPr>
        <w:autoSpaceDN w:val="0"/>
        <w:autoSpaceDE w:val="0"/>
        <w:widowControl/>
        <w:spacing w:line="236" w:lineRule="exact" w:before="710" w:after="214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Instancia SQL Server 2017 CU22 que funciona como plataforma funcional AWD y capa de informes para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el ecosistema Necor@AWD. Su diseño soporta tanto la gestión documental como los flujos técnicos y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la explotación de datos, con un modelo de trabajo dual que facilita la gestión interna y la distribución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internacional de información.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3416"/>
        <w:gridCol w:w="3416"/>
        <w:gridCol w:w="3416"/>
      </w:tblGrid>
      <w:tr>
        <w:trPr>
          <w:trHeight w:hRule="exact" w:val="263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2" w:after="0"/>
              <w:ind w:left="0" w:right="0" w:firstLine="0"/>
              <w:jc w:val="center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3.3.1.</w:t>
            </w:r>
          </w:p>
          <w:p>
            <w:pPr>
              <w:autoSpaceDN w:val="0"/>
              <w:autoSpaceDE w:val="0"/>
              <w:widowControl/>
              <w:spacing w:line="236" w:lineRule="exact" w:before="416" w:after="0"/>
              <w:ind w:left="398" w:right="154" w:firstLine="0"/>
              <w:jc w:val="both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  <w:p>
            <w:pPr>
              <w:autoSpaceDN w:val="0"/>
              <w:autoSpaceDE w:val="0"/>
              <w:widowControl/>
              <w:spacing w:line="236" w:lineRule="exact" w:before="234" w:after="0"/>
              <w:ind w:left="0" w:right="15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  <w:p>
            <w:pPr>
              <w:autoSpaceDN w:val="0"/>
              <w:autoSpaceDE w:val="0"/>
              <w:widowControl/>
              <w:spacing w:line="274" w:lineRule="exact" w:before="996" w:after="0"/>
              <w:ind w:left="0" w:right="0" w:firstLine="0"/>
              <w:jc w:val="center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3.3.2.</w:t>
            </w:r>
          </w:p>
        </w:tc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Características generales </w:t>
            </w:r>
          </w:p>
          <w:p>
            <w:pPr>
              <w:autoSpaceDN w:val="0"/>
              <w:autoSpaceDE w:val="0"/>
              <w:widowControl/>
              <w:spacing w:line="236" w:lineRule="exact" w:before="416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Rol: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Plataforma funcional AWD y capa de informes.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Versión: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SQL Server 2017 CU22. </w:t>
            </w:r>
          </w:p>
          <w:p>
            <w:pPr>
              <w:autoSpaceDN w:val="0"/>
              <w:autoSpaceDE w:val="0"/>
              <w:widowControl/>
              <w:spacing w:line="236" w:lineRule="exact" w:before="2" w:after="0"/>
              <w:ind w:left="108" w:right="288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Bases de datos: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Necor@AWD, InterfacesAWD_PEC, NAI_InterfacesAWD, NecoraDocAWD.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Conexiones entrantes: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SQL20142, HOSTDB2, PDB, usuarios BO.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Conexiones salientes: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SQLTURK, SQLNORWAY, ReportServer. </w:t>
            </w:r>
          </w:p>
          <w:p>
            <w:pPr>
              <w:autoSpaceDN w:val="0"/>
              <w:autoSpaceDE w:val="0"/>
              <w:widowControl/>
              <w:spacing w:line="236" w:lineRule="exact" w:before="4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Parámetros relevantes: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Memoria fija asignada (32 GB), estadísticas automáticas activadas,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jobs de mantenimiento semanales.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Cambios recientes:</w:t>
            </w:r>
          </w:p>
        </w:tc>
      </w:tr>
      <w:tr>
        <w:trPr>
          <w:trHeight w:hRule="exact" w:val="260"/>
        </w:trPr>
        <w:tc>
          <w:tcPr>
            <w:tcW w:type="dxa" w:w="341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106" w:firstLine="0"/>
              <w:jc w:val="right"/>
            </w:pPr>
            <w:r>
              <w:rPr>
                <w:w w:val="102.05118279708059"/>
                <w:rFonts w:ascii="CIDFont+F10" w:hAnsi="CIDFont+F10" w:eastAsia="CIDFont+F10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" w:after="0"/>
              <w:ind w:left="12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Optimización de vistas y reestructuración de Interfaces PEC (junio–julio 2020). </w:t>
            </w:r>
          </w:p>
        </w:tc>
      </w:tr>
      <w:tr>
        <w:trPr>
          <w:trHeight w:hRule="exact" w:val="238"/>
        </w:trPr>
        <w:tc>
          <w:tcPr>
            <w:tcW w:type="dxa" w:w="341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106" w:firstLine="0"/>
              <w:jc w:val="right"/>
            </w:pPr>
            <w:r>
              <w:rPr>
                <w:w w:val="102.05118279708059"/>
                <w:rFonts w:ascii="CIDFont+F10" w:hAnsi="CIDFont+F10" w:eastAsia="CIDFont+F10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2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Implantación de auditoría interna mediante tabla log _Audit_Changes. </w:t>
            </w:r>
          </w:p>
        </w:tc>
      </w:tr>
      <w:tr>
        <w:trPr>
          <w:trHeight w:hRule="exact" w:val="362"/>
        </w:trPr>
        <w:tc>
          <w:tcPr>
            <w:tcW w:type="dxa" w:w="341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106" w:firstLine="0"/>
              <w:jc w:val="right"/>
            </w:pPr>
            <w:r>
              <w:rPr>
                <w:w w:val="102.05118279708059"/>
                <w:rFonts w:ascii="CIDFont+F10" w:hAnsi="CIDFont+F10" w:eastAsia="CIDFont+F10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2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Normalización de estructuras para compatibilidad internacional. </w:t>
            </w:r>
          </w:p>
        </w:tc>
      </w:tr>
      <w:tr>
        <w:trPr>
          <w:trHeight w:hRule="exact" w:val="486"/>
        </w:trPr>
        <w:tc>
          <w:tcPr>
            <w:tcW w:type="dxa" w:w="3416"/>
            <w:vMerge/>
            <w:tcBorders/>
          </w:tcPr>
          <w:p/>
        </w:tc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0" w:after="0"/>
              <w:ind w:left="5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Contexto y dependencias </w:t>
            </w:r>
          </w:p>
        </w:tc>
      </w:tr>
    </w:tbl>
    <w:p>
      <w:pPr>
        <w:autoSpaceDN w:val="0"/>
        <w:autoSpaceDE w:val="0"/>
        <w:widowControl/>
        <w:spacing w:line="236" w:lineRule="exact" w:before="350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Esta instancia se emplea principalmente para la gestión y explotación funcional dentro del entorno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Necor@AWD, cubriendo diversos ámbitos: gestión documental (NecoraDocAWD), procesamiento de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flujos técnicos (InterfacesAWD_PEC, NAI_InterfacesAWD) y explotación de datos (Necor@AWD). </w:t>
      </w:r>
    </w:p>
    <w:p>
      <w:pPr>
        <w:autoSpaceDN w:val="0"/>
        <w:autoSpaceDE w:val="0"/>
        <w:widowControl/>
        <w:spacing w:line="238" w:lineRule="exact" w:before="270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Además, aloja el servidor de informes REPORTSERVERSNECORANET, que facilita la publicación de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dashboards y consultas externas. También integra el objeto PDB, que centraliza y consolida información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de múltiples fuentes para su distribución a instancias internacionales. </w:t>
      </w:r>
    </w:p>
    <w:p>
      <w:pPr>
        <w:autoSpaceDN w:val="0"/>
        <w:autoSpaceDE w:val="0"/>
        <w:widowControl/>
        <w:spacing w:line="236" w:lineRule="exact" w:before="272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El modelo operativo se basa en una dualidad entre la gestión interna de datos y la preparación de flujos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estructurados hacia entornos remotos (SQLTURK y SQLNORWAY), a través del objeto PDB que actúa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como puente lógico. Este diseño asegura la coherencia estructural y minimiza el acoplamiento entre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esquemas, facilitando la interoperabilidad con clientes internacionales. </w:t>
      </w:r>
    </w:p>
    <w:p>
      <w:pPr>
        <w:autoSpaceDN w:val="0"/>
        <w:autoSpaceDE w:val="0"/>
        <w:widowControl/>
        <w:spacing w:line="206" w:lineRule="exact" w:before="1188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16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4"/>
        <w:gridCol w:w="5124"/>
      </w:tblGrid>
      <w:tr>
        <w:trPr>
          <w:trHeight w:hRule="exact" w:val="1634"/>
        </w:trPr>
        <w:tc>
          <w:tcPr>
            <w:tcW w:type="dxa" w:w="414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</w:tbl>
    <w:p>
      <w:pPr>
        <w:autoSpaceDN w:val="0"/>
        <w:autoSpaceDE w:val="0"/>
        <w:widowControl/>
        <w:spacing w:line="236" w:lineRule="exact" w:before="310" w:after="214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En 2020 se llevó a cabo un proceso de optimización orientado a mejorar el rendimiento, reorganizando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vistas y creando sinónimos funcionales. Asimismo, se implementó un sistema de auditoría a nivel de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registros para reforzar la trazabilidad.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5124"/>
        <w:gridCol w:w="5124"/>
      </w:tblGrid>
      <w:tr>
        <w:trPr>
          <w:trHeight w:hRule="exact" w:val="53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144" w:right="11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2" w:after="0"/>
              <w:ind w:left="144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InterfacesAWD_PEC: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Utilizada como puente para el traspaso de información entre sistemas.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NAI_InterfacesAWD: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Base de datos intermedia que centraliza datos de origen para su </w:t>
            </w:r>
          </w:p>
        </w:tc>
      </w:tr>
    </w:tbl>
    <w:p>
      <w:pPr>
        <w:autoSpaceDN w:val="0"/>
        <w:autoSpaceDE w:val="0"/>
        <w:widowControl/>
        <w:spacing w:line="234" w:lineRule="exact" w:before="2" w:after="0"/>
        <w:ind w:left="7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derivación hacia instancias externas. </w:t>
      </w:r>
    </w:p>
    <w:p>
      <w:pPr>
        <w:autoSpaceDN w:val="0"/>
        <w:autoSpaceDE w:val="0"/>
        <w:widowControl/>
        <w:spacing w:line="206" w:lineRule="exact" w:before="9852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17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6"/>
        <w:gridCol w:w="3416"/>
        <w:gridCol w:w="3416"/>
      </w:tblGrid>
      <w:tr>
        <w:trPr>
          <w:trHeight w:hRule="exact" w:val="1634"/>
        </w:trPr>
        <w:tc>
          <w:tcPr>
            <w:tcW w:type="dxa" w:w="5462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216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  <w:tr>
        <w:trPr>
          <w:trHeight w:hRule="exact" w:val="654"/>
        </w:trPr>
        <w:tc>
          <w:tcPr>
            <w:tcW w:type="dxa" w:w="84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8" w:after="0"/>
              <w:ind w:left="90" w:right="0" w:firstLine="0"/>
              <w:jc w:val="left"/>
            </w:pPr>
            <w:r>
              <w:rPr>
                <w:w w:val="101.57046940015711"/>
                <w:rFonts w:ascii="CIDFont+F5" w:hAnsi="CIDFont+F5" w:eastAsia="CIDFont+F5"/>
                <w:b/>
                <w:i w:val="0"/>
                <w:color w:val="000000"/>
                <w:sz w:val="23"/>
              </w:rPr>
              <w:t>3.4.</w:t>
            </w:r>
          </w:p>
        </w:tc>
        <w:tc>
          <w:tcPr>
            <w:tcW w:type="dxa" w:w="462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8" w:after="0"/>
              <w:ind w:left="348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/>
                <w:i w:val="0"/>
                <w:color w:val="000000"/>
                <w:sz w:val="23"/>
              </w:rPr>
              <w:t xml:space="preserve">MASQL20221\SQLTURK </w:t>
            </w:r>
          </w:p>
        </w:tc>
        <w:tc>
          <w:tcPr>
            <w:tcW w:type="dxa" w:w="46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6" w:lineRule="exact" w:before="236" w:after="332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Instancia SQL Server 2022 CU8 dedicada a la gestión de contratos específicos para Turquía, operando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de forma autónoma dentro del ecosistema Necor@AWD para garantizar segregación funcional y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geográfica.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3416"/>
        <w:gridCol w:w="3416"/>
        <w:gridCol w:w="3416"/>
      </w:tblGrid>
      <w:tr>
        <w:trPr>
          <w:trHeight w:hRule="exact" w:val="241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4" w:after="0"/>
              <w:ind w:left="0" w:right="0" w:firstLine="0"/>
              <w:jc w:val="center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3.4.1.</w:t>
            </w:r>
          </w:p>
          <w:p>
            <w:pPr>
              <w:autoSpaceDN w:val="0"/>
              <w:autoSpaceDE w:val="0"/>
              <w:widowControl/>
              <w:spacing w:line="236" w:lineRule="exact" w:before="412" w:after="0"/>
              <w:ind w:left="398" w:right="154" w:firstLine="0"/>
              <w:jc w:val="both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  <w:p>
            <w:pPr>
              <w:autoSpaceDN w:val="0"/>
              <w:autoSpaceDE w:val="0"/>
              <w:widowControl/>
              <w:spacing w:line="274" w:lineRule="exact" w:before="996" w:after="0"/>
              <w:ind w:left="0" w:right="0" w:firstLine="0"/>
              <w:jc w:val="center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3.4.2.</w:t>
            </w:r>
          </w:p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Características generales </w:t>
            </w:r>
          </w:p>
          <w:p>
            <w:pPr>
              <w:autoSpaceDN w:val="0"/>
              <w:autoSpaceDE w:val="0"/>
              <w:widowControl/>
              <w:spacing w:line="236" w:lineRule="exact" w:before="414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Rol: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Instancia internacional dedicada a contratos Turquía.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Versión: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SQL Server 2022 CU8. </w:t>
            </w:r>
          </w:p>
          <w:p>
            <w:pPr>
              <w:autoSpaceDN w:val="0"/>
              <w:autoSpaceDE w:val="0"/>
              <w:widowControl/>
              <w:spacing w:line="234" w:lineRule="exact" w:before="4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Bases de datos: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Necor@AWD. </w:t>
            </w:r>
          </w:p>
          <w:p>
            <w:pPr>
              <w:autoSpaceDN w:val="0"/>
              <w:autoSpaceDE w:val="0"/>
              <w:widowControl/>
              <w:spacing w:line="236" w:lineRule="exact" w:before="2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Conexiones entrantes: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Réplicas desde PDB (NECORANET).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Conexiones salientes: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Flujos ETL hacia cliente, reporting específico. </w:t>
            </w:r>
          </w:p>
          <w:p>
            <w:pPr>
              <w:autoSpaceDN w:val="0"/>
              <w:autoSpaceDE w:val="0"/>
              <w:widowControl/>
              <w:spacing w:line="234" w:lineRule="exact" w:before="2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Parámetros relevantes: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Compresión de columnas, alertas personalizadas SQL Agent.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Cambios recientes:</w:t>
            </w:r>
          </w:p>
        </w:tc>
      </w:tr>
      <w:tr>
        <w:trPr>
          <w:trHeight w:hRule="exact" w:val="240"/>
        </w:trPr>
        <w:tc>
          <w:tcPr>
            <w:tcW w:type="dxa" w:w="341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06" w:firstLine="0"/>
              <w:jc w:val="right"/>
            </w:pPr>
            <w:r>
              <w:rPr>
                <w:w w:val="102.05118279708059"/>
                <w:rFonts w:ascii="CIDFont+F10" w:hAnsi="CIDFont+F10" w:eastAsia="CIDFont+F10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" w:after="0"/>
              <w:ind w:left="12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Despliegue inicial y validación funcional completada (2025Q1). </w:t>
            </w:r>
          </w:p>
        </w:tc>
      </w:tr>
      <w:tr>
        <w:trPr>
          <w:trHeight w:hRule="exact" w:val="240"/>
        </w:trPr>
        <w:tc>
          <w:tcPr>
            <w:tcW w:type="dxa" w:w="341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0" w:right="106" w:firstLine="0"/>
              <w:jc w:val="right"/>
            </w:pPr>
            <w:r>
              <w:rPr>
                <w:w w:val="102.05118279708059"/>
                <w:rFonts w:ascii="CIDFont+F10" w:hAnsi="CIDFont+F10" w:eastAsia="CIDFont+F10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Implementación de ETL segregado por región. </w:t>
            </w:r>
          </w:p>
        </w:tc>
      </w:tr>
      <w:tr>
        <w:trPr>
          <w:trHeight w:hRule="exact" w:val="360"/>
        </w:trPr>
        <w:tc>
          <w:tcPr>
            <w:tcW w:type="dxa" w:w="341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106" w:firstLine="0"/>
              <w:jc w:val="right"/>
            </w:pPr>
            <w:r>
              <w:rPr>
                <w:w w:val="102.05118279708059"/>
                <w:rFonts w:ascii="CIDFont+F10" w:hAnsi="CIDFont+F10" w:eastAsia="CIDFont+F10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Control de errores y lógica de CRC en flujos nocturnos. </w:t>
            </w:r>
          </w:p>
        </w:tc>
      </w:tr>
      <w:tr>
        <w:trPr>
          <w:trHeight w:hRule="exact" w:val="494"/>
        </w:trPr>
        <w:tc>
          <w:tcPr>
            <w:tcW w:type="dxa" w:w="3416"/>
            <w:vMerge/>
            <w:tcBorders/>
          </w:tcPr>
          <w:p/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6" w:after="0"/>
              <w:ind w:left="5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Contexto y dependencias </w:t>
            </w:r>
          </w:p>
        </w:tc>
      </w:tr>
    </w:tbl>
    <w:p>
      <w:pPr>
        <w:autoSpaceDN w:val="0"/>
        <w:autoSpaceDE w:val="0"/>
        <w:widowControl/>
        <w:spacing w:line="356" w:lineRule="exact" w:before="230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Esta instancia está destinada exclusivamente a la gestión y explotación de datos relacionados con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contratos de Turquía, integrando su propia copia de Necor@AWD para operar con independencia y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garantizar la seguridad y el aislamiento requerido. </w:t>
      </w:r>
    </w:p>
    <w:p>
      <w:pPr>
        <w:autoSpaceDN w:val="0"/>
        <w:autoSpaceDE w:val="0"/>
        <w:widowControl/>
        <w:spacing w:line="356" w:lineRule="exact" w:before="270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La alimentación de datos se realiza mediante flujos ETL diarios que replican información desde el objeto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PDB alojado en NECORANET. Los procesos incorporan validaciones de integridad basadas en CRC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(Control de Redundancia Cíclica), junto con mecanismos personalizados de trazabilidad y notificación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para la detección y gestión de errores. </w:t>
      </w:r>
    </w:p>
    <w:p>
      <w:pPr>
        <w:autoSpaceDN w:val="0"/>
        <w:autoSpaceDE w:val="0"/>
        <w:widowControl/>
        <w:spacing w:line="358" w:lineRule="exact" w:before="266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El diseño de esta instancia persigue asegurar la segregación funcional y geográfica, respondiendo a los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requerimientos contractuales en materia de aislamiento de datos, soporte técnico y control de accesos. </w:t>
      </w:r>
    </w:p>
    <w:p>
      <w:pPr>
        <w:autoSpaceDN w:val="0"/>
        <w:autoSpaceDE w:val="0"/>
        <w:widowControl/>
        <w:spacing w:line="358" w:lineRule="exact" w:before="266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Actualmente, la base de datos que alimenta el PDB de Turquía está en fase de migración, con vistas al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>apagado progresivo de la instancia legacy MASQL2014\SQLTURK.</w:t>
      </w:r>
    </w:p>
    <w:p>
      <w:pPr>
        <w:autoSpaceDN w:val="0"/>
        <w:autoSpaceDE w:val="0"/>
        <w:widowControl/>
        <w:spacing w:line="206" w:lineRule="exact" w:before="868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18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6"/>
        <w:gridCol w:w="3416"/>
        <w:gridCol w:w="3416"/>
      </w:tblGrid>
      <w:tr>
        <w:trPr>
          <w:trHeight w:hRule="exact" w:val="1634"/>
        </w:trPr>
        <w:tc>
          <w:tcPr>
            <w:tcW w:type="dxa" w:w="5702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192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  <w:tr>
        <w:trPr>
          <w:trHeight w:hRule="exact" w:val="1106"/>
        </w:trPr>
        <w:tc>
          <w:tcPr>
            <w:tcW w:type="dxa" w:w="84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50" w:after="0"/>
              <w:ind w:left="90" w:right="0" w:firstLine="0"/>
              <w:jc w:val="left"/>
            </w:pPr>
            <w:r>
              <w:rPr>
                <w:w w:val="101.57046940015711"/>
                <w:rFonts w:ascii="CIDFont+F5" w:hAnsi="CIDFont+F5" w:eastAsia="CIDFont+F5"/>
                <w:b/>
                <w:i w:val="0"/>
                <w:color w:val="000000"/>
                <w:sz w:val="23"/>
              </w:rPr>
              <w:t>3.5.</w:t>
            </w:r>
          </w:p>
        </w:tc>
        <w:tc>
          <w:tcPr>
            <w:tcW w:type="dxa" w:w="48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48" w:after="0"/>
              <w:ind w:left="348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/>
                <w:i w:val="0"/>
                <w:color w:val="000000"/>
                <w:sz w:val="23"/>
              </w:rPr>
              <w:t xml:space="preserve">MASQL20221\SQLNORWAY </w:t>
            </w:r>
          </w:p>
        </w:tc>
        <w:tc>
          <w:tcPr>
            <w:tcW w:type="dxa" w:w="442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4" w:lineRule="exact" w:before="238" w:after="33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Instancia SQL Server 2022 CU8 orientada a la gestión y soporte de proyectos en Noruega, diseñada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para operar con independencia mediante réplicas desde el PDB general.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3416"/>
        <w:gridCol w:w="3416"/>
        <w:gridCol w:w="3416"/>
      </w:tblGrid>
      <w:tr>
        <w:trPr>
          <w:trHeight w:hRule="exact" w:val="239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4" w:after="0"/>
              <w:ind w:left="0" w:right="0" w:firstLine="0"/>
              <w:jc w:val="center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3.5.1.</w:t>
            </w:r>
          </w:p>
          <w:p>
            <w:pPr>
              <w:autoSpaceDN w:val="0"/>
              <w:autoSpaceDE w:val="0"/>
              <w:widowControl/>
              <w:spacing w:line="236" w:lineRule="exact" w:before="414" w:after="0"/>
              <w:ind w:left="398" w:right="154" w:firstLine="0"/>
              <w:jc w:val="both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  <w:p>
            <w:pPr>
              <w:autoSpaceDN w:val="0"/>
              <w:autoSpaceDE w:val="0"/>
              <w:widowControl/>
              <w:spacing w:line="274" w:lineRule="exact" w:before="1230" w:after="0"/>
              <w:ind w:left="0" w:right="0" w:firstLine="0"/>
              <w:jc w:val="center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3.5.2.</w:t>
            </w:r>
          </w:p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Características generales </w:t>
            </w:r>
          </w:p>
          <w:p>
            <w:pPr>
              <w:autoSpaceDN w:val="0"/>
              <w:autoSpaceDE w:val="0"/>
              <w:widowControl/>
              <w:spacing w:line="236" w:lineRule="exact" w:before="416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Rol: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Instancia internacional para proyectos Noruega.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Versión: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SQL Server 2022 CU8. </w:t>
            </w:r>
          </w:p>
          <w:p>
            <w:pPr>
              <w:autoSpaceDN w:val="0"/>
              <w:autoSpaceDE w:val="0"/>
              <w:widowControl/>
              <w:spacing w:line="234" w:lineRule="exact" w:before="4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Bases de datos: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Necor@AWD. </w:t>
            </w:r>
          </w:p>
          <w:p>
            <w:pPr>
              <w:autoSpaceDN w:val="0"/>
              <w:autoSpaceDE w:val="0"/>
              <w:widowControl/>
              <w:spacing w:line="236" w:lineRule="exact" w:before="2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Conexiones entrantes: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Réplicas desde PDB.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Conexiones salientes: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Power BI Service, validación en Azure VDI.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Parámetros relevantes: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Configuración híbrida con prevalidación CRC y staging.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Cambios recientes:</w:t>
            </w:r>
          </w:p>
        </w:tc>
      </w:tr>
      <w:tr>
        <w:trPr>
          <w:trHeight w:hRule="exact" w:val="260"/>
        </w:trPr>
        <w:tc>
          <w:tcPr>
            <w:tcW w:type="dxa" w:w="341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106" w:firstLine="0"/>
              <w:jc w:val="right"/>
            </w:pPr>
            <w:r>
              <w:rPr>
                <w:w w:val="102.05118279708059"/>
                <w:rFonts w:ascii="CIDFont+F10" w:hAnsi="CIDFont+F10" w:eastAsia="CIDFont+F10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0" w:after="0"/>
              <w:ind w:left="12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Flujo ETL activo desde abril 2024, con carga de 2.1 millones de registros en 35 </w:t>
            </w:r>
          </w:p>
        </w:tc>
      </w:tr>
      <w:tr>
        <w:trPr>
          <w:trHeight w:hRule="exact" w:val="220"/>
        </w:trPr>
        <w:tc>
          <w:tcPr>
            <w:tcW w:type="dxa" w:w="3416"/>
            <w:vMerge/>
            <w:tcBorders/>
          </w:tcPr>
          <w:p/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0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minutos. </w:t>
            </w:r>
          </w:p>
        </w:tc>
      </w:tr>
      <w:tr>
        <w:trPr>
          <w:trHeight w:hRule="exact" w:val="258"/>
        </w:trPr>
        <w:tc>
          <w:tcPr>
            <w:tcW w:type="dxa" w:w="341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106" w:firstLine="0"/>
              <w:jc w:val="right"/>
            </w:pPr>
            <w:r>
              <w:rPr>
                <w:w w:val="102.05118279708059"/>
                <w:rFonts w:ascii="CIDFont+F10" w:hAnsi="CIDFont+F10" w:eastAsia="CIDFont+F10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4" w:after="0"/>
              <w:ind w:left="12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Estrategia de validación cruzada de claves y agrupadores desde Coral. </w:t>
            </w:r>
          </w:p>
        </w:tc>
      </w:tr>
      <w:tr>
        <w:trPr>
          <w:trHeight w:hRule="exact" w:val="362"/>
        </w:trPr>
        <w:tc>
          <w:tcPr>
            <w:tcW w:type="dxa" w:w="341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106" w:firstLine="0"/>
              <w:jc w:val="right"/>
            </w:pPr>
            <w:r>
              <w:rPr>
                <w:w w:val="102.05118279708059"/>
                <w:rFonts w:ascii="CIDFont+F10" w:hAnsi="CIDFont+F10" w:eastAsia="CIDFont+F10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2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Consola de trazabilidad de cargas entregada a Reporting/Navantia en mayo 2025. </w:t>
            </w:r>
          </w:p>
        </w:tc>
      </w:tr>
      <w:tr>
        <w:trPr>
          <w:trHeight w:hRule="exact" w:val="484"/>
        </w:trPr>
        <w:tc>
          <w:tcPr>
            <w:tcW w:type="dxa" w:w="3416"/>
            <w:vMerge/>
            <w:tcBorders/>
          </w:tcPr>
          <w:p/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38" w:after="0"/>
              <w:ind w:left="5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Contexto y dependencias </w:t>
            </w:r>
          </w:p>
        </w:tc>
      </w:tr>
    </w:tbl>
    <w:p>
      <w:pPr>
        <w:autoSpaceDN w:val="0"/>
        <w:autoSpaceDE w:val="0"/>
        <w:widowControl/>
        <w:spacing w:line="356" w:lineRule="exact" w:before="234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Esta instancia, basada en SQL Server 2022, da soporte a proyectos desplegados en Noruega y contiene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su propia versión de Necor@AWD. Replica los datos de forma independiente desde el PDB general,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asegurando autonomía y seguridad en la gestión de información. </w:t>
      </w:r>
    </w:p>
    <w:p>
      <w:pPr>
        <w:autoSpaceDN w:val="0"/>
        <w:autoSpaceDE w:val="0"/>
        <w:widowControl/>
        <w:spacing w:line="358" w:lineRule="exact" w:before="268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El flujo ETL, pionero en validación completa, incorpora trazabilidad end-to-end desde las fuentes Coral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hasta la explotación en Power BI, pasando por etapas de staging, validación y carga incremental. </w:t>
      </w:r>
    </w:p>
    <w:p>
      <w:pPr>
        <w:autoSpaceDN w:val="0"/>
        <w:autoSpaceDE w:val="0"/>
        <w:widowControl/>
        <w:spacing w:line="356" w:lineRule="exact" w:before="268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Los procesos diarios están optimizados para manejar grandes volúmenes de datos —más de 2 millones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de registros por carga— con tiempos inferiores a 40 minutos. El entorno dispone de alertas y logs que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permiten monitorizar el estado de sincronización, errores y métricas clave. </w:t>
      </w:r>
    </w:p>
    <w:p>
      <w:pPr>
        <w:autoSpaceDN w:val="0"/>
        <w:autoSpaceDE w:val="0"/>
        <w:widowControl/>
        <w:spacing w:line="356" w:lineRule="exact" w:before="270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Esta instancia es un referente técnico para futuros despliegues en entornos similares, demostrando la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viabilidad de operaciones con réplicas distribuidas, controladas y auditables. </w:t>
      </w:r>
    </w:p>
    <w:p>
      <w:pPr>
        <w:autoSpaceDN w:val="0"/>
        <w:autoSpaceDE w:val="0"/>
        <w:widowControl/>
        <w:spacing w:line="206" w:lineRule="exact" w:before="890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19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4"/>
        <w:gridCol w:w="5124"/>
      </w:tblGrid>
      <w:tr>
        <w:trPr>
          <w:trHeight w:hRule="exact" w:val="1634"/>
        </w:trPr>
        <w:tc>
          <w:tcPr>
            <w:tcW w:type="dxa" w:w="414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</w:tbl>
    <w:p>
      <w:pPr>
        <w:autoSpaceDN w:val="0"/>
        <w:autoSpaceDE w:val="0"/>
        <w:widowControl/>
        <w:spacing w:line="358" w:lineRule="exact" w:before="188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Actualmente, la base de datos que alimenta el PDB de Noruega está en fase de migración, en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preparación para el apagado gradual de la instancia legacy MASQL2014\SQLNORWAY. </w:t>
      </w:r>
    </w:p>
    <w:p>
      <w:pPr>
        <w:autoSpaceDN w:val="0"/>
        <w:autoSpaceDE w:val="0"/>
        <w:widowControl/>
        <w:spacing w:line="206" w:lineRule="exact" w:before="10950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20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6"/>
        <w:gridCol w:w="3416"/>
        <w:gridCol w:w="3416"/>
      </w:tblGrid>
      <w:tr>
        <w:trPr>
          <w:trHeight w:hRule="exact" w:val="1634"/>
        </w:trPr>
        <w:tc>
          <w:tcPr>
            <w:tcW w:type="dxa" w:w="6142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1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  <w:tr>
        <w:trPr>
          <w:trHeight w:hRule="exact" w:val="1106"/>
        </w:trPr>
        <w:tc>
          <w:tcPr>
            <w:tcW w:type="dxa" w:w="842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50" w:after="0"/>
              <w:ind w:left="90" w:right="0" w:firstLine="0"/>
              <w:jc w:val="left"/>
            </w:pPr>
            <w:r>
              <w:rPr>
                <w:w w:val="101.57046940015711"/>
                <w:rFonts w:ascii="CIDFont+F5" w:hAnsi="CIDFont+F5" w:eastAsia="CIDFont+F5"/>
                <w:b/>
                <w:i w:val="0"/>
                <w:color w:val="000000"/>
                <w:sz w:val="23"/>
              </w:rPr>
              <w:t>3.6.</w:t>
            </w:r>
          </w:p>
        </w:tc>
        <w:tc>
          <w:tcPr>
            <w:tcW w:type="dxa" w:w="530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48" w:after="0"/>
              <w:ind w:left="0" w:right="0" w:firstLine="0"/>
              <w:jc w:val="center"/>
            </w:pPr>
            <w:r>
              <w:rPr>
                <w:w w:val="101.57046940015711"/>
                <w:rFonts w:ascii="CIDFont+F1" w:hAnsi="CIDFont+F1" w:eastAsia="CIDFont+F1"/>
                <w:b/>
                <w:i w:val="0"/>
                <w:color w:val="000000"/>
                <w:sz w:val="23"/>
              </w:rPr>
              <w:t xml:space="preserve">MASERVF9 – (Antiguo MANECNET) </w:t>
            </w:r>
          </w:p>
        </w:tc>
        <w:tc>
          <w:tcPr>
            <w:tcW w:type="dxa" w:w="398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6" w:lineRule="exact" w:before="636" w:after="33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Servidor Windows Server 2019 con IIS 10 y .NET Framework 4.8 que cumple una doble función crítica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dentro del ecosistema Necor@: actúa como pasarela de integración entre SAP PO y las bases de datos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de Navantia, y como servidor documental que almacena los ficheros físicos del sistema de Gestión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Documental.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5124"/>
        <w:gridCol w:w="5124"/>
      </w:tblGrid>
      <w:tr>
        <w:trPr>
          <w:trHeight w:hRule="exact" w:val="40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2" w:after="0"/>
              <w:ind w:left="48" w:right="0" w:firstLine="0"/>
              <w:jc w:val="left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3.6.1.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3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Características generales 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3.9999999999999" w:type="dxa"/>
      </w:tblPr>
      <w:tblGrid>
        <w:gridCol w:w="10248"/>
      </w:tblGrid>
      <w:tr>
        <w:trPr>
          <w:trHeight w:hRule="exact" w:val="1354"/>
        </w:trPr>
        <w:tc>
          <w:tcPr>
            <w:tcW w:type="dxa" w:w="8260"/>
            <w:tcBorders>
              <w:start w:sz="3.199999999999932" w:val="single" w:color="#5B9AD4"/>
              <w:top w:sz="4.0" w:val="single" w:color="#5B9AD4"/>
              <w:end w:sz="4.0" w:val="single" w:color="#5B9AD4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130"/>
              <w:gridCol w:w="4130"/>
            </w:tblGrid>
            <w:tr>
              <w:trPr>
                <w:trHeight w:hRule="exact" w:val="1310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240"/>
                  </w:tblGrid>
                  <w:tr>
                    <w:trPr>
                      <w:trHeight w:hRule="exact" w:val="626"/>
                    </w:trPr>
                    <w:tc>
                      <w:tcPr>
                        <w:tcW w:type="dxa" w:w="1212"/>
                        <w:tcBorders>
                          <w:start w:sz="4.0" w:val="single" w:color="#5B9AD4"/>
                          <w:top w:sz="4.0" w:val="single" w:color="#5B9AD4"/>
                          <w:end w:sz="4.0" w:val="single" w:color="#5B9AD4"/>
                          <w:bottom w:sz="4.0" w:val="single" w:color="#5B9AD4"/>
                        </w:tcBorders>
                        <w:shd w:fill="bcd6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>Elemento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240"/>
                  </w:tblGrid>
                  <w:tr>
                    <w:trPr>
                      <w:trHeight w:hRule="exact" w:val="604"/>
                    </w:trPr>
                    <w:tc>
                      <w:tcPr>
                        <w:tcW w:type="dxa" w:w="1212"/>
                        <w:tcBorders>
                          <w:start w:sz="4.0" w:val="single" w:color="#5B9AD4"/>
                          <w:top w:sz="4.0" w:val="single" w:color="#5B9AD4"/>
                          <w:end w:sz="4.0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>FQDN / IP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6980"/>
                  </w:tblGrid>
                  <w:tr>
                    <w:trPr>
                      <w:trHeight w:hRule="exact" w:val="626"/>
                    </w:trPr>
                    <w:tc>
                      <w:tcPr>
                        <w:tcW w:type="dxa" w:w="6936"/>
                        <w:tcBorders>
                          <w:start w:sz="4.0" w:val="single" w:color="#5B9AD4"/>
                          <w:top w:sz="4.0" w:val="single" w:color="#5B9AD4"/>
                          <w:end w:sz="4.0" w:val="single" w:color="#5B9AD4"/>
                          <w:bottom w:sz="4.0" w:val="single" w:color="#5B9AD4"/>
                        </w:tcBorders>
                        <w:shd w:fill="bcd6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 xml:space="preserve">Valor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6980"/>
                  </w:tblGrid>
                  <w:tr>
                    <w:trPr>
                      <w:trHeight w:hRule="exact" w:val="604"/>
                    </w:trPr>
                    <w:tc>
                      <w:tcPr>
                        <w:tcW w:type="dxa" w:w="6936"/>
                        <w:tcBorders>
                          <w:start w:sz="4.0" w:val="single" w:color="#5B9AD4"/>
                          <w:top w:sz="4.0" w:val="single" w:color="#5B9AD4"/>
                          <w:end w:sz="4.0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128" w:after="0"/>
                          <w:ind w:left="14" w:right="0" w:firstLine="0"/>
                          <w:jc w:val="left"/>
                        </w:pP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maservf9.izar.es / 10.100.161.76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3.9999999999999" w:type="dxa"/>
      </w:tblPr>
      <w:tblGrid>
        <w:gridCol w:w="5124"/>
        <w:gridCol w:w="5124"/>
      </w:tblGrid>
      <w:tr>
        <w:trPr>
          <w:trHeight w:hRule="exact" w:val="708"/>
        </w:trPr>
        <w:tc>
          <w:tcPr>
            <w:tcW w:type="dxa" w:w="1248"/>
            <w:tcBorders>
              <w:start w:sz="3.199999999999932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248"/>
            </w:tblGrid>
            <w:tr>
              <w:trPr>
                <w:trHeight w:hRule="exact" w:val="604"/>
              </w:trPr>
              <w:tc>
                <w:tcPr>
                  <w:tcW w:type="dxa" w:w="1212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32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OS / Build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12"/>
            <w:tcBorders>
              <w:end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7012"/>
            </w:tblGrid>
            <w:tr>
              <w:trPr>
                <w:trHeight w:hRule="exact" w:val="604"/>
              </w:trPr>
              <w:tc>
                <w:tcPr>
                  <w:tcW w:type="dxa" w:w="693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32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Windows Server 2019 Std 10.0.17763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20"/>
        </w:trPr>
        <w:tc>
          <w:tcPr>
            <w:tcW w:type="dxa" w:w="8260"/>
            <w:gridSpan w:val="2"/>
            <w:tcBorders>
              <w:start w:sz="3.199999999999932" w:val="single" w:color="#5B9AD4"/>
              <w:end w:sz="4.0" w:val="single" w:color="#5B9AD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8260"/>
            </w:tblGrid>
            <w:tr>
              <w:trPr>
                <w:trHeight w:hRule="exact" w:val="624"/>
              </w:trPr>
              <w:tc>
                <w:tcPr>
                  <w:tcW w:type="dxa" w:w="1212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6" w:lineRule="exact" w:before="0" w:after="0"/>
              <w:ind w:left="4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IIS / .NET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IIS 10 + .NET Framework 4.8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86.0" w:type="dxa"/>
            </w:tblPr>
            <w:tblGrid>
              <w:gridCol w:w="8260"/>
            </w:tblGrid>
            <w:tr>
              <w:trPr>
                <w:trHeight w:hRule="exact" w:val="624"/>
              </w:trPr>
              <w:tc>
                <w:tcPr>
                  <w:tcW w:type="dxa" w:w="693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8260"/>
            </w:tblGrid>
            <w:tr>
              <w:trPr>
                <w:trHeight w:hRule="exact" w:val="624"/>
              </w:trPr>
              <w:tc>
                <w:tcPr>
                  <w:tcW w:type="dxa" w:w="1212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6" w:lineRule="exact" w:before="0" w:after="0"/>
              <w:ind w:left="4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Aplicación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NecoraWebIntegrator.svc (SOAP 1.2 &amp; REST: Login + SetInfoMateriales)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86.0" w:type="dxa"/>
            </w:tblPr>
            <w:tblGrid>
              <w:gridCol w:w="8260"/>
            </w:tblGrid>
            <w:tr>
              <w:trPr>
                <w:trHeight w:hRule="exact" w:val="604"/>
              </w:trPr>
              <w:tc>
                <w:tcPr>
                  <w:tcW w:type="dxa" w:w="693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80"/>
        </w:trPr>
        <w:tc>
          <w:tcPr>
            <w:tcW w:type="dxa" w:w="1248"/>
            <w:tcBorders>
              <w:start w:sz="3.199999999999932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248"/>
            </w:tblGrid>
            <w:tr>
              <w:trPr>
                <w:trHeight w:hRule="exact" w:val="602"/>
              </w:trPr>
              <w:tc>
                <w:tcPr>
                  <w:tcW w:type="dxa" w:w="1212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32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Entrantes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12"/>
            <w:tcBorders>
              <w:end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7012"/>
            </w:tblGrid>
            <w:tr>
              <w:trPr>
                <w:trHeight w:hRule="exact" w:val="602"/>
              </w:trPr>
              <w:tc>
                <w:tcPr>
                  <w:tcW w:type="dxa" w:w="693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32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SAP PO </w:t>
                  </w:r>
                  <w:r>
                    <w:rPr>
                      <w:w w:val="102.05118279708059"/>
                      <w:rFonts w:ascii="CIDFont+F12" w:hAnsi="CIDFont+F12" w:eastAsia="CIDFont+F12"/>
                      <w:b w:val="0"/>
                      <w:i w:val="0"/>
                      <w:color w:val="000000"/>
                      <w:sz w:val="19"/>
                    </w:rPr>
                    <w:t>→</w:t>
                  </w: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 HTTPS + BasicAuth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0"/>
        </w:trPr>
        <w:tc>
          <w:tcPr>
            <w:tcW w:type="dxa" w:w="1248"/>
            <w:tcBorders>
              <w:start w:sz="3.199999999999932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248"/>
            </w:tblGrid>
            <w:tr>
              <w:trPr>
                <w:trHeight w:hRule="exact" w:val="608"/>
              </w:trPr>
              <w:tc>
                <w:tcPr>
                  <w:tcW w:type="dxa" w:w="1212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3.199999999999818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34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Salientes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12"/>
            <w:tcBorders>
              <w:end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7012"/>
            </w:tblGrid>
            <w:tr>
              <w:trPr>
                <w:trHeight w:hRule="exact" w:val="608"/>
              </w:trPr>
              <w:tc>
                <w:tcPr>
                  <w:tcW w:type="dxa" w:w="693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3.199999999999818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34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ODBC fijo </w:t>
                  </w:r>
                  <w:r>
                    <w:rPr>
                      <w:w w:val="102.05118279708059"/>
                      <w:rFonts w:ascii="CIDFont+F12" w:hAnsi="CIDFont+F12" w:eastAsia="CIDFont+F12"/>
                      <w:b w:val="0"/>
                      <w:i w:val="0"/>
                      <w:color w:val="000000"/>
                      <w:sz w:val="19"/>
                    </w:rPr>
                    <w:t>→</w:t>
                  </w: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 MASQL20171\HOSTDB2 (puerto 1452)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0"/>
        </w:trPr>
        <w:tc>
          <w:tcPr>
            <w:tcW w:type="dxa" w:w="8260"/>
            <w:gridSpan w:val="2"/>
            <w:tcBorders>
              <w:start w:sz="3.199999999999932" w:val="single" w:color="#5B9AD4"/>
              <w:end w:sz="4.0" w:val="single" w:color="#5B9AD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8260"/>
            </w:tblGrid>
            <w:tr>
              <w:trPr>
                <w:trHeight w:hRule="exact" w:val="624"/>
              </w:trPr>
              <w:tc>
                <w:tcPr>
                  <w:tcW w:type="dxa" w:w="1212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3.199999999999818" w:val="single" w:color="#5B9AD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4" w:lineRule="exact" w:before="0" w:after="0"/>
              <w:ind w:left="4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Seguridad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TLS 1.2 activo · Certificado Let’s Encrypt · Token BasicAuth anual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86.0" w:type="dxa"/>
            </w:tblPr>
            <w:tblGrid>
              <w:gridCol w:w="8260"/>
            </w:tblGrid>
            <w:tr>
              <w:trPr>
                <w:trHeight w:hRule="exact" w:val="604"/>
              </w:trPr>
              <w:tc>
                <w:tcPr>
                  <w:tcW w:type="dxa" w:w="693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3.199999999999818" w:val="single" w:color="#5B9AD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91"/>
        </w:trPr>
        <w:tc>
          <w:tcPr>
            <w:tcW w:type="dxa" w:w="1248"/>
            <w:tcBorders>
              <w:start w:sz="3.199999999999932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248"/>
            </w:tblGrid>
            <w:tr>
              <w:trPr>
                <w:trHeight w:hRule="exact" w:val="604"/>
              </w:trPr>
              <w:tc>
                <w:tcPr>
                  <w:tcW w:type="dxa" w:w="1212"/>
                  <w:tcBorders>
                    <w:start w:sz="4.0" w:val="single" w:color="#5B9AD4"/>
                    <w:top w:sz="3.199999999999818" w:val="single" w:color="#5B9AD4"/>
                    <w:end w:sz="4.0" w:val="single" w:color="#5B9AD4"/>
                    <w:bottom w:sz="3.2000000000007276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32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Timeouts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12"/>
            <w:tcBorders>
              <w:end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7012"/>
            </w:tblGrid>
            <w:tr>
              <w:trPr>
                <w:trHeight w:hRule="exact" w:val="604"/>
              </w:trPr>
              <w:tc>
                <w:tcPr>
                  <w:tcW w:type="dxa" w:w="6936"/>
                  <w:tcBorders>
                    <w:start w:sz="4.0" w:val="single" w:color="#5B9AD4"/>
                    <w:top w:sz="3.199999999999818" w:val="single" w:color="#5B9AD4"/>
                    <w:end w:sz="4.0" w:val="single" w:color="#5B9AD4"/>
                    <w:bottom w:sz="3.2000000000007276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32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HTTP 90 s · ODBC 30 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3.9999999999999" w:type="dxa"/>
      </w:tblPr>
      <w:tblGrid>
        <w:gridCol w:w="5124"/>
        <w:gridCol w:w="5124"/>
      </w:tblGrid>
      <w:tr>
        <w:trPr>
          <w:trHeight w:hRule="exact" w:val="640"/>
        </w:trPr>
        <w:tc>
          <w:tcPr>
            <w:tcW w:type="dxa" w:w="1290"/>
            <w:tcBorders>
              <w:start w:sz="3.199999999999932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290"/>
            </w:tblGrid>
            <w:tr>
              <w:trPr>
                <w:trHeight w:hRule="exact" w:val="602"/>
              </w:trPr>
              <w:tc>
                <w:tcPr>
                  <w:tcW w:type="dxa" w:w="1212"/>
                  <w:tcBorders>
                    <w:start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34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Backups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5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6" w:after="0"/>
              <w:ind w:left="14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Veeam Agent diarios (02:30 UTC) </w:t>
            </w:r>
            <w:r>
              <w:rPr>
                <w:w w:val="102.05118279708059"/>
                <w:rFonts w:ascii="CIDFont+F12" w:hAnsi="CIDFont+F12" w:eastAsia="CIDFont+F12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NAS-P9 </w:t>
            </w:r>
          </w:p>
        </w:tc>
      </w:tr>
    </w:tbl>
    <w:p>
      <w:pPr>
        <w:autoSpaceDN w:val="0"/>
        <w:autoSpaceDE w:val="0"/>
        <w:widowControl/>
        <w:spacing w:line="206" w:lineRule="exact" w:before="1076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21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4"/>
        <w:gridCol w:w="5124"/>
      </w:tblGrid>
      <w:tr>
        <w:trPr>
          <w:trHeight w:hRule="exact" w:val="1634"/>
        </w:trPr>
        <w:tc>
          <w:tcPr>
            <w:tcW w:type="dxa" w:w="414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3.9999999999999" w:type="dxa"/>
      </w:tblPr>
      <w:tblGrid>
        <w:gridCol w:w="10248"/>
      </w:tblGrid>
      <w:tr>
        <w:trPr>
          <w:trHeight w:hRule="exact" w:val="688"/>
        </w:trPr>
        <w:tc>
          <w:tcPr>
            <w:tcW w:type="dxa" w:w="8260"/>
            <w:tcBorders>
              <w:start w:sz="3.199999999999932" w:val="single" w:color="#5B9AD4"/>
              <w:top w:sz="4.0" w:val="single" w:color="#5B9AD4"/>
              <w:end w:sz="4.0" w:val="single" w:color="#5B9AD4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130"/>
              <w:gridCol w:w="4130"/>
            </w:tblGrid>
            <w:tr>
              <w:trPr>
                <w:trHeight w:hRule="exact" w:val="642"/>
              </w:trPr>
              <w:tc>
                <w:tcPr>
                  <w:tcW w:type="dxa" w:w="1240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240"/>
                  </w:tblGrid>
                  <w:tr>
                    <w:trPr>
                      <w:trHeight w:hRule="exact" w:val="608"/>
                    </w:trPr>
                    <w:tc>
                      <w:tcPr>
                        <w:tcW w:type="dxa" w:w="1212"/>
                        <w:tcBorders>
                          <w:start w:sz="4.0" w:val="single" w:color="#5B9AD4"/>
                          <w:top w:sz="3.2000000000000455" w:val="single" w:color="#5B9AD4"/>
                          <w:end w:sz="4.0" w:val="single" w:color="#5B9AD4"/>
                          <w:bottom w:sz="4.0" w:val="single" w:color="#5B9AD4"/>
                        </w:tcBorders>
                        <w:shd w:fill="bcd6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>Elemento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6980"/>
                  </w:tblGrid>
                  <w:tr>
                    <w:trPr>
                      <w:trHeight w:hRule="exact" w:val="608"/>
                    </w:trPr>
                    <w:tc>
                      <w:tcPr>
                        <w:tcW w:type="dxa" w:w="6936"/>
                        <w:tcBorders>
                          <w:start w:sz="4.0" w:val="single" w:color="#5B9AD4"/>
                          <w:top w:sz="3.2000000000000455" w:val="single" w:color="#5B9AD4"/>
                          <w:end w:sz="4.0" w:val="single" w:color="#5B9AD4"/>
                          <w:bottom w:sz="4.0" w:val="single" w:color="#5B9AD4"/>
                        </w:tcBorders>
                        <w:shd w:fill="bcd6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6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 xml:space="preserve">Valor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5124"/>
        <w:gridCol w:w="5124"/>
      </w:tblGrid>
      <w:tr>
        <w:trPr>
          <w:trHeight w:hRule="exact" w:val="202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648" w:lineRule="exact" w:before="494" w:after="0"/>
              <w:ind w:left="48" w:right="0" w:firstLine="0"/>
              <w:jc w:val="left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3.6.2.</w:t>
            </w:r>
            <w:r>
              <w:tab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1.9999999999999" w:type="dxa"/>
            </w:tblPr>
            <w:tblGrid>
              <w:gridCol w:w="9540"/>
            </w:tblGrid>
            <w:tr>
              <w:trPr>
                <w:trHeight w:hRule="exact" w:val="650"/>
              </w:trPr>
              <w:tc>
                <w:tcPr>
                  <w:tcW w:type="dxa" w:w="8260"/>
                  <w:tcBorders>
                    <w:start w:sz="3.199999999999932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20" w:after="0"/>
                    <w:ind w:left="130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Clonado MANECNET </w:t>
                  </w:r>
                  <w:r>
                    <w:rPr>
                      <w:w w:val="102.05118279708059"/>
                      <w:rFonts w:ascii="CIDFont+F12" w:hAnsi="CIDFont+F12" w:eastAsia="CIDFont+F12"/>
                      <w:b w:val="0"/>
                      <w:i w:val="0"/>
                      <w:color w:val="000000"/>
                      <w:sz w:val="19"/>
                    </w:rPr>
                    <w:t>→</w:t>
                  </w: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 go-live 08-ene-2025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4.00000000000006" w:type="dxa"/>
            </w:tblPr>
            <w:tblGrid>
              <w:gridCol w:w="9540"/>
            </w:tblGrid>
            <w:tr>
              <w:trPr>
                <w:trHeight w:hRule="exact" w:val="624"/>
              </w:trPr>
              <w:tc>
                <w:tcPr>
                  <w:tcW w:type="dxa" w:w="1212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34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Migración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2.0" w:type="dxa"/>
            </w:tblPr>
            <w:tblGrid>
              <w:gridCol w:w="9540"/>
            </w:tblGrid>
            <w:tr>
              <w:trPr>
                <w:trHeight w:hRule="exact" w:val="624"/>
              </w:trPr>
              <w:tc>
                <w:tcPr>
                  <w:tcW w:type="dxa" w:w="693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2" w:lineRule="exact" w:before="160" w:after="0"/>
              <w:ind w:left="5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Funciones y contexto </w:t>
            </w:r>
          </w:p>
          <w:p>
            <w:pPr>
              <w:autoSpaceDN w:val="0"/>
              <w:autoSpaceDE w:val="0"/>
              <w:widowControl/>
              <w:spacing w:line="236" w:lineRule="exact" w:before="414" w:after="0"/>
              <w:ind w:left="10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Integración: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Hospeda el WebService NecoraMQ (NecoraWebIntegrator.svc), que expone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operaciones SOAP y REST para consulta y validación de materiales, órdenes y hojas de catálogo. </w:t>
            </w:r>
          </w:p>
        </w:tc>
      </w:tr>
    </w:tbl>
    <w:p>
      <w:pPr>
        <w:autoSpaceDN w:val="0"/>
        <w:autoSpaceDE w:val="0"/>
        <w:widowControl/>
        <w:spacing w:line="234" w:lineRule="exact" w:before="2" w:after="2"/>
        <w:ind w:left="7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Las peticiones se comunican con HOSTDB2 vía ODBC configurado con puerto TCP fijo 1452,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5124"/>
        <w:gridCol w:w="5124"/>
      </w:tblGrid>
      <w:tr>
        <w:trPr>
          <w:trHeight w:hRule="exact" w:val="227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6" w:after="0"/>
              <w:ind w:left="0" w:right="15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  <w:p>
            <w:pPr>
              <w:autoSpaceDN w:val="0"/>
              <w:autoSpaceDE w:val="0"/>
              <w:widowControl/>
              <w:spacing w:line="238" w:lineRule="exact" w:before="472" w:after="0"/>
              <w:ind w:left="0" w:right="154" w:firstLine="0"/>
              <w:jc w:val="right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  <w:p>
            <w:pPr>
              <w:autoSpaceDN w:val="0"/>
              <w:autoSpaceDE w:val="0"/>
              <w:widowControl/>
              <w:spacing w:line="274" w:lineRule="exact" w:before="758" w:after="0"/>
              <w:ind w:left="0" w:right="0" w:firstLine="0"/>
              <w:jc w:val="center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3.6.3.</w:t>
            </w:r>
          </w:p>
        </w:tc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8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garantizando seguridad mediante TLS 1.2 y autenticación por token renovable anualmente.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Gestión documental: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Mantiene el almacén físico de documentos digitales (PDFs, hojas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técnicas, planos) usados por aplicaciones Necor@AWD, Necor@NC y otras, compartidos vía SMB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para acceso interno. </w:t>
            </w:r>
          </w:p>
          <w:p>
            <w:pPr>
              <w:autoSpaceDN w:val="0"/>
              <w:autoSpaceDE w:val="0"/>
              <w:widowControl/>
              <w:spacing w:line="236" w:lineRule="exact" w:before="2" w:after="0"/>
              <w:ind w:left="108" w:right="0" w:firstLine="0"/>
              <w:jc w:val="both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Migración: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 Resultado de la migración parcial desde el antiguo servidor MANECNET, apagado en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octubre de 2024. Se trasladaron únicamente componentes documentales y servicios de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integración, descartando la migración completa de Necor@V6. </w:t>
            </w:r>
          </w:p>
          <w:p>
            <w:pPr>
              <w:autoSpaceDN w:val="0"/>
              <w:autoSpaceDE w:val="0"/>
              <w:widowControl/>
              <w:spacing w:line="282" w:lineRule="exact" w:before="276" w:after="0"/>
              <w:ind w:left="5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Cronología de migración y normalización </w:t>
            </w:r>
          </w:p>
        </w:tc>
      </w:tr>
    </w:tbl>
    <w:p>
      <w:pPr>
        <w:autoSpaceDN w:val="0"/>
        <w:autoSpaceDE w:val="0"/>
        <w:widowControl/>
        <w:spacing w:line="240" w:lineRule="auto" w:before="3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94450" cy="15887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158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6" w:lineRule="exact" w:before="148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Figura 3.6-2 presenta la cronología del proceso de migración desde MANECNET a MASERVF9 y la </w:t>
      </w:r>
    </w:p>
    <w:p>
      <w:pPr>
        <w:autoSpaceDN w:val="0"/>
        <w:autoSpaceDE w:val="0"/>
        <w:widowControl/>
        <w:spacing w:line="234" w:lineRule="exact" w:before="120" w:after="0"/>
        <w:ind w:left="0" w:right="0" w:firstLine="0"/>
        <w:jc w:val="center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estabilización del flujo de materiales, que se desarrolló entre el 23 de octubre de 2024 y el 8 de enero </w:t>
      </w:r>
    </w:p>
    <w:p>
      <w:pPr>
        <w:autoSpaceDN w:val="0"/>
        <w:autoSpaceDE w:val="0"/>
        <w:widowControl/>
        <w:spacing w:line="236" w:lineRule="exact" w:before="122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>de 2025.</w:t>
      </w:r>
    </w:p>
    <w:p>
      <w:pPr>
        <w:autoSpaceDN w:val="0"/>
        <w:tabs>
          <w:tab w:pos="1190" w:val="left"/>
        </w:tabs>
        <w:autoSpaceDE w:val="0"/>
        <w:widowControl/>
        <w:spacing w:line="286" w:lineRule="exact" w:before="376" w:after="0"/>
        <w:ind w:left="90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000000"/>
          <w:sz w:val="23"/>
        </w:rPr>
        <w:t xml:space="preserve">3.6.4. </w:t>
      </w:r>
      <w:r>
        <w:tab/>
      </w:r>
      <w:r>
        <w:rPr>
          <w:w w:val="101.57046940015711"/>
          <w:rFonts w:ascii="CIDFont+F4" w:hAnsi="CIDFont+F4" w:eastAsia="CIDFont+F4"/>
          <w:b w:val="0"/>
          <w:i w:val="0"/>
          <w:color w:val="000000"/>
          <w:sz w:val="23"/>
        </w:rPr>
        <w:t xml:space="preserve">Incidencias y acciones correctivas principales </w:t>
      </w:r>
    </w:p>
    <w:p>
      <w:pPr>
        <w:autoSpaceDN w:val="0"/>
        <w:autoSpaceDE w:val="0"/>
        <w:widowControl/>
        <w:spacing w:line="206" w:lineRule="exact" w:before="1740" w:after="0"/>
        <w:ind w:left="0" w:right="1704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22 </w:t>
      </w:r>
    </w:p>
    <w:p>
      <w:pPr>
        <w:sectPr>
          <w:pgSz w:w="11906" w:h="16838"/>
          <w:pgMar w:top="764" w:right="780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0"/>
        <w:gridCol w:w="5090"/>
      </w:tblGrid>
      <w:tr>
        <w:trPr>
          <w:trHeight w:hRule="exact" w:val="1634"/>
        </w:trPr>
        <w:tc>
          <w:tcPr>
            <w:tcW w:type="dxa" w:w="414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49" cy="7924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9" cy="79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12"/>
            <w:tcBorders>
              <w:end w:sz="4.0" w:val="single" w:color="#5B9AD4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3480" w:right="0" w:hanging="1028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Estado actual plataforma BBDD </w:t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Ref. Doc_Tec_202505</w:t>
            </w:r>
          </w:p>
        </w:tc>
      </w:tr>
    </w:tbl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2545"/>
        <w:gridCol w:w="2545"/>
        <w:gridCol w:w="2545"/>
        <w:gridCol w:w="2545"/>
      </w:tblGrid>
      <w:tr>
        <w:trPr>
          <w:trHeight w:hRule="exact" w:val="1648"/>
        </w:trPr>
        <w:tc>
          <w:tcPr>
            <w:tcW w:type="dxa" w:w="2068"/>
            <w:tcBorders>
              <w:start w:sz="3.1999999999999886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03" w:type="dxa"/>
            </w:tblPr>
            <w:tblGrid>
              <w:gridCol w:w="2068"/>
            </w:tblGrid>
            <w:tr>
              <w:trPr>
                <w:trHeight w:hRule="exact" w:val="958"/>
              </w:trPr>
              <w:tc>
                <w:tcPr>
                  <w:tcW w:type="dxa" w:w="2016"/>
                  <w:tcBorders>
                    <w:start w:sz="2.3999999999999773" w:val="single" w:color="#5B9AD4"/>
                    <w:top w:sz="4.0" w:val="single" w:color="#5B9AD4"/>
                    <w:end w:sz="2.400000000000091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2" w:lineRule="exact" w:before="18" w:after="0"/>
                    <w:ind w:left="1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>GLPI #849716 – 08-</w:t>
                  </w: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nov-2024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2920"/>
            </w:tblGrid>
            <w:tr>
              <w:trPr>
                <w:trHeight w:hRule="exact" w:val="958"/>
              </w:trPr>
              <w:tc>
                <w:tcPr>
                  <w:tcW w:type="dxa" w:w="288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2" w:lineRule="exact" w:before="18" w:after="0"/>
                    <w:ind w:left="16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SAP deja de notificar cambios </w:t>
                  </w: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de materiales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545" w:type="dxa"/>
            </w:tblPr>
            <w:tblGrid>
              <w:gridCol w:w="2700"/>
            </w:tblGrid>
            <w:tr>
              <w:trPr>
                <w:trHeight w:hRule="exact" w:val="958"/>
              </w:trPr>
              <w:tc>
                <w:tcPr>
                  <w:tcW w:type="dxa" w:w="2660"/>
                  <w:tcBorders>
                    <w:start w:sz="3.200000000000273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2" w:lineRule="exact" w:before="18" w:after="0"/>
                    <w:ind w:left="12" w:right="288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Análisis raíz: parada de </w:t>
                  </w: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MANECNET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545" w:type="dxa"/>
            </w:tblPr>
            <w:tblGrid>
              <w:gridCol w:w="2360"/>
            </w:tblGrid>
            <w:tr>
              <w:trPr>
                <w:trHeight w:hRule="exact" w:val="958"/>
              </w:trPr>
              <w:tc>
                <w:tcPr>
                  <w:tcW w:type="dxa" w:w="2310"/>
                  <w:tcBorders>
                    <w:start w:sz="3.200000000000273" w:val="single" w:color="#5B9AD4"/>
                    <w:top w:sz="4.0" w:val="single" w:color="#5B9AD4"/>
                    <w:end w:sz="3.199999999999818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2" w:lineRule="exact" w:before="18" w:after="0"/>
                    <w:ind w:left="18" w:right="288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Migración decidida a </w:t>
                  </w: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MASERVF9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5090"/>
        <w:gridCol w:w="5090"/>
      </w:tblGrid>
      <w:tr>
        <w:trPr>
          <w:trHeight w:hRule="exact" w:val="4998"/>
        </w:trPr>
        <w:tc>
          <w:tcPr>
            <w:tcW w:type="dxa" w:w="588"/>
            <w:tcBorders>
              <w:start w:sz="3.1999999999999886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80" w:after="0"/>
              <w:ind w:left="0" w:right="0" w:firstLine="0"/>
              <w:jc w:val="left"/>
            </w:pPr>
            <w:r>
              <w:rPr>
                <w:w w:val="101.57046940015711"/>
                <w:rFonts w:ascii="CIDFont+F3" w:hAnsi="CIDFont+F3" w:eastAsia="CIDFont+F3"/>
                <w:b w:val="0"/>
                <w:i w:val="0"/>
                <w:color w:val="000000"/>
                <w:sz w:val="23"/>
              </w:rPr>
              <w:t>3.6.5.</w:t>
            </w:r>
          </w:p>
          <w:p>
            <w:pPr>
              <w:autoSpaceDN w:val="0"/>
              <w:autoSpaceDE w:val="0"/>
              <w:widowControl/>
              <w:spacing w:line="268" w:lineRule="exact" w:before="404" w:after="0"/>
              <w:ind w:left="342" w:right="154" w:firstLine="0"/>
              <w:jc w:val="both"/>
            </w:pP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  <w:r>
              <w:br/>
            </w:r>
            <w:r>
              <w:rPr>
                <w:w w:val="102.05118279708059"/>
                <w:rFonts w:ascii="CIDFont+F11" w:hAnsi="CIDFont+F11" w:eastAsia="CIDFont+F11"/>
                <w:b w:val="0"/>
                <w:i w:val="0"/>
                <w:color w:val="000000"/>
                <w:sz w:val="19"/>
              </w:rPr>
              <w:t></w:t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0.0" w:type="dxa"/>
            </w:tblPr>
            <w:tblGrid>
              <w:gridCol w:w="3140"/>
              <w:gridCol w:w="3140"/>
              <w:gridCol w:w="3140"/>
            </w:tblGrid>
            <w:tr>
              <w:trPr>
                <w:trHeight w:hRule="exact" w:val="1112"/>
              </w:trPr>
              <w:tc>
                <w:tcPr>
                  <w:tcW w:type="dxa" w:w="3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63.9999999999998" w:type="dxa"/>
                  </w:tblPr>
                  <w:tblGrid>
                    <w:gridCol w:w="3660"/>
                  </w:tblGrid>
                  <w:tr>
                    <w:trPr>
                      <w:trHeight w:hRule="exact" w:val="962"/>
                    </w:trPr>
                    <w:tc>
                      <w:tcPr>
                        <w:tcW w:type="dxa" w:w="2880"/>
                        <w:tcBorders>
                          <w:start w:sz="4.0" w:val="single" w:color="#5B9AD4"/>
                          <w:top w:sz="4.0" w:val="single" w:color="#5B9AD4"/>
                          <w:end w:sz="4.0" w:val="single" w:color="#5B9AD4"/>
                          <w:bottom w:sz="3.199999999999818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2700"/>
                  </w:tblGrid>
                  <w:tr>
                    <w:trPr>
                      <w:trHeight w:hRule="exact" w:val="962"/>
                    </w:trPr>
                    <w:tc>
                      <w:tcPr>
                        <w:tcW w:type="dxa" w:w="2660"/>
                        <w:tcBorders>
                          <w:start w:sz="3.200000000000273" w:val="single" w:color="#5B9AD4"/>
                          <w:top w:sz="4.0" w:val="single" w:color="#5B9AD4"/>
                          <w:end w:sz="4.0" w:val="single" w:color="#5B9AD4"/>
                          <w:bottom w:sz="3.199999999999818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2330"/>
                  </w:tblGrid>
                  <w:tr>
                    <w:trPr>
                      <w:trHeight w:hRule="exact" w:val="962"/>
                    </w:trPr>
                    <w:tc>
                      <w:tcPr>
                        <w:tcW w:type="dxa" w:w="2310"/>
                        <w:tcBorders>
                          <w:start w:sz="3.200000000000273" w:val="single" w:color="#5B9AD4"/>
                          <w:top w:sz="4.0" w:val="single" w:color="#5B9AD4"/>
                          <w:end w:sz="3.199999999999818" w:val="single" w:color="#5B9AD4"/>
                          <w:bottom w:sz="3.199999999999818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84" w:lineRule="exact" w:before="1118" w:after="0"/>
              <w:ind w:left="50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000000"/>
                <w:sz w:val="23"/>
              </w:rPr>
              <w:t xml:space="preserve">Lecciones aprendidas y recomendaciones </w:t>
            </w:r>
          </w:p>
          <w:p>
            <w:pPr>
              <w:autoSpaceDN w:val="0"/>
              <w:autoSpaceDE w:val="0"/>
              <w:widowControl/>
              <w:spacing w:line="260" w:lineRule="exact" w:before="424" w:after="0"/>
              <w:ind w:left="0" w:right="0" w:firstLine="0"/>
              <w:jc w:val="center"/>
            </w:pPr>
            <w:r>
              <w:rPr>
                <w:w w:val="101.57046940015711"/>
                <w:rFonts w:ascii="CIDFont+F9" w:hAnsi="CIDFont+F9" w:eastAsia="CIDFont+F9"/>
                <w:b w:val="0"/>
                <w:i w:val="0"/>
                <w:color w:val="000000"/>
                <w:sz w:val="23"/>
              </w:rPr>
              <w:t xml:space="preserve">Documentar exhaustivamente las dependencias de puertos SQL, evitando asignaciones dinámicas. </w:t>
            </w:r>
          </w:p>
          <w:p>
            <w:pPr>
              <w:autoSpaceDN w:val="0"/>
              <w:autoSpaceDE w:val="0"/>
              <w:widowControl/>
              <w:spacing w:line="266" w:lineRule="exact" w:before="2" w:after="0"/>
              <w:ind w:left="108" w:right="288" w:firstLine="0"/>
              <w:jc w:val="left"/>
            </w:pPr>
            <w:r>
              <w:rPr>
                <w:w w:val="101.57046940015711"/>
                <w:rFonts w:ascii="CIDFont+F9" w:hAnsi="CIDFont+F9" w:eastAsia="CIDFont+F9"/>
                <w:b w:val="0"/>
                <w:i w:val="0"/>
                <w:color w:val="000000"/>
                <w:sz w:val="23"/>
              </w:rPr>
              <w:t xml:space="preserve">Validar cambios en entornos espejo o pre-producción antes de desactivar sistemas legados. </w:t>
            </w:r>
            <w:r>
              <w:rPr>
                <w:w w:val="101.57046940015711"/>
                <w:rFonts w:ascii="CIDFont+F9" w:hAnsi="CIDFont+F9" w:eastAsia="CIDFont+F9"/>
                <w:b w:val="0"/>
                <w:i w:val="0"/>
                <w:color w:val="000000"/>
                <w:sz w:val="23"/>
              </w:rPr>
              <w:t xml:space="preserve">Automatizar pruebas E2E (SOAP-UI CLI + SQL ping) tras cada modificación infraestructural. </w:t>
            </w:r>
          </w:p>
          <w:p>
            <w:pPr>
              <w:autoSpaceDN w:val="0"/>
              <w:autoSpaceDE w:val="0"/>
              <w:widowControl/>
              <w:spacing w:line="260" w:lineRule="exact" w:before="10" w:after="0"/>
              <w:ind w:left="108" w:right="0" w:firstLine="0"/>
              <w:jc w:val="left"/>
            </w:pPr>
            <w:r>
              <w:rPr>
                <w:w w:val="101.57046940015711"/>
                <w:rFonts w:ascii="CIDFont+F9" w:hAnsi="CIDFont+F9" w:eastAsia="CIDFont+F9"/>
                <w:b w:val="0"/>
                <w:i w:val="0"/>
                <w:color w:val="000000"/>
                <w:sz w:val="23"/>
              </w:rPr>
              <w:t xml:space="preserve">Configurar alertas Centreon para códigos HTTP 5xx en el servicio NecoraWebIntegrator.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10180"/>
      </w:tblGrid>
      <w:tr>
        <w:trPr>
          <w:trHeight w:hRule="exact" w:val="2022"/>
        </w:trPr>
        <w:tc>
          <w:tcPr>
            <w:tcW w:type="dxa" w:w="10060"/>
            <w:tcBorders>
              <w:start w:sz="3.1999999999999886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515"/>
              <w:gridCol w:w="2515"/>
              <w:gridCol w:w="2515"/>
              <w:gridCol w:w="2515"/>
            </w:tblGrid>
            <w:tr>
              <w:trPr>
                <w:trHeight w:hRule="exact" w:val="338"/>
              </w:trPr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60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>GLPI #856409 – 26-</w:t>
                  </w: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60" w:after="0"/>
                    <w:ind w:left="4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Timeout MASERVF9 </w:t>
                  </w:r>
                  <w:r>
                    <w:rPr>
                      <w:w w:val="102.05118279708059"/>
                      <w:rFonts w:ascii="CIDFont+F12" w:hAnsi="CIDFont+F12" w:eastAsia="CIDFont+F12"/>
                      <w:b w:val="0"/>
                      <w:i w:val="0"/>
                      <w:color w:val="000000"/>
                      <w:sz w:val="19"/>
                    </w:rPr>
                    <w:t>→</w:t>
                  </w:r>
                </w:p>
              </w:tc>
              <w:tc>
                <w:tcPr>
                  <w:tcW w:type="dxa" w:w="2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60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Fijar puerto SQL en 1452 y </w:t>
                  </w:r>
                </w:p>
              </w:tc>
              <w:tc>
                <w:tcPr>
                  <w:tcW w:type="dxa" w:w="2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60" w:after="0"/>
                    <w:ind w:left="50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Conectividad 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78" w:after="0"/>
                    <w:ind w:left="4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nov-2024 </w:t>
                  </w: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78" w:after="0"/>
                    <w:ind w:left="4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HOSTDB2 </w:t>
                  </w:r>
                </w:p>
              </w:tc>
              <w:tc>
                <w:tcPr>
                  <w:tcW w:type="dxa" w:w="2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78" w:after="0"/>
                    <w:ind w:left="44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reiniciar DSN </w:t>
                  </w:r>
                </w:p>
              </w:tc>
              <w:tc>
                <w:tcPr>
                  <w:tcW w:type="dxa" w:w="2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78" w:after="0"/>
                    <w:ind w:left="50" w:right="0" w:firstLine="0"/>
                    <w:jc w:val="left"/>
                  </w:pPr>
                  <w:r>
                    <w:rPr>
                      <w:w w:val="102.05118279708059"/>
                      <w:rFonts w:ascii="CIDFont+F4" w:hAnsi="CIDFont+F4" w:eastAsia="CIDFont+F4"/>
                      <w:b w:val="0"/>
                      <w:i w:val="0"/>
                      <w:color w:val="000000"/>
                      <w:sz w:val="19"/>
                    </w:rPr>
                    <w:t xml:space="preserve">restablecida 27-nov </w:t>
                  </w:r>
                </w:p>
              </w:tc>
            </w:tr>
            <w:tr>
              <w:trPr>
                <w:trHeight w:hRule="exact" w:val="1148"/>
              </w:trPr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97" w:type="dxa"/>
                  </w:tblPr>
                  <w:tblGrid>
                    <w:gridCol w:w="2060"/>
                  </w:tblGrid>
                  <w:tr>
                    <w:trPr>
                      <w:trHeight w:hRule="exact" w:val="960"/>
                    </w:trPr>
                    <w:tc>
                      <w:tcPr>
                        <w:tcW w:type="dxa" w:w="2016"/>
                        <w:tcBorders>
                          <w:start w:sz="2.3999999999999773" w:val="single" w:color="#5B9AD4"/>
                          <w:top w:sz="3.200000000000273" w:val="single" w:color="#5B9AD4"/>
                          <w:end w:sz="2.400000000000091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54" w:lineRule="exact" w:before="12" w:after="0"/>
                          <w:ind w:left="14" w:right="0" w:firstLine="0"/>
                          <w:jc w:val="left"/>
                        </w:pP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>GLPI #857752 – 29-</w:t>
                        </w: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nov-2024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20"/>
                  </w:tblGrid>
                  <w:tr>
                    <w:trPr>
                      <w:trHeight w:hRule="exact" w:val="960"/>
                    </w:trPr>
                    <w:tc>
                      <w:tcPr>
                        <w:tcW w:type="dxa" w:w="2880"/>
                        <w:tcBorders>
                          <w:start w:sz="4.0" w:val="single" w:color="#5B9AD4"/>
                          <w:top w:sz="3.200000000000273" w:val="single" w:color="#5B9AD4"/>
                          <w:end w:sz="4.0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54" w:lineRule="exact" w:before="12" w:after="0"/>
                          <w:ind w:left="16" w:right="0" w:firstLine="0"/>
                          <w:jc w:val="left"/>
                        </w:pP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Access Denied desde SAP PO </w:t>
                        </w: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(P9P)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2700"/>
                  </w:tblGrid>
                  <w:tr>
                    <w:trPr>
                      <w:trHeight w:hRule="exact" w:val="960"/>
                    </w:trPr>
                    <w:tc>
                      <w:tcPr>
                        <w:tcW w:type="dxa" w:w="2660"/>
                        <w:tcBorders>
                          <w:start w:sz="3.200000000000273" w:val="single" w:color="#5B9AD4"/>
                          <w:top w:sz="3.200000000000273" w:val="single" w:color="#5B9AD4"/>
                          <w:end w:sz="4.0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54" w:lineRule="exact" w:before="12" w:after="0"/>
                          <w:ind w:left="12" w:right="576" w:firstLine="0"/>
                          <w:jc w:val="left"/>
                        </w:pP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Apertura reglas FW y </w:t>
                        </w: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validación SOAP-UI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2340"/>
                  </w:tblGrid>
                  <w:tr>
                    <w:trPr>
                      <w:trHeight w:hRule="exact" w:val="960"/>
                    </w:trPr>
                    <w:tc>
                      <w:tcPr>
                        <w:tcW w:type="dxa" w:w="2310"/>
                        <w:tcBorders>
                          <w:start w:sz="3.200000000000273" w:val="single" w:color="#5B9AD4"/>
                          <w:top w:sz="3.200000000000273" w:val="single" w:color="#5B9AD4"/>
                          <w:end w:sz="3.199999999999818" w:val="single" w:color="#5B9AD4"/>
                          <w:bottom w:sz="4.0" w:val="single" w:color="#5B9AD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54" w:lineRule="exact" w:before="12" w:after="0"/>
                          <w:ind w:left="18" w:right="144" w:firstLine="0"/>
                          <w:jc w:val="left"/>
                        </w:pP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>Error 500 resuelto 13-</w:t>
                        </w:r>
                        <w:r>
                          <w:rPr>
                            <w:w w:val="102.05118279708059"/>
                            <w:rFonts w:ascii="CIDFont+F4" w:hAnsi="CIDFont+F4" w:eastAsia="CIDFont+F4"/>
                            <w:b w:val="0"/>
                            <w:i w:val="0"/>
                            <w:color w:val="000000"/>
                            <w:sz w:val="19"/>
                          </w:rPr>
                          <w:t xml:space="preserve">dic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6" w:lineRule="exact" w:before="7772" w:after="0"/>
        <w:ind w:left="0" w:right="1636" w:firstLine="0"/>
        <w:jc w:val="right"/>
      </w:pPr>
      <w:r>
        <w:rPr>
          <w:w w:val="97.33870824178061"/>
          <w:rFonts w:ascii="CIDFont+F3" w:hAnsi="CIDFont+F3" w:eastAsia="CIDFont+F3"/>
          <w:b w:val="0"/>
          <w:i w:val="0"/>
          <w:color w:val="000000"/>
          <w:sz w:val="18"/>
        </w:rPr>
        <w:t xml:space="preserve">23 </w:t>
      </w:r>
    </w:p>
    <w:p>
      <w:pPr>
        <w:sectPr>
          <w:pgSz w:w="11906" w:h="16838"/>
          <w:pgMar w:top="764" w:right="848" w:bottom="80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0.0" w:type="dxa"/>
      </w:tblPr>
      <w:tblGrid>
        <w:gridCol w:w="6979"/>
        <w:gridCol w:w="6979"/>
      </w:tblGrid>
      <w:tr>
        <w:trPr>
          <w:trHeight w:hRule="exact" w:val="1672"/>
        </w:trPr>
        <w:tc>
          <w:tcPr>
            <w:tcW w:type="dxa" w:w="581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4270" cy="8763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270" cy="876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0" w:after="0"/>
              <w:ind w:left="5050" w:right="0" w:hanging="1096"/>
              <w:jc w:val="left"/>
            </w:pPr>
            <w:r>
              <w:rPr>
                <w:w w:val="102.0473078677528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 Estado actual plataforma BBDD </w:t>
            </w:r>
            <w:r>
              <w:br/>
            </w:r>
            <w:r>
              <w:rPr>
                <w:w w:val="102.0473078677528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Ref. Doc_Tec_202505 </w:t>
            </w:r>
          </w:p>
        </w:tc>
      </w:tr>
    </w:tbl>
    <w:p>
      <w:pPr>
        <w:autoSpaceDN w:val="0"/>
        <w:autoSpaceDE w:val="0"/>
        <w:pStyle w:val="Heading1"/>
        <w:widowControl/>
        <w:spacing w:line="376" w:lineRule="exact" w:before="322" w:after="0"/>
        <w:ind w:left="680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1"/>
        </w:rPr>
        <w:t>4.</w:t>
      </w:r>
      <w:r>
        <w:rPr>
          <w:rFonts w:ascii="CIDFont+F1" w:hAnsi="CIDFont+F1" w:eastAsia="CIDFont+F1"/>
          <w:b/>
          <w:i w:val="0"/>
          <w:color w:val="000000"/>
          <w:sz w:val="31"/>
          <w:u w:val="single"/>
        </w:rPr>
        <w:t>Arquitectura funcional del flujo F100</w:t>
      </w:r>
    </w:p>
    <w:p>
      <w:pPr>
        <w:autoSpaceDN w:val="0"/>
        <w:autoSpaceDE w:val="0"/>
        <w:widowControl/>
        <w:spacing w:line="240" w:lineRule="auto" w:before="46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360409" cy="36271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60409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268" w:right="1440" w:bottom="14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sectPr>
          <w:pgSz w:w="11906" w:h="16838"/>
          <w:pgMar w:top="626" w:right="780" w:bottom="1338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5540" cy="876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626" w:right="780" w:bottom="1338" w:left="878" w:header="720" w:footer="720" w:gutter="0"/>
          <w:cols w:num="2" w:equalWidth="0">
            <w:col w:w="4279" w:space="0"/>
            <w:col w:w="5968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236" w:lineRule="exact" w:before="0" w:after="784"/>
        <w:ind w:left="3486" w:right="0" w:hanging="1096"/>
        <w:jc w:val="left"/>
      </w:pP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 xml:space="preserve"> Estado actual plataforma BBDD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 xml:space="preserve">Ref. Doc_Tec_202505 </w:t>
      </w:r>
    </w:p>
    <w:p>
      <w:pPr>
        <w:sectPr>
          <w:type w:val="nextColumn"/>
          <w:pgSz w:w="11906" w:h="16838"/>
          <w:pgMar w:top="626" w:right="780" w:bottom="1338" w:left="878" w:header="720" w:footer="720" w:gutter="0"/>
          <w:cols w:num="2" w:equalWidth="0">
            <w:col w:w="4279" w:space="0"/>
            <w:col w:w="5968" w:space="0"/>
          </w:cols>
          <w:docGrid w:linePitch="360"/>
        </w:sectPr>
      </w:pPr>
    </w:p>
    <w:p>
      <w:pPr>
        <w:autoSpaceDN w:val="0"/>
        <w:autoSpaceDE w:val="0"/>
        <w:widowControl/>
        <w:spacing w:line="356" w:lineRule="exact" w:before="888" w:after="0"/>
        <w:ind w:left="90" w:right="20" w:firstLine="0"/>
        <w:jc w:val="both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El flujo funcional denominado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F100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constituye el núcleo del proceso de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 xml:space="preserve">carga estructurada de datos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de obras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en el ecosistema de bases de datos de Navantia. Esta arquitectura permite la integración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coordinada de información procedente de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SAP, ECADAT y sistemas legados (DB2/VSAM)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hacia las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bases de datos funcionales del entorno AWD, aplicando reglas de negocio, validaciones y consolidación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por país o cliente final. </w:t>
      </w:r>
    </w:p>
    <w:p>
      <w:pPr>
        <w:autoSpaceDN w:val="0"/>
        <w:autoSpaceDE w:val="0"/>
        <w:widowControl/>
        <w:spacing w:line="236" w:lineRule="exact" w:before="392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El esquema general de F100 está compuesto por las siguientes fases y componentes: </w:t>
      </w:r>
    </w:p>
    <w:p>
      <w:pPr>
        <w:autoSpaceDN w:val="0"/>
        <w:tabs>
          <w:tab w:pos="1190" w:val="left"/>
        </w:tabs>
        <w:autoSpaceDE w:val="0"/>
        <w:widowControl/>
        <w:spacing w:line="284" w:lineRule="exact" w:before="388" w:after="0"/>
        <w:ind w:left="90" w:right="0" w:firstLine="0"/>
        <w:jc w:val="left"/>
      </w:pPr>
      <w:r>
        <w:rPr>
          <w:w w:val="101.57046940015711"/>
          <w:rFonts w:ascii="CIDFont+F5" w:hAnsi="CIDFont+F5" w:eastAsia="CIDFont+F5"/>
          <w:b/>
          <w:i w:val="0"/>
          <w:color w:val="000000"/>
          <w:sz w:val="23"/>
        </w:rPr>
        <w:t>4.1.</w:t>
      </w:r>
      <w:r>
        <w:tab/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 xml:space="preserve"> Origen de datos </w:t>
      </w:r>
    </w:p>
    <w:p>
      <w:pPr>
        <w:autoSpaceDN w:val="0"/>
        <w:autoSpaceDE w:val="0"/>
        <w:widowControl/>
        <w:spacing w:line="234" w:lineRule="exact" w:before="416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Los datos de obra se generan en distintos sistemas fuente: </w:t>
      </w:r>
    </w:p>
    <w:p>
      <w:pPr>
        <w:autoSpaceDN w:val="0"/>
        <w:tabs>
          <w:tab w:pos="790" w:val="left"/>
        </w:tabs>
        <w:autoSpaceDE w:val="0"/>
        <w:widowControl/>
        <w:spacing w:line="238" w:lineRule="exact" w:before="392" w:after="0"/>
        <w:ind w:left="440" w:right="0" w:firstLine="0"/>
        <w:jc w:val="left"/>
      </w:pPr>
      <w:r>
        <w:rPr>
          <w:w w:val="102.05118279708059"/>
          <w:rFonts w:ascii="CIDFont+F11" w:hAnsi="CIDFont+F11" w:eastAsia="CIDFont+F11"/>
          <w:b w:val="0"/>
          <w:i w:val="0"/>
          <w:color w:val="000000"/>
          <w:sz w:val="19"/>
        </w:rPr>
        <w:t></w:t>
      </w:r>
      <w:r>
        <w:tab/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SAP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: estructura técnica y materiales asociados. </w:t>
      </w:r>
    </w:p>
    <w:p>
      <w:pPr>
        <w:autoSpaceDN w:val="0"/>
        <w:tabs>
          <w:tab w:pos="790" w:val="left"/>
        </w:tabs>
        <w:autoSpaceDE w:val="0"/>
        <w:widowControl/>
        <w:spacing w:line="238" w:lineRule="exact" w:before="114" w:after="0"/>
        <w:ind w:left="440" w:right="0" w:firstLine="0"/>
        <w:jc w:val="left"/>
      </w:pPr>
      <w:r>
        <w:rPr>
          <w:w w:val="102.05118279708059"/>
          <w:rFonts w:ascii="CIDFont+F11" w:hAnsi="CIDFont+F11" w:eastAsia="CIDFont+F11"/>
          <w:b w:val="0"/>
          <w:i w:val="0"/>
          <w:color w:val="000000"/>
          <w:sz w:val="19"/>
        </w:rPr>
        <w:t></w:t>
      </w:r>
      <w:r>
        <w:tab/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ECADAT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: catálogos de elementos constructivos. </w:t>
      </w:r>
    </w:p>
    <w:p>
      <w:pPr>
        <w:autoSpaceDN w:val="0"/>
        <w:tabs>
          <w:tab w:pos="790" w:val="left"/>
        </w:tabs>
        <w:autoSpaceDE w:val="0"/>
        <w:widowControl/>
        <w:spacing w:line="354" w:lineRule="exact" w:before="2" w:after="0"/>
        <w:ind w:left="440" w:right="0" w:firstLine="0"/>
        <w:jc w:val="left"/>
      </w:pPr>
      <w:r>
        <w:rPr>
          <w:w w:val="102.05118279708059"/>
          <w:rFonts w:ascii="CIDFont+F11" w:hAnsi="CIDFont+F11" w:eastAsia="CIDFont+F11"/>
          <w:b w:val="0"/>
          <w:i w:val="0"/>
          <w:color w:val="000000"/>
          <w:sz w:val="19"/>
        </w:rPr>
        <w:t></w:t>
      </w:r>
      <w:r>
        <w:tab/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DB2/VSAM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 y </w:t>
      </w:r>
      <w:r>
        <w:rPr>
          <w:w w:val="102.05118279708059"/>
          <w:rFonts w:ascii="CIDFont+F1" w:hAnsi="CIDFont+F1" w:eastAsia="CIDFont+F1"/>
          <w:b/>
          <w:i w:val="0"/>
          <w:color w:val="000000"/>
          <w:sz w:val="19"/>
        </w:rPr>
        <w:t>Necora Negro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: datos heredados, consolidados en Mirror DB2/SAM para </w:t>
      </w:r>
      <w:r>
        <w:tab/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compatibilidad. </w:t>
      </w:r>
    </w:p>
    <w:p>
      <w:pPr>
        <w:autoSpaceDN w:val="0"/>
        <w:autoSpaceDE w:val="0"/>
        <w:widowControl/>
        <w:spacing w:line="358" w:lineRule="exact" w:before="266" w:after="0"/>
        <w:ind w:left="90" w:right="0" w:firstLine="0"/>
        <w:jc w:val="left"/>
      </w:pP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Estos datos se integran inicialmente en bases intermedias como New PRYC, PRYC, GDoc o </w:t>
      </w:r>
      <w:r>
        <w:rPr>
          <w:w w:val="102.05118279708059"/>
          <w:rFonts w:ascii="CIDFont+F4" w:hAnsi="CIDFont+F4" w:eastAsia="CIDFont+F4"/>
          <w:b w:val="0"/>
          <w:i w:val="0"/>
          <w:color w:val="000000"/>
          <w:sz w:val="19"/>
        </w:rPr>
        <w:t xml:space="preserve">Necor@ECADAT. </w:t>
      </w:r>
    </w:p>
    <w:p>
      <w:pPr>
        <w:autoSpaceDN w:val="0"/>
        <w:tabs>
          <w:tab w:pos="1190" w:val="left"/>
        </w:tabs>
        <w:autoSpaceDE w:val="0"/>
        <w:widowControl/>
        <w:spacing w:line="284" w:lineRule="exact" w:before="860" w:after="0"/>
        <w:ind w:left="90" w:right="0" w:firstLine="0"/>
        <w:jc w:val="left"/>
      </w:pPr>
      <w:r>
        <w:rPr>
          <w:w w:val="101.57046940015711"/>
          <w:rFonts w:ascii="CIDFont+F5" w:hAnsi="CIDFont+F5" w:eastAsia="CIDFont+F5"/>
          <w:b/>
          <w:i w:val="0"/>
          <w:color w:val="000000"/>
          <w:sz w:val="23"/>
        </w:rPr>
        <w:t xml:space="preserve">4.2. </w:t>
      </w:r>
      <w:r>
        <w:tab/>
      </w:r>
      <w:r>
        <w:rPr>
          <w:w w:val="101.57046940015711"/>
          <w:rFonts w:ascii="CIDFont+F1" w:hAnsi="CIDFont+F1" w:eastAsia="CIDFont+F1"/>
          <w:b/>
          <w:i w:val="0"/>
          <w:color w:val="000000"/>
          <w:sz w:val="23"/>
        </w:rPr>
        <w:t xml:space="preserve">Interfaces de carga principales </w:t>
      </w:r>
    </w:p>
    <w:p>
      <w:pPr>
        <w:autoSpaceDN w:val="0"/>
        <w:autoSpaceDE w:val="0"/>
        <w:widowControl/>
        <w:spacing w:line="260" w:lineRule="exact" w:before="422" w:after="408"/>
        <w:ind w:left="90" w:right="0" w:firstLine="0"/>
        <w:jc w:val="left"/>
      </w:pPr>
      <w:r>
        <w:rPr>
          <w:w w:val="101.57046940015711"/>
          <w:rFonts w:ascii="CIDFont+F9" w:hAnsi="CIDFont+F9" w:eastAsia="CIDFont+F9"/>
          <w:b w:val="0"/>
          <w:i w:val="0"/>
          <w:color w:val="000000"/>
          <w:sz w:val="23"/>
        </w:rPr>
        <w:t xml:space="preserve">Las dos cargas operativas clave son: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416"/>
        <w:gridCol w:w="3416"/>
        <w:gridCol w:w="3416"/>
      </w:tblGrid>
      <w:tr>
        <w:trPr>
          <w:trHeight w:hRule="exact" w:val="708"/>
        </w:trPr>
        <w:tc>
          <w:tcPr>
            <w:tcW w:type="dxa" w:w="10026"/>
            <w:gridSpan w:val="3"/>
            <w:tcBorders>
              <w:start w:sz="3.1999999999999886" w:val="single" w:color="#5B9AD4"/>
              <w:top w:sz="3.199999999999818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3342"/>
              <w:gridCol w:w="3342"/>
              <w:gridCol w:w="3342"/>
            </w:tblGrid>
            <w:tr>
              <w:trPr>
                <w:trHeight w:hRule="exact" w:val="652"/>
              </w:trPr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97" w:type="dxa"/>
                  </w:tblPr>
                  <w:tblGrid>
                    <w:gridCol w:w="1460"/>
                  </w:tblGrid>
                  <w:tr>
                    <w:trPr>
                      <w:trHeight w:hRule="exact" w:val="606"/>
                    </w:trPr>
                    <w:tc>
                      <w:tcPr>
                        <w:tcW w:type="dxa" w:w="1422"/>
                        <w:tcBorders>
                          <w:start w:sz="2.3999999999999773" w:val="single" w:color="#5B9AD4"/>
                          <w:top w:sz="4.0" w:val="single" w:color="#5B9AD4"/>
                          <w:end w:sz="4.0" w:val="single" w:color="#5B9AD4"/>
                          <w:bottom w:sz="4.0" w:val="single" w:color="#5B9AD4"/>
                        </w:tcBorders>
                        <w:shd w:fill="bcd6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 xml:space="preserve">Job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4340"/>
                  </w:tblGrid>
                  <w:tr>
                    <w:trPr>
                      <w:trHeight w:hRule="exact" w:val="606"/>
                    </w:trPr>
                    <w:tc>
                      <w:tcPr>
                        <w:tcW w:type="dxa" w:w="4292"/>
                        <w:tcBorders>
                          <w:start w:sz="4.0" w:val="single" w:color="#5B9AD4"/>
                          <w:top w:sz="4.0" w:val="single" w:color="#5B9AD4"/>
                          <w:end w:sz="4.0" w:val="single" w:color="#5B9AD4"/>
                          <w:bottom w:sz="4.0" w:val="single" w:color="#5B9AD4"/>
                        </w:tcBorders>
                        <w:shd w:fill="bcd6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 xml:space="preserve">Instancia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220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4220"/>
                  </w:tblGrid>
                  <w:tr>
                    <w:trPr>
                      <w:trHeight w:hRule="exact" w:val="606"/>
                    </w:trPr>
                    <w:tc>
                      <w:tcPr>
                        <w:tcW w:type="dxa" w:w="4196"/>
                        <w:tcBorders>
                          <w:start w:sz="4.0" w:val="single" w:color="#5B9AD4"/>
                          <w:top w:sz="4.0" w:val="single" w:color="#5B9AD4"/>
                          <w:end w:sz="3.199999999999818" w:val="single" w:color="#5B9AD4"/>
                          <w:bottom w:sz="4.0" w:val="single" w:color="#5B9AD4"/>
                        </w:tcBorders>
                        <w:shd w:fill="bcd6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05118279708059"/>
                            <w:rFonts w:ascii="CIDFont+F1" w:hAnsi="CIDFont+F1" w:eastAsia="CIDFont+F1"/>
                            <w:b/>
                            <w:i w:val="0"/>
                            <w:color w:val="000000"/>
                            <w:sz w:val="19"/>
                          </w:rPr>
                          <w:t xml:space="preserve">Descripción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61"/>
        </w:trPr>
        <w:tc>
          <w:tcPr>
            <w:tcW w:type="dxa" w:w="1460"/>
            <w:tcBorders>
              <w:start w:sz="2.3999999999999773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6" w:val="left"/>
              </w:tabs>
              <w:autoSpaceDE w:val="0"/>
              <w:widowControl/>
              <w:spacing w:line="236" w:lineRule="exact" w:before="130" w:after="0"/>
              <w:ind w:left="3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Job </w:t>
            </w:r>
            <w:r>
              <w:tab/>
            </w: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21: </w:t>
            </w:r>
          </w:p>
          <w:p>
            <w:pPr>
              <w:autoSpaceDN w:val="0"/>
              <w:autoSpaceDE w:val="0"/>
              <w:widowControl/>
              <w:spacing w:line="234" w:lineRule="exact" w:before="120" w:after="0"/>
              <w:ind w:left="3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/>
                <w:i w:val="0"/>
                <w:color w:val="000000"/>
                <w:sz w:val="19"/>
              </w:rPr>
              <w:t>Carga</w:t>
            </w:r>
          </w:p>
        </w:tc>
        <w:tc>
          <w:tcPr>
            <w:tcW w:type="dxa" w:w="4332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2" w:after="0"/>
              <w:ind w:left="0" w:right="0" w:firstLine="0"/>
              <w:jc w:val="center"/>
            </w:pPr>
            <w:r>
              <w:rPr>
                <w:w w:val="102.05118279708059"/>
                <w:rFonts w:ascii="CIDFont+F10" w:hAnsi="CIDFont+F10" w:eastAsia="CIDFont+F10"/>
                <w:b w:val="0"/>
                <w:i w:val="0"/>
                <w:color w:val="000000"/>
                <w:sz w:val="19"/>
              </w:rPr>
              <w:t>MASQL20142\NECORANET.InterfacesAWD_PEC</w:t>
            </w:r>
          </w:p>
        </w:tc>
        <w:tc>
          <w:tcPr>
            <w:tcW w:type="dxa" w:w="4234"/>
            <w:tcBorders>
              <w:start w:sz="4.0" w:val="single" w:color="#5B9AD4"/>
              <w:top w:sz="3.199999999999818" w:val="single" w:color="#5B9AD4"/>
              <w:end w:sz="3.199999999999818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2" w:after="0"/>
              <w:ind w:left="32" w:right="0" w:firstLine="0"/>
              <w:jc w:val="left"/>
            </w:pP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Integra información desde SAP, ECADAT y </w:t>
            </w:r>
            <w:r>
              <w:rPr>
                <w:w w:val="102.05118279708059"/>
                <w:rFonts w:ascii="CIDFont+F4" w:hAnsi="CIDFont+F4" w:eastAsia="CIDFont+F4"/>
                <w:b w:val="0"/>
                <w:i w:val="0"/>
                <w:color w:val="000000"/>
                <w:sz w:val="19"/>
              </w:rPr>
              <w:t xml:space="preserve">PRYC. Aplica validaciones iniciales.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838"/>
      <w:pgMar w:top="626" w:right="780" w:bottom="1338" w:left="8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