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1879600</wp:posOffset>
            </wp:positionV>
            <wp:extent cx="7222490" cy="39303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2490" cy="3930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5806440</wp:posOffset>
            </wp:positionV>
            <wp:extent cx="6454140" cy="127895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12789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7085330</wp:posOffset>
            </wp:positionV>
            <wp:extent cx="7363459" cy="255816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3459" cy="25581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3390900</wp:posOffset>
            </wp:positionV>
            <wp:extent cx="6159500" cy="6337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6337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520" w:lineRule="exact" w:before="952" w:after="0"/>
        <w:ind w:left="992" w:right="864" w:firstLine="0"/>
        <w:jc w:val="left"/>
      </w:pPr>
      <w:r>
        <w:rPr>
          <w:rFonts w:ascii="CIDFont+F3" w:hAnsi="CIDFont+F3" w:eastAsia="CIDFont+F3"/>
          <w:b w:val="0"/>
          <w:i w:val="0"/>
          <w:color w:val="2E74B5"/>
          <w:sz w:val="70"/>
        </w:rPr>
        <w:t xml:space="preserve">ESTADO ACTUAL  PLATAFORMA </w:t>
      </w:r>
      <w:r>
        <w:rPr>
          <w:rFonts w:ascii="CIDFont+F3" w:hAnsi="CIDFont+F3" w:eastAsia="CIDFont+F3"/>
          <w:b w:val="0"/>
          <w:i w:val="0"/>
          <w:color w:val="2E74B5"/>
          <w:sz w:val="70"/>
        </w:rPr>
        <w:t xml:space="preserve">BBDD </w:t>
      </w:r>
      <w:r>
        <w:br/>
      </w:r>
      <w:r>
        <w:rPr>
          <w:w w:val="101.5683298525603"/>
          <w:rFonts w:ascii="CIDFont+F3" w:hAnsi="CIDFont+F3" w:eastAsia="CIDFont+F3"/>
          <w:b w:val="0"/>
          <w:i w:val="0"/>
          <w:color w:val="8496B0"/>
          <w:sz w:val="23"/>
        </w:rPr>
        <w:t>MAYO 2025</w:t>
      </w:r>
    </w:p>
    <w:p>
      <w:pPr>
        <w:autoSpaceDN w:val="0"/>
        <w:autoSpaceDE w:val="0"/>
        <w:pStyle w:val="Heading1"/>
        <w:widowControl/>
        <w:spacing w:line="188" w:lineRule="exact" w:before="5518" w:after="0"/>
        <w:ind w:left="0" w:right="876" w:firstLine="0"/>
        <w:jc w:val="right"/>
      </w:pPr>
      <w:r>
        <w:rPr>
          <w:w w:val="97.82322645187378"/>
          <w:rFonts w:ascii="CIDFont+F5" w:hAnsi="CIDFont+F5" w:eastAsia="CIDFont+F5"/>
          <w:b/>
          <w:i w:val="0"/>
          <w:color w:val="005DB5"/>
          <w:sz w:val="16"/>
        </w:rPr>
        <w:t>INFORMACIÓN CLASIFICADA POR NAVANTIA</w:t>
      </w:r>
    </w:p>
    <w:p>
      <w:pPr>
        <w:autoSpaceDN w:val="0"/>
        <w:autoSpaceDE w:val="0"/>
        <w:pStyle w:val="Heading1"/>
        <w:widowControl/>
        <w:spacing w:line="162" w:lineRule="exact" w:before="134" w:after="0"/>
        <w:ind w:left="0" w:right="1988" w:firstLine="0"/>
        <w:jc w:val="right"/>
      </w:pPr>
      <w:r>
        <w:rPr>
          <w:w w:val="96.78027970450265"/>
          <w:rFonts w:ascii="CIDFont+F5" w:hAnsi="CIDFont+F5" w:eastAsia="CIDFont+F5"/>
          <w:b/>
          <w:i w:val="0"/>
          <w:color w:val="005DB5"/>
          <w:sz w:val="14"/>
        </w:rPr>
        <w:t>CONFIDENCIAL NAVANTIA</w:t>
      </w:r>
    </w:p>
    <w:p>
      <w:pPr>
        <w:autoSpaceDN w:val="0"/>
        <w:tabs>
          <w:tab w:pos="6214" w:val="left"/>
          <w:tab w:pos="6446" w:val="left"/>
          <w:tab w:pos="8308" w:val="left"/>
          <w:tab w:pos="8328" w:val="left"/>
        </w:tabs>
        <w:autoSpaceDE w:val="0"/>
        <w:widowControl/>
        <w:spacing w:line="158" w:lineRule="exact" w:before="22" w:after="0"/>
        <w:ind w:left="5312" w:right="0" w:firstLine="0"/>
        <w:jc w:val="left"/>
      </w:pPr>
      <w:r>
        <w:rPr>
          <w:w w:val="96.78027970450265"/>
          <w:rFonts w:ascii="CIDFont+F6" w:hAnsi="CIDFont+F6" w:eastAsia="CIDFont+F6"/>
          <w:b w:val="0"/>
          <w:i w:val="0"/>
          <w:color w:val="005DB5"/>
          <w:sz w:val="14"/>
        </w:rPr>
        <w:t xml:space="preserve">ESTE DOCUMENTO Y LA INFORMACIÓN QUE CONTIENE SON PROPIEDAD DE NAVANTIA </w:t>
      </w:r>
      <w:r>
        <w:rPr>
          <w:w w:val="96.78027970450265"/>
          <w:rFonts w:ascii="CIDFont+F6" w:hAnsi="CIDFont+F6" w:eastAsia="CIDFont+F6"/>
          <w:b w:val="0"/>
          <w:i w:val="0"/>
          <w:color w:val="005DB5"/>
          <w:sz w:val="14"/>
        </w:rPr>
        <w:t xml:space="preserve">NO PUEDE SER REPRODUCIDO PARCIAL O TOTALMENTE NI DIVULGADO A TERCEROS </w:t>
      </w:r>
      <w:r>
        <w:rPr>
          <w:w w:val="101.93790089000355"/>
          <w:rFonts w:ascii="CIDFont+F4" w:hAnsi="CIDFont+F4" w:eastAsia="CIDFont+F4"/>
          <w:b w:val="0"/>
          <w:i w:val="0"/>
          <w:color w:val="FFFFFF"/>
          <w:sz w:val="22"/>
        </w:rPr>
        <w:t xml:space="preserve">[*( </w:t>
      </w:r>
      <w:r>
        <w:rPr>
          <w:w w:val="101.93790089000355"/>
          <w:rFonts w:ascii="CIDFont+F4" w:hAnsi="CIDFont+F4" w:eastAsia="CIDFont+F4"/>
          <w:b w:val="0"/>
          <w:i w:val="0"/>
          <w:color w:val="FFFFFF"/>
          <w:sz w:val="22"/>
        </w:rPr>
        <w:t xml:space="preserve">Confidencial Navantia </w:t>
      </w:r>
      <w:r>
        <w:rPr>
          <w:w w:val="101.93790089000355"/>
          <w:rFonts w:ascii="CIDFont+F4" w:hAnsi="CIDFont+F4" w:eastAsia="CIDFont+F4"/>
          <w:b w:val="0"/>
          <w:i w:val="0"/>
          <w:color w:val="FFFFFF"/>
          <w:sz w:val="22"/>
        </w:rPr>
        <w:t xml:space="preserve">)*] </w:t>
      </w:r>
      <w:r>
        <w:br/>
      </w:r>
      <w:r>
        <w:rPr>
          <w:w w:val="96.78027970450265"/>
          <w:rFonts w:ascii="CIDFont+F6" w:hAnsi="CIDFont+F6" w:eastAsia="CIDFont+F6"/>
          <w:b w:val="0"/>
          <w:i w:val="0"/>
          <w:color w:val="005DB5"/>
          <w:sz w:val="14"/>
        </w:rPr>
        <w:t xml:space="preserve">SIN AUTORIZACIÓN ESCRITA DE NAVANTIA UNA VEZ FINALIZADA LA RAZÓN DE SU </w:t>
      </w:r>
      <w:r>
        <w:rPr>
          <w:w w:val="96.78027970450265"/>
          <w:rFonts w:ascii="CIDFont+F6" w:hAnsi="CIDFont+F6" w:eastAsia="CIDFont+F6"/>
          <w:b w:val="0"/>
          <w:i w:val="0"/>
          <w:color w:val="005DB5"/>
          <w:sz w:val="14"/>
        </w:rPr>
        <w:t xml:space="preserve">TRANSFERENCIA DEBERÁ SER DEVUELTO A NAVANTIA </w:t>
      </w:r>
      <w:r>
        <w:rPr>
          <w:w w:val="101.93790089000355"/>
          <w:rFonts w:ascii="CIDFont+F4" w:hAnsi="CIDFont+F4" w:eastAsia="CIDFont+F4"/>
          <w:b w:val="0"/>
          <w:i w:val="0"/>
          <w:color w:val="FFFFFF"/>
          <w:sz w:val="22"/>
        </w:rPr>
        <w:t xml:space="preserve">[*( </w:t>
      </w:r>
      <w:r>
        <w:rPr>
          <w:w w:val="101.93790089000355"/>
          <w:rFonts w:ascii="CIDFont+F4" w:hAnsi="CIDFont+F4" w:eastAsia="CIDFont+F4"/>
          <w:b w:val="0"/>
          <w:i w:val="0"/>
          <w:color w:val="FFFFFF"/>
          <w:sz w:val="22"/>
        </w:rPr>
        <w:t xml:space="preserve">Navantia Confidential </w:t>
      </w:r>
      <w:r>
        <w:rPr>
          <w:w w:val="101.93790089000355"/>
          <w:rFonts w:ascii="CIDFont+F4" w:hAnsi="CIDFont+F4" w:eastAsia="CIDFont+F4"/>
          <w:b w:val="0"/>
          <w:i w:val="0"/>
          <w:color w:val="FFFFFF"/>
          <w:sz w:val="22"/>
        </w:rPr>
        <w:t>)*]</w:t>
      </w:r>
    </w:p>
    <w:p>
      <w:pPr>
        <w:autoSpaceDN w:val="0"/>
        <w:autoSpaceDE w:val="0"/>
        <w:widowControl/>
        <w:spacing w:line="168" w:lineRule="exact" w:before="12" w:after="0"/>
        <w:ind w:left="5312" w:right="0" w:firstLine="1556"/>
        <w:jc w:val="left"/>
      </w:pPr>
      <w:r>
        <w:rPr>
          <w:w w:val="96.78027970450265"/>
          <w:rFonts w:ascii="CIDFont+F5" w:hAnsi="CIDFont+F5" w:eastAsia="CIDFont+F5"/>
          <w:b/>
          <w:i w:val="0"/>
          <w:color w:val="005DB5"/>
          <w:sz w:val="14"/>
        </w:rPr>
        <w:t xml:space="preserve">NAVANTIA CONFIDENTIAL </w:t>
      </w:r>
      <w:r>
        <w:br/>
      </w:r>
      <w:r>
        <w:rPr>
          <w:w w:val="96.78027970450265"/>
          <w:rFonts w:ascii="CIDFont+F6" w:hAnsi="CIDFont+F6" w:eastAsia="CIDFont+F6"/>
          <w:b w:val="0"/>
          <w:i w:val="0"/>
          <w:color w:val="005DB5"/>
          <w:sz w:val="14"/>
        </w:rPr>
        <w:t xml:space="preserve">THIS DOCUMENT AND THE INFORMATION HEREIN IS PROPERTY OF NAVANTIA </w:t>
      </w:r>
      <w:r>
        <w:br/>
      </w:r>
      <w:r>
        <w:rPr>
          <w:w w:val="96.78027970450265"/>
          <w:rFonts w:ascii="CIDFont+F6" w:hAnsi="CIDFont+F6" w:eastAsia="CIDFont+F6"/>
          <w:b w:val="0"/>
          <w:i w:val="0"/>
          <w:color w:val="005DB5"/>
          <w:sz w:val="14"/>
        </w:rPr>
        <w:t xml:space="preserve">IT CANNOT BE PARTIALLY OR TOTALLY REPRODUCED NOR DISCLOSED TO THIRD </w:t>
      </w:r>
      <w:r>
        <w:br/>
      </w:r>
      <w:r>
        <w:rPr>
          <w:w w:val="96.78027970450265"/>
          <w:rFonts w:ascii="CIDFont+F6" w:hAnsi="CIDFont+F6" w:eastAsia="CIDFont+F6"/>
          <w:b w:val="0"/>
          <w:i w:val="0"/>
          <w:color w:val="005DB5"/>
          <w:sz w:val="14"/>
        </w:rPr>
        <w:t xml:space="preserve">PARTIES WITHOUT WRITTEN PERMISSION FROM NAVANTIA ONCE THE REASON FOR </w:t>
      </w:r>
      <w:r>
        <w:br/>
      </w:r>
      <w:r>
        <w:rPr>
          <w:w w:val="96.78027970450265"/>
          <w:rFonts w:ascii="CIDFont+F6" w:hAnsi="CIDFont+F6" w:eastAsia="CIDFont+F6"/>
          <w:b w:val="0"/>
          <w:i w:val="0"/>
          <w:color w:val="005DB5"/>
          <w:sz w:val="14"/>
        </w:rPr>
        <w:t>WHICH IT WAS TRANSFERED IS OVER IT MUST BE RETURNED TO NAVANTIA</w:t>
      </w:r>
    </w:p>
    <w:p>
      <w:pPr>
        <w:sectPr>
          <w:pgSz w:w="11906" w:h="16838"/>
          <w:pgMar w:top="1440" w:right="1216" w:bottom="7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86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0" w:right="972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pStyle w:val="Heading1"/>
        <w:widowControl/>
        <w:spacing w:line="568" w:lineRule="exact" w:before="1088" w:after="0"/>
        <w:ind w:left="92" w:right="0" w:firstLine="0"/>
        <w:jc w:val="left"/>
      </w:pPr>
      <w:r>
        <w:rPr>
          <w:rFonts w:ascii="CIDFont+F1" w:hAnsi="CIDFont+F1" w:eastAsia="CIDFont+F1"/>
          <w:b w:val="0"/>
          <w:i w:val="0"/>
          <w:color w:val="144080"/>
          <w:sz w:val="47"/>
        </w:rPr>
        <w:t>ÍNDICE</w:t>
      </w:r>
    </w:p>
    <w:p>
      <w:pPr>
        <w:autoSpaceDN w:val="0"/>
        <w:tabs>
          <w:tab w:pos="792" w:val="left"/>
        </w:tabs>
        <w:autoSpaceDE w:val="0"/>
        <w:widowControl/>
        <w:spacing w:line="286" w:lineRule="exact" w:before="490" w:after="0"/>
        <w:ind w:left="86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 xml:space="preserve">1. </w:t>
      </w:r>
      <w:r>
        <w:tab/>
      </w: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 xml:space="preserve">Objeto del </w:t>
      </w:r>
    </w:p>
    <w:p>
      <w:pPr>
        <w:autoSpaceDN w:val="0"/>
        <w:autoSpaceDE w:val="0"/>
        <w:widowControl/>
        <w:spacing w:line="284" w:lineRule="exact" w:before="20" w:after="0"/>
        <w:ind w:left="86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 xml:space="preserve">documento...................................................................................................................5 2. Descripción </w:t>
      </w:r>
    </w:p>
    <w:p>
      <w:pPr>
        <w:autoSpaceDN w:val="0"/>
        <w:autoSpaceDE w:val="0"/>
        <w:widowControl/>
        <w:spacing w:line="284" w:lineRule="exact" w:before="28" w:after="0"/>
        <w:ind w:left="86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>del sistema actual......................................................................................................6</w:t>
      </w:r>
    </w:p>
    <w:p>
      <w:pPr>
        <w:autoSpaceDN w:val="0"/>
        <w:tabs>
          <w:tab w:pos="1134" w:val="left"/>
        </w:tabs>
        <w:autoSpaceDE w:val="0"/>
        <w:widowControl/>
        <w:spacing w:line="252" w:lineRule="exact" w:before="192" w:after="0"/>
        <w:ind w:left="286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404040"/>
          <w:sz w:val="19"/>
        </w:rPr>
        <w:t xml:space="preserve">2.1. 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Núcleo HOSTDB2 (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MASQL20171\HOSTDB2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)............................................................................................................7</w:t>
      </w:r>
    </w:p>
    <w:p>
      <w:pPr>
        <w:autoSpaceDN w:val="0"/>
        <w:tabs>
          <w:tab w:pos="1140" w:val="left"/>
        </w:tabs>
        <w:autoSpaceDE w:val="0"/>
        <w:widowControl/>
        <w:spacing w:line="252" w:lineRule="exact" w:before="156" w:after="0"/>
        <w:ind w:left="286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404040"/>
          <w:sz w:val="19"/>
        </w:rPr>
        <w:t xml:space="preserve">2.2.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Plataforma Necor@ clásica (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MASQL20142\SQL20142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)..........................................................................................7</w:t>
      </w:r>
    </w:p>
    <w:p>
      <w:pPr>
        <w:autoSpaceDN w:val="0"/>
        <w:tabs>
          <w:tab w:pos="1150" w:val="left"/>
        </w:tabs>
        <w:autoSpaceDE w:val="0"/>
        <w:widowControl/>
        <w:spacing w:line="252" w:lineRule="exact" w:before="158" w:after="0"/>
        <w:ind w:left="286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404040"/>
          <w:sz w:val="19"/>
        </w:rPr>
        <w:t xml:space="preserve">2.3.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Plataforma Necor@ extendida (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MASQL20142\NECORANET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)..................................................................................7</w:t>
      </w:r>
    </w:p>
    <w:p>
      <w:pPr>
        <w:autoSpaceDN w:val="0"/>
        <w:tabs>
          <w:tab w:pos="1154" w:val="left"/>
        </w:tabs>
        <w:autoSpaceDE w:val="0"/>
        <w:widowControl/>
        <w:spacing w:line="252" w:lineRule="exact" w:before="160" w:after="0"/>
        <w:ind w:left="286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404040"/>
          <w:sz w:val="19"/>
        </w:rPr>
        <w:t xml:space="preserve">2.4. 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Clientes internacionales (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SQL Server 2022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)........................................................................................................8</w:t>
      </w:r>
    </w:p>
    <w:p>
      <w:pPr>
        <w:autoSpaceDN w:val="0"/>
        <w:autoSpaceDE w:val="0"/>
        <w:widowControl/>
        <w:spacing w:line="252" w:lineRule="exact" w:before="170" w:after="0"/>
        <w:ind w:left="278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404040"/>
          <w:sz w:val="19"/>
        </w:rPr>
        <w:t xml:space="preserve">2.5. 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Servicios intermedios (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MASERVF9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).............................................................................................................................8 </w:t>
      </w:r>
      <w:r>
        <w:rPr>
          <w:w w:val="102.05118279708059"/>
          <w:rFonts w:ascii="CIDFont+F6" w:hAnsi="CIDFont+F6" w:eastAsia="CIDFont+F6"/>
          <w:b w:val="0"/>
          <w:i w:val="0"/>
          <w:color w:val="404040"/>
          <w:sz w:val="19"/>
        </w:rPr>
        <w:t xml:space="preserve">2.6. </w:t>
      </w:r>
    </w:p>
    <w:p>
      <w:pPr>
        <w:autoSpaceDN w:val="0"/>
        <w:autoSpaceDE w:val="0"/>
        <w:widowControl/>
        <w:spacing w:line="238" w:lineRule="exact" w:before="138" w:after="0"/>
        <w:ind w:left="278" w:right="0" w:firstLine="0"/>
        <w:jc w:val="left"/>
      </w:pP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Flujos de carga y extracción..........................................................................................................................................9</w:t>
      </w:r>
    </w:p>
    <w:p>
      <w:pPr>
        <w:autoSpaceDN w:val="0"/>
        <w:autoSpaceDE w:val="0"/>
        <w:widowControl/>
        <w:spacing w:line="286" w:lineRule="exact" w:before="286" w:after="0"/>
        <w:ind w:left="92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>3.</w:t>
      </w: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>Detalle técnico por servidor/instancia........................................................................................10</w:t>
      </w:r>
    </w:p>
    <w:p>
      <w:pPr>
        <w:autoSpaceDN w:val="0"/>
        <w:tabs>
          <w:tab w:pos="1148" w:val="left"/>
        </w:tabs>
        <w:autoSpaceDE w:val="0"/>
        <w:widowControl/>
        <w:spacing w:line="246" w:lineRule="exact" w:before="218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3.1.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MASQL20171\HOSTDB2.............................................................................................................................................1</w:t>
      </w:r>
    </w:p>
    <w:p>
      <w:pPr>
        <w:autoSpaceDN w:val="0"/>
        <w:autoSpaceDE w:val="0"/>
        <w:widowControl/>
        <w:spacing w:line="236" w:lineRule="exact" w:before="20" w:after="0"/>
        <w:ind w:left="1148" w:right="0" w:firstLine="0"/>
        <w:jc w:val="left"/>
      </w:pP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0</w:t>
      </w:r>
    </w:p>
    <w:p>
      <w:pPr>
        <w:autoSpaceDN w:val="0"/>
        <w:tabs>
          <w:tab w:pos="1494" w:val="left"/>
        </w:tabs>
        <w:autoSpaceDE w:val="0"/>
        <w:widowControl/>
        <w:spacing w:line="214" w:lineRule="exact" w:before="184" w:after="0"/>
        <w:ind w:left="862" w:right="0" w:firstLine="0"/>
        <w:jc w:val="left"/>
      </w:pPr>
      <w:r>
        <w:rPr>
          <w:w w:val="97.33870824178061"/>
          <w:rFonts w:ascii="CIDFont+F4" w:hAnsi="CIDFont+F4" w:eastAsia="CIDFont+F4"/>
          <w:b w:val="0"/>
          <w:i w:val="0"/>
          <w:color w:val="44546A"/>
          <w:sz w:val="18"/>
        </w:rPr>
        <w:t xml:space="preserve">3.1.1. </w:t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 xml:space="preserve">Características </w:t>
      </w:r>
    </w:p>
    <w:p>
      <w:pPr>
        <w:autoSpaceDN w:val="0"/>
        <w:autoSpaceDE w:val="0"/>
        <w:widowControl/>
        <w:spacing w:line="214" w:lineRule="exact" w:before="14" w:after="0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generales............................................................................................................................................................10</w:t>
      </w:r>
    </w:p>
    <w:p>
      <w:pPr>
        <w:autoSpaceDN w:val="0"/>
        <w:tabs>
          <w:tab w:pos="1494" w:val="left"/>
        </w:tabs>
        <w:autoSpaceDE w:val="0"/>
        <w:widowControl/>
        <w:spacing w:line="214" w:lineRule="exact" w:before="168" w:after="0"/>
        <w:ind w:left="862" w:right="0" w:firstLine="0"/>
        <w:jc w:val="left"/>
      </w:pPr>
      <w:r>
        <w:rPr>
          <w:w w:val="97.33870824178061"/>
          <w:rFonts w:ascii="CIDFont+F4" w:hAnsi="CIDFont+F4" w:eastAsia="CIDFont+F4"/>
          <w:b w:val="0"/>
          <w:i w:val="0"/>
          <w:color w:val="44546A"/>
          <w:sz w:val="18"/>
        </w:rPr>
        <w:t xml:space="preserve">3.1.2. </w:t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 xml:space="preserve">Contenido </w:t>
      </w:r>
    </w:p>
    <w:p>
      <w:pPr>
        <w:autoSpaceDN w:val="0"/>
        <w:autoSpaceDE w:val="0"/>
        <w:widowControl/>
        <w:spacing w:line="214" w:lineRule="exact" w:before="14" w:after="114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migrado.....................................................................................................................................................................11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2045"/>
        <w:gridCol w:w="2045"/>
        <w:gridCol w:w="2045"/>
        <w:gridCol w:w="2045"/>
        <w:gridCol w:w="2045"/>
      </w:tblGrid>
      <w:tr>
        <w:trPr>
          <w:trHeight w:hRule="exact" w:val="28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3.1.3.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V6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y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creación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14" w:lineRule="exact" w:before="6" w:after="114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V6_2................................................................................................................................................................11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2556"/>
        <w:gridCol w:w="2556"/>
        <w:gridCol w:w="2556"/>
        <w:gridCol w:w="2556"/>
      </w:tblGrid>
      <w:tr>
        <w:trPr>
          <w:trHeight w:hRule="exact" w:val="2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2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3.1.4.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Antecedentes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del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proyecto </w:t>
            </w:r>
          </w:p>
        </w:tc>
      </w:tr>
    </w:tbl>
    <w:p>
      <w:pPr>
        <w:autoSpaceDN w:val="0"/>
        <w:autoSpaceDE w:val="0"/>
        <w:widowControl/>
        <w:spacing w:line="214" w:lineRule="exact" w:before="6" w:after="118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HOST..............................................................................................................................................12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rHeight w:hRule="exact" w:val="2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3.1.5.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Interfaces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SSIS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en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entorno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HOST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consolidado </w:t>
            </w:r>
          </w:p>
        </w:tc>
      </w:tr>
    </w:tbl>
    <w:p>
      <w:pPr>
        <w:autoSpaceDN w:val="0"/>
        <w:autoSpaceDE w:val="0"/>
        <w:widowControl/>
        <w:spacing w:line="214" w:lineRule="exact" w:before="6" w:after="0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(AWD/ALHD).....................................................................................................14</w:t>
      </w:r>
    </w:p>
    <w:p>
      <w:pPr>
        <w:autoSpaceDN w:val="0"/>
        <w:tabs>
          <w:tab w:pos="1148" w:val="left"/>
        </w:tabs>
        <w:autoSpaceDE w:val="0"/>
        <w:widowControl/>
        <w:spacing w:line="214" w:lineRule="exact" w:before="172" w:after="0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 xml:space="preserve">(a) </w:t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Funciones de los Paquetes SSIS......................................................................................................................................................14</w:t>
      </w:r>
    </w:p>
    <w:p>
      <w:pPr>
        <w:autoSpaceDN w:val="0"/>
        <w:tabs>
          <w:tab w:pos="1148" w:val="left"/>
        </w:tabs>
        <w:autoSpaceDE w:val="0"/>
        <w:widowControl/>
        <w:spacing w:line="214" w:lineRule="exact" w:before="174" w:after="0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 xml:space="preserve">(b) </w:t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Características Técnicas..................................................................................................................................................................14</w:t>
      </w:r>
    </w:p>
    <w:p>
      <w:pPr>
        <w:autoSpaceDN w:val="0"/>
        <w:tabs>
          <w:tab w:pos="1148" w:val="left"/>
        </w:tabs>
        <w:autoSpaceDE w:val="0"/>
        <w:widowControl/>
        <w:spacing w:line="246" w:lineRule="exact" w:before="230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3.2.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MASQL20142\SQL20142 – </w:t>
      </w:r>
    </w:p>
    <w:p>
      <w:pPr>
        <w:autoSpaceDN w:val="0"/>
        <w:autoSpaceDE w:val="0"/>
        <w:widowControl/>
        <w:spacing w:line="236" w:lineRule="exact" w:before="20" w:after="0"/>
        <w:ind w:left="1148" w:right="0" w:firstLine="0"/>
        <w:jc w:val="left"/>
      </w:pP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(MASQL20222)................................................................................................................15</w:t>
      </w:r>
    </w:p>
    <w:p>
      <w:pPr>
        <w:autoSpaceDN w:val="0"/>
        <w:autoSpaceDE w:val="0"/>
        <w:widowControl/>
        <w:spacing w:line="236" w:lineRule="exact" w:before="1184" w:after="0"/>
        <w:ind w:left="0" w:right="1650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 </w:t>
      </w:r>
    </w:p>
    <w:p>
      <w:pPr>
        <w:sectPr>
          <w:pgSz w:w="11906" w:h="16838"/>
          <w:pgMar w:top="1008" w:right="802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0"/>
        <w:gridCol w:w="5120"/>
      </w:tblGrid>
      <w:tr>
        <w:trPr>
          <w:trHeight w:hRule="exact" w:val="648"/>
        </w:trPr>
        <w:tc>
          <w:tcPr>
            <w:tcW w:type="dxa" w:w="136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12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3.2.1.</w:t>
            </w:r>
          </w:p>
        </w:tc>
        <w:tc>
          <w:tcPr>
            <w:tcW w:type="dxa" w:w="751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1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Características </w:t>
            </w:r>
          </w:p>
        </w:tc>
      </w:tr>
    </w:tbl>
    <w:p>
      <w:pPr>
        <w:autoSpaceDN w:val="0"/>
        <w:autoSpaceDE w:val="0"/>
        <w:widowControl/>
        <w:spacing w:line="214" w:lineRule="exact" w:before="0" w:after="116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generales............................................................................................................................................................15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3413"/>
        <w:gridCol w:w="3413"/>
        <w:gridCol w:w="3413"/>
      </w:tblGrid>
      <w:tr>
        <w:trPr>
          <w:trHeight w:hRule="exact" w:val="28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3.2.2.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Contexto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16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y </w:t>
            </w:r>
          </w:p>
        </w:tc>
      </w:tr>
    </w:tbl>
    <w:p>
      <w:pPr>
        <w:autoSpaceDN w:val="0"/>
        <w:autoSpaceDE w:val="0"/>
        <w:widowControl/>
        <w:spacing w:line="214" w:lineRule="exact" w:before="8" w:after="0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dependencias...........................................................................................................................................................15</w:t>
      </w:r>
    </w:p>
    <w:p>
      <w:pPr>
        <w:autoSpaceDN w:val="0"/>
        <w:tabs>
          <w:tab w:pos="1148" w:val="left"/>
        </w:tabs>
        <w:autoSpaceDE w:val="0"/>
        <w:widowControl/>
        <w:spacing w:line="246" w:lineRule="exact" w:before="230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3.3.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MASQL20142\NECORANET – (MASQL20222)............................................................................................................17</w:t>
      </w:r>
    </w:p>
    <w:p>
      <w:pPr>
        <w:autoSpaceDN w:val="0"/>
        <w:tabs>
          <w:tab w:pos="862" w:val="left"/>
          <w:tab w:pos="1494" w:val="left"/>
        </w:tabs>
        <w:autoSpaceDE w:val="0"/>
        <w:widowControl/>
        <w:spacing w:line="242" w:lineRule="exact" w:before="152" w:after="112"/>
        <w:ind w:left="470" w:right="1872" w:firstLine="0"/>
        <w:jc w:val="left"/>
      </w:pPr>
      <w:r>
        <w:rPr>
          <w:w w:val="97.33870824178061"/>
          <w:rFonts w:ascii="CIDFont+F4" w:hAnsi="CIDFont+F4" w:eastAsia="CIDFont+F4"/>
          <w:b w:val="0"/>
          <w:i w:val="0"/>
          <w:color w:val="44546A"/>
          <w:sz w:val="18"/>
        </w:rPr>
        <w:t xml:space="preserve">3.3.1. </w:t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 xml:space="preserve">Características </w:t>
      </w:r>
      <w:r>
        <w:br/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generales............................................................................................................................................................17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3413"/>
        <w:gridCol w:w="3413"/>
        <w:gridCol w:w="3413"/>
      </w:tblGrid>
      <w:tr>
        <w:trPr>
          <w:trHeight w:hRule="exact" w:val="28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3.3.2.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Contexto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16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y </w:t>
            </w:r>
          </w:p>
        </w:tc>
      </w:tr>
    </w:tbl>
    <w:p>
      <w:pPr>
        <w:autoSpaceDN w:val="0"/>
        <w:autoSpaceDE w:val="0"/>
        <w:widowControl/>
        <w:spacing w:line="214" w:lineRule="exact" w:before="8" w:after="0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dependencias...........................................................................................................................................................17</w:t>
      </w:r>
    </w:p>
    <w:p>
      <w:pPr>
        <w:autoSpaceDN w:val="0"/>
        <w:tabs>
          <w:tab w:pos="1148" w:val="left"/>
        </w:tabs>
        <w:autoSpaceDE w:val="0"/>
        <w:widowControl/>
        <w:spacing w:line="268" w:lineRule="exact" w:before="208" w:after="0"/>
        <w:ind w:left="270" w:right="144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3.4.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MASQL20221\SQLTURK..............................................................................................................................................1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9</w:t>
      </w:r>
    </w:p>
    <w:p>
      <w:pPr>
        <w:autoSpaceDN w:val="0"/>
        <w:tabs>
          <w:tab w:pos="862" w:val="left"/>
          <w:tab w:pos="1494" w:val="left"/>
        </w:tabs>
        <w:autoSpaceDE w:val="0"/>
        <w:widowControl/>
        <w:spacing w:line="236" w:lineRule="exact" w:before="164" w:after="116"/>
        <w:ind w:left="470" w:right="1872" w:firstLine="0"/>
        <w:jc w:val="left"/>
      </w:pPr>
      <w:r>
        <w:rPr>
          <w:w w:val="97.33870824178061"/>
          <w:rFonts w:ascii="CIDFont+F4" w:hAnsi="CIDFont+F4" w:eastAsia="CIDFont+F4"/>
          <w:b w:val="0"/>
          <w:i w:val="0"/>
          <w:color w:val="44546A"/>
          <w:sz w:val="18"/>
        </w:rPr>
        <w:t xml:space="preserve">3.4.1. </w:t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 xml:space="preserve">Características </w:t>
      </w:r>
      <w:r>
        <w:br/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generales............................................................................................................................................................19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3413"/>
        <w:gridCol w:w="3413"/>
        <w:gridCol w:w="3413"/>
      </w:tblGrid>
      <w:tr>
        <w:trPr>
          <w:trHeight w:hRule="exact" w:val="28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3.4.2.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Contexto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16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y </w:t>
            </w:r>
          </w:p>
        </w:tc>
      </w:tr>
    </w:tbl>
    <w:p>
      <w:pPr>
        <w:autoSpaceDN w:val="0"/>
        <w:autoSpaceDE w:val="0"/>
        <w:widowControl/>
        <w:spacing w:line="214" w:lineRule="exact" w:before="6" w:after="0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dependencias...........................................................................................................................................................19</w:t>
      </w:r>
    </w:p>
    <w:p>
      <w:pPr>
        <w:autoSpaceDN w:val="0"/>
        <w:tabs>
          <w:tab w:pos="1148" w:val="left"/>
        </w:tabs>
        <w:autoSpaceDE w:val="0"/>
        <w:widowControl/>
        <w:spacing w:line="246" w:lineRule="exact" w:before="230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3.5.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MASQL20221\SQLNORWAY.......................................................................................................................................20</w:t>
      </w:r>
    </w:p>
    <w:p>
      <w:pPr>
        <w:autoSpaceDN w:val="0"/>
        <w:tabs>
          <w:tab w:pos="862" w:val="left"/>
          <w:tab w:pos="1494" w:val="left"/>
        </w:tabs>
        <w:autoSpaceDE w:val="0"/>
        <w:widowControl/>
        <w:spacing w:line="236" w:lineRule="exact" w:before="162" w:after="116"/>
        <w:ind w:left="470" w:right="1872" w:firstLine="0"/>
        <w:jc w:val="left"/>
      </w:pPr>
      <w:r>
        <w:rPr>
          <w:w w:val="97.33870824178061"/>
          <w:rFonts w:ascii="CIDFont+F4" w:hAnsi="CIDFont+F4" w:eastAsia="CIDFont+F4"/>
          <w:b w:val="0"/>
          <w:i w:val="0"/>
          <w:color w:val="44546A"/>
          <w:sz w:val="18"/>
        </w:rPr>
        <w:t xml:space="preserve">3.5.1. </w:t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 xml:space="preserve">Características </w:t>
      </w:r>
      <w:r>
        <w:br/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generales............................................................................................................................................................20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3413"/>
        <w:gridCol w:w="3413"/>
        <w:gridCol w:w="3413"/>
      </w:tblGrid>
      <w:tr>
        <w:trPr>
          <w:trHeight w:hRule="exact" w:val="28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3.5.2.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Contexto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16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y </w:t>
            </w:r>
          </w:p>
        </w:tc>
      </w:tr>
    </w:tbl>
    <w:p>
      <w:pPr>
        <w:autoSpaceDN w:val="0"/>
        <w:autoSpaceDE w:val="0"/>
        <w:widowControl/>
        <w:spacing w:line="214" w:lineRule="exact" w:before="8" w:after="0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dependencias...........................................................................................................................................................20</w:t>
      </w:r>
    </w:p>
    <w:p>
      <w:pPr>
        <w:autoSpaceDN w:val="0"/>
        <w:tabs>
          <w:tab w:pos="1148" w:val="left"/>
        </w:tabs>
        <w:autoSpaceDE w:val="0"/>
        <w:widowControl/>
        <w:spacing w:line="268" w:lineRule="exact" w:before="210" w:after="0"/>
        <w:ind w:left="270" w:right="1728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3.6.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MASERVF9 – (Antiguo </w:t>
      </w:r>
      <w:r>
        <w:br/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MANECNET)............................................................................................................................22</w:t>
      </w:r>
    </w:p>
    <w:p>
      <w:pPr>
        <w:autoSpaceDN w:val="0"/>
        <w:tabs>
          <w:tab w:pos="862" w:val="left"/>
          <w:tab w:pos="1494" w:val="left"/>
        </w:tabs>
        <w:autoSpaceDE w:val="0"/>
        <w:widowControl/>
        <w:spacing w:line="238" w:lineRule="exact" w:before="160" w:after="112"/>
        <w:ind w:left="470" w:right="1872" w:firstLine="0"/>
        <w:jc w:val="left"/>
      </w:pPr>
      <w:r>
        <w:rPr>
          <w:w w:val="97.33870824178061"/>
          <w:rFonts w:ascii="CIDFont+F4" w:hAnsi="CIDFont+F4" w:eastAsia="CIDFont+F4"/>
          <w:b w:val="0"/>
          <w:i w:val="0"/>
          <w:color w:val="44546A"/>
          <w:sz w:val="18"/>
        </w:rPr>
        <w:t xml:space="preserve">3.6.1. </w:t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 xml:space="preserve">Características </w:t>
      </w:r>
      <w:r>
        <w:br/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generales............................................................................................................................................................22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3413"/>
        <w:gridCol w:w="3413"/>
        <w:gridCol w:w="3413"/>
      </w:tblGrid>
      <w:tr>
        <w:trPr>
          <w:trHeight w:hRule="exact" w:val="2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3.6.2.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Funciones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16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y </w:t>
            </w:r>
          </w:p>
        </w:tc>
      </w:tr>
    </w:tbl>
    <w:p>
      <w:pPr>
        <w:autoSpaceDN w:val="0"/>
        <w:autoSpaceDE w:val="0"/>
        <w:widowControl/>
        <w:spacing w:line="214" w:lineRule="exact" w:before="8" w:after="116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contexto.................................................................................................................................................................23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2.0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2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3.6.3.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Cronología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de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migración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16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y </w:t>
            </w:r>
          </w:p>
        </w:tc>
      </w:tr>
    </w:tbl>
    <w:p>
      <w:pPr>
        <w:autoSpaceDN w:val="0"/>
        <w:autoSpaceDE w:val="0"/>
        <w:widowControl/>
        <w:spacing w:line="214" w:lineRule="exact" w:before="4" w:after="116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normalización..................................................................................................................................23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03" w:type="dxa"/>
      </w:tblPr>
      <w:tblGrid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rHeight w:hRule="exact" w:val="31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0" w:right="102" w:firstLine="0"/>
              <w:jc w:val="right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>3.6.4.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2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Incidencias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y </w:t>
            </w:r>
          </w:p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468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acciones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90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Lecciones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16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correctivas </w:t>
            </w:r>
          </w:p>
        </w:tc>
      </w:tr>
      <w:tr>
        <w:trPr>
          <w:trHeight w:hRule="exact" w:val="346"/>
        </w:trPr>
        <w:tc>
          <w:tcPr>
            <w:tcW w:type="dxa" w:w="6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4" w:after="0"/>
              <w:ind w:left="248" w:right="0" w:firstLine="0"/>
              <w:jc w:val="lef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principales...........................................................................................................................23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0" w:right="0" w:firstLine="0"/>
              <w:jc w:val="center"/>
            </w:pPr>
            <w:r>
              <w:rPr>
                <w:w w:val="97.33870824178061"/>
                <w:rFonts w:ascii="CIDFont+F4" w:hAnsi="CIDFont+F4" w:eastAsia="CIDFont+F4"/>
                <w:b w:val="0"/>
                <w:i w:val="0"/>
                <w:color w:val="44546A"/>
                <w:sz w:val="18"/>
              </w:rPr>
              <w:t xml:space="preserve">3.6.5. </w:t>
            </w:r>
          </w:p>
        </w:tc>
        <w:tc>
          <w:tcPr>
            <w:tcW w:type="dxa" w:w="1280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4" w:after="0"/>
              <w:ind w:left="0" w:right="0" w:firstLine="0"/>
              <w:jc w:val="center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aprendidas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4" w:after="0"/>
              <w:ind w:left="0" w:right="16" w:firstLine="0"/>
              <w:jc w:val="right"/>
            </w:pPr>
            <w:r>
              <w:rPr>
                <w:w w:val="97.33870824178061"/>
                <w:rFonts w:ascii="CIDFont+F3" w:hAnsi="CIDFont+F3" w:eastAsia="CIDFont+F3"/>
                <w:b w:val="0"/>
                <w:i w:val="0"/>
                <w:color w:val="44546A"/>
                <w:sz w:val="18"/>
              </w:rPr>
              <w:t xml:space="preserve">y </w:t>
            </w:r>
          </w:p>
        </w:tc>
      </w:tr>
    </w:tbl>
    <w:p>
      <w:pPr>
        <w:autoSpaceDN w:val="0"/>
        <w:autoSpaceDE w:val="0"/>
        <w:widowControl/>
        <w:spacing w:line="284" w:lineRule="exact" w:before="60" w:after="0"/>
        <w:ind w:left="470" w:right="0" w:firstLine="0"/>
        <w:jc w:val="left"/>
      </w:pP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 xml:space="preserve">recomendaciones.................................................................................................................................24 </w:t>
      </w: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 xml:space="preserve">4. Arquitectura funcional </w:t>
      </w:r>
    </w:p>
    <w:p>
      <w:pPr>
        <w:autoSpaceDN w:val="0"/>
        <w:autoSpaceDE w:val="0"/>
        <w:widowControl/>
        <w:spacing w:line="286" w:lineRule="exact" w:before="154" w:after="0"/>
        <w:ind w:left="470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>del flujo F100..........................................................................................25</w:t>
      </w:r>
    </w:p>
    <w:p>
      <w:pPr>
        <w:autoSpaceDN w:val="0"/>
        <w:autoSpaceDE w:val="0"/>
        <w:widowControl/>
        <w:spacing w:line="236" w:lineRule="exact" w:before="892" w:after="0"/>
        <w:ind w:left="0" w:right="1664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 </w:t>
      </w:r>
    </w:p>
    <w:p>
      <w:pPr>
        <w:sectPr>
          <w:pgSz w:w="11906" w:h="16838"/>
          <w:pgMar w:top="1008" w:right="788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82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648"/>
        <w:ind w:left="0" w:right="932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3"/>
        <w:gridCol w:w="5093"/>
      </w:tblGrid>
      <w:tr>
        <w:trPr>
          <w:trHeight w:hRule="exact" w:val="734"/>
        </w:trPr>
        <w:tc>
          <w:tcPr>
            <w:tcW w:type="dxa" w:w="86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12" w:after="0"/>
              <w:ind w:left="0" w:right="0" w:firstLine="0"/>
              <w:jc w:val="center"/>
            </w:pPr>
            <w:r>
              <w:rPr>
                <w:w w:val="102.05118279708059"/>
                <w:rFonts w:ascii="CIDFont+F6" w:hAnsi="CIDFont+F6" w:eastAsia="CIDFont+F6"/>
                <w:b w:val="0"/>
                <w:i w:val="0"/>
                <w:color w:val="000000"/>
                <w:sz w:val="19"/>
              </w:rPr>
              <w:t>4.1.</w:t>
            </w:r>
          </w:p>
        </w:tc>
        <w:tc>
          <w:tcPr>
            <w:tcW w:type="dxa" w:w="930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22" w:after="0"/>
              <w:ind w:left="286" w:right="0" w:firstLine="0"/>
              <w:jc w:val="left"/>
            </w:pPr>
            <w:r>
              <w:rPr>
                <w:w w:val="102.05118279708059"/>
                <w:rFonts w:ascii="CIDFont+F3" w:hAnsi="CIDFont+F3" w:eastAsia="CIDFont+F3"/>
                <w:b w:val="0"/>
                <w:i w:val="0"/>
                <w:color w:val="404040"/>
                <w:sz w:val="19"/>
              </w:rPr>
              <w:t>Origen de datos..........................................................................................................................................................26</w:t>
            </w:r>
          </w:p>
        </w:tc>
      </w:tr>
    </w:tbl>
    <w:p>
      <w:pPr>
        <w:autoSpaceDN w:val="0"/>
        <w:tabs>
          <w:tab w:pos="1148" w:val="left"/>
        </w:tabs>
        <w:autoSpaceDE w:val="0"/>
        <w:widowControl/>
        <w:spacing w:line="246" w:lineRule="exact" w:before="86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4.2.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Interfaces de carga </w:t>
      </w:r>
    </w:p>
    <w:p>
      <w:pPr>
        <w:autoSpaceDN w:val="0"/>
        <w:autoSpaceDE w:val="0"/>
        <w:widowControl/>
        <w:spacing w:line="236" w:lineRule="exact" w:before="18" w:after="0"/>
        <w:ind w:left="1148" w:right="0" w:firstLine="0"/>
        <w:jc w:val="left"/>
      </w:pP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principales...................................................................................................................................26</w:t>
      </w:r>
    </w:p>
    <w:p>
      <w:pPr>
        <w:autoSpaceDN w:val="0"/>
        <w:tabs>
          <w:tab w:pos="1148" w:val="left"/>
        </w:tabs>
        <w:autoSpaceDE w:val="0"/>
        <w:widowControl/>
        <w:spacing w:line="246" w:lineRule="exact" w:before="166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4.3.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Reglas de negocio y transformación..........................................................................................................................27</w:t>
      </w:r>
    </w:p>
    <w:p>
      <w:pPr>
        <w:autoSpaceDN w:val="0"/>
        <w:tabs>
          <w:tab w:pos="1148" w:val="left"/>
        </w:tabs>
        <w:autoSpaceDE w:val="0"/>
        <w:widowControl/>
        <w:spacing w:line="246" w:lineRule="exact" w:before="164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4.4.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Consolidación y publicación de datos........................................................................................................................27</w:t>
      </w:r>
    </w:p>
    <w:p>
      <w:pPr>
        <w:autoSpaceDN w:val="0"/>
        <w:tabs>
          <w:tab w:pos="1482" w:val="left"/>
        </w:tabs>
        <w:autoSpaceDE w:val="0"/>
        <w:widowControl/>
        <w:spacing w:line="214" w:lineRule="exact" w:before="178" w:after="0"/>
        <w:ind w:left="482" w:right="0" w:firstLine="0"/>
        <w:jc w:val="left"/>
      </w:pPr>
      <w:r>
        <w:rPr>
          <w:w w:val="97.33870824178061"/>
          <w:rFonts w:ascii="CIDFont+F4" w:hAnsi="CIDFont+F4" w:eastAsia="CIDFont+F4"/>
          <w:b w:val="0"/>
          <w:i w:val="0"/>
          <w:color w:val="44546A"/>
          <w:sz w:val="18"/>
        </w:rPr>
        <w:t xml:space="preserve">4.4.1. </w:t>
      </w:r>
      <w:r>
        <w:tab/>
      </w:r>
      <w:r>
        <w:rPr>
          <w:w w:val="97.33870824178061"/>
          <w:rFonts w:ascii="CIDFont+F3" w:hAnsi="CIDFont+F3" w:eastAsia="CIDFont+F3"/>
          <w:b w:val="0"/>
          <w:i w:val="0"/>
          <w:color w:val="44546A"/>
          <w:sz w:val="18"/>
        </w:rPr>
        <w:t>Integración ampliada del modelo funcional – Foran &lt;-&gt; Windchill &lt;-&gt; SAP............................................................................28</w:t>
      </w:r>
    </w:p>
    <w:p>
      <w:pPr>
        <w:autoSpaceDN w:val="0"/>
        <w:tabs>
          <w:tab w:pos="1148" w:val="left"/>
        </w:tabs>
        <w:autoSpaceDE w:val="0"/>
        <w:widowControl/>
        <w:spacing w:line="246" w:lineRule="exact" w:before="214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4.5.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Validación de calidad y revisión.................................................................................................................................29</w:t>
      </w:r>
    </w:p>
    <w:p>
      <w:pPr>
        <w:autoSpaceDN w:val="0"/>
        <w:tabs>
          <w:tab w:pos="1148" w:val="left"/>
        </w:tabs>
        <w:autoSpaceDE w:val="0"/>
        <w:widowControl/>
        <w:spacing w:line="246" w:lineRule="exact" w:before="162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4.6.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Escenarios </w:t>
      </w:r>
    </w:p>
    <w:p>
      <w:pPr>
        <w:autoSpaceDN w:val="0"/>
        <w:autoSpaceDE w:val="0"/>
        <w:widowControl/>
        <w:spacing w:line="236" w:lineRule="exact" w:before="20" w:after="0"/>
        <w:ind w:left="1148" w:right="0" w:firstLine="0"/>
        <w:jc w:val="left"/>
      </w:pP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operativos.................................................................................................................................................29</w:t>
      </w:r>
    </w:p>
    <w:p>
      <w:pPr>
        <w:autoSpaceDN w:val="0"/>
        <w:tabs>
          <w:tab w:pos="1148" w:val="left"/>
        </w:tabs>
        <w:autoSpaceDE w:val="0"/>
        <w:widowControl/>
        <w:spacing w:line="246" w:lineRule="exact" w:before="160" w:after="0"/>
        <w:ind w:left="270" w:right="0" w:firstLine="0"/>
        <w:jc w:val="left"/>
      </w:pPr>
      <w:r>
        <w:rPr>
          <w:w w:val="102.05118279708059"/>
          <w:rFonts w:ascii="CIDFont+F6" w:hAnsi="CIDFont+F6" w:eastAsia="CIDFont+F6"/>
          <w:b w:val="0"/>
          <w:i w:val="0"/>
          <w:color w:val="000000"/>
          <w:sz w:val="19"/>
        </w:rPr>
        <w:t xml:space="preserve">4.7. </w:t>
      </w:r>
      <w:r>
        <w:tab/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Supervisión operativa y </w:t>
      </w:r>
    </w:p>
    <w:p>
      <w:pPr>
        <w:autoSpaceDN w:val="0"/>
        <w:autoSpaceDE w:val="0"/>
        <w:widowControl/>
        <w:spacing w:line="246" w:lineRule="exact" w:before="114" w:after="0"/>
        <w:ind w:left="1148" w:right="0" w:firstLine="0"/>
        <w:jc w:val="left"/>
      </w:pP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alertado................................................................................................................................30 </w:t>
      </w:r>
      <w:r>
        <w:rPr>
          <w:w w:val="102.05118279708059"/>
          <w:rFonts w:ascii="CIDFont+F6" w:hAnsi="CIDFont+F6" w:eastAsia="CIDFont+F6"/>
          <w:b w:val="0"/>
          <w:i w:val="0"/>
          <w:color w:val="404040"/>
          <w:sz w:val="19"/>
        </w:rPr>
        <w:t xml:space="preserve">4.8. 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Consideraciones </w:t>
      </w:r>
    </w:p>
    <w:p>
      <w:pPr>
        <w:autoSpaceDN w:val="0"/>
        <w:autoSpaceDE w:val="0"/>
        <w:widowControl/>
        <w:spacing w:line="236" w:lineRule="exact" w:before="116" w:after="0"/>
        <w:ind w:left="1148" w:right="0" w:firstLine="0"/>
        <w:jc w:val="left"/>
      </w:pP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>de mejora........................................................................................................................................30</w:t>
      </w:r>
    </w:p>
    <w:p>
      <w:pPr>
        <w:autoSpaceDN w:val="0"/>
        <w:autoSpaceDE w:val="0"/>
        <w:widowControl/>
        <w:spacing w:line="286" w:lineRule="exact" w:before="268" w:after="0"/>
        <w:ind w:left="92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>5.</w:t>
      </w: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>Calidad y riesgos actuales............................................................................................................31</w:t>
      </w:r>
    </w:p>
    <w:p>
      <w:pPr>
        <w:autoSpaceDN w:val="0"/>
        <w:autoSpaceDE w:val="0"/>
        <w:widowControl/>
        <w:spacing w:line="284" w:lineRule="exact" w:before="178" w:after="0"/>
        <w:ind w:left="92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>6.</w:t>
      </w: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 xml:space="preserve">Próximos pasos recomendados...................................................................................................31 </w:t>
      </w:r>
    </w:p>
    <w:p>
      <w:pPr>
        <w:autoSpaceDN w:val="0"/>
        <w:autoSpaceDE w:val="0"/>
        <w:widowControl/>
        <w:spacing w:line="286" w:lineRule="exact" w:before="22" w:after="0"/>
        <w:ind w:left="482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 xml:space="preserve">7. Referencias internas y fuentes </w:t>
      </w:r>
    </w:p>
    <w:p>
      <w:pPr>
        <w:autoSpaceDN w:val="0"/>
        <w:autoSpaceDE w:val="0"/>
        <w:widowControl/>
        <w:spacing w:line="286" w:lineRule="exact" w:before="24" w:after="0"/>
        <w:ind w:left="482" w:right="0" w:firstLine="0"/>
        <w:jc w:val="left"/>
      </w:pP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>consultadas................................................................................33</w:t>
      </w:r>
    </w:p>
    <w:p>
      <w:pPr>
        <w:autoSpaceDN w:val="0"/>
        <w:tabs>
          <w:tab w:pos="1148" w:val="left"/>
        </w:tabs>
        <w:autoSpaceDE w:val="0"/>
        <w:pStyle w:val="Heading1"/>
        <w:widowControl/>
        <w:spacing w:line="164" w:lineRule="exact" w:before="180" w:after="0"/>
        <w:ind w:left="660" w:right="0" w:firstLine="0"/>
        <w:jc w:val="left"/>
      </w:pPr>
      <w:r>
        <w:rPr>
          <w:w w:val="96.7820371900286"/>
          <w:rFonts w:ascii="CIDFont+F7" w:hAnsi="CIDFont+F7" w:eastAsia="CIDFont+F7"/>
          <w:b/>
          <w:i w:val="0"/>
          <w:color w:val="000000"/>
          <w:sz w:val="14"/>
        </w:rPr>
        <w:t xml:space="preserve">I. </w:t>
      </w: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 xml:space="preserve">Instancia: </w:t>
      </w:r>
    </w:p>
    <w:p>
      <w:pPr>
        <w:autoSpaceDN w:val="0"/>
        <w:autoSpaceDE w:val="0"/>
        <w:widowControl/>
        <w:spacing w:line="164" w:lineRule="exact" w:before="16" w:after="0"/>
        <w:ind w:left="1148" w:right="0" w:firstLine="0"/>
        <w:jc w:val="left"/>
      </w:pP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>MASQL20142\NECORANET...................................................................................................................................35</w:t>
      </w:r>
    </w:p>
    <w:p>
      <w:pPr>
        <w:autoSpaceDN w:val="0"/>
        <w:tabs>
          <w:tab w:pos="1148" w:val="left"/>
        </w:tabs>
        <w:autoSpaceDE w:val="0"/>
        <w:pStyle w:val="Heading1"/>
        <w:widowControl/>
        <w:spacing w:line="164" w:lineRule="exact" w:before="218" w:after="0"/>
        <w:ind w:left="660" w:right="0" w:firstLine="0"/>
        <w:jc w:val="left"/>
      </w:pPr>
      <w:r>
        <w:rPr>
          <w:w w:val="96.7820371900286"/>
          <w:rFonts w:ascii="CIDFont+F7" w:hAnsi="CIDFont+F7" w:eastAsia="CIDFont+F7"/>
          <w:b/>
          <w:i w:val="0"/>
          <w:color w:val="000000"/>
          <w:sz w:val="14"/>
        </w:rPr>
        <w:t xml:space="preserve">II. </w:t>
      </w: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 xml:space="preserve">Instancia: </w:t>
      </w:r>
    </w:p>
    <w:p>
      <w:pPr>
        <w:autoSpaceDN w:val="0"/>
        <w:autoSpaceDE w:val="0"/>
        <w:pStyle w:val="Heading1"/>
        <w:widowControl/>
        <w:spacing w:line="164" w:lineRule="exact" w:before="220" w:after="0"/>
        <w:ind w:left="1148" w:right="0" w:firstLine="0"/>
        <w:jc w:val="left"/>
      </w:pP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 xml:space="preserve">MASQL20142\SQL20142......................................................................................................................................36 </w:t>
      </w:r>
      <w:r>
        <w:rPr>
          <w:w w:val="96.7820371900286"/>
          <w:rFonts w:ascii="CIDFont+F7" w:hAnsi="CIDFont+F7" w:eastAsia="CIDFont+F7"/>
          <w:b/>
          <w:i w:val="0"/>
          <w:color w:val="404040"/>
          <w:sz w:val="14"/>
        </w:rPr>
        <w:t xml:space="preserve">III. </w:t>
      </w:r>
    </w:p>
    <w:p>
      <w:pPr>
        <w:autoSpaceDN w:val="0"/>
        <w:autoSpaceDE w:val="0"/>
        <w:widowControl/>
        <w:spacing w:line="166" w:lineRule="exact" w:before="214" w:after="0"/>
        <w:ind w:left="1148" w:right="0" w:firstLine="0"/>
        <w:jc w:val="left"/>
      </w:pP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>Instancia: MASQL20171\HOSTDB2..................................................................................................................................37</w:t>
      </w:r>
    </w:p>
    <w:p>
      <w:pPr>
        <w:autoSpaceDN w:val="0"/>
        <w:tabs>
          <w:tab w:pos="1362" w:val="left"/>
        </w:tabs>
        <w:autoSpaceDE w:val="0"/>
        <w:pStyle w:val="Heading1"/>
        <w:widowControl/>
        <w:spacing w:line="164" w:lineRule="exact" w:before="372" w:after="0"/>
        <w:ind w:left="660" w:right="0" w:firstLine="0"/>
        <w:jc w:val="left"/>
      </w:pPr>
      <w:r>
        <w:rPr>
          <w:w w:val="96.7820371900286"/>
          <w:rFonts w:ascii="CIDFont+F7" w:hAnsi="CIDFont+F7" w:eastAsia="CIDFont+F7"/>
          <w:b/>
          <w:i w:val="0"/>
          <w:color w:val="000000"/>
          <w:sz w:val="14"/>
        </w:rPr>
        <w:t xml:space="preserve">I. </w:t>
      </w: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 xml:space="preserve">Instancia: </w:t>
      </w:r>
    </w:p>
    <w:p>
      <w:pPr>
        <w:autoSpaceDN w:val="0"/>
        <w:autoSpaceDE w:val="0"/>
        <w:widowControl/>
        <w:spacing w:line="164" w:lineRule="exact" w:before="16" w:after="0"/>
        <w:ind w:left="1362" w:right="0" w:firstLine="0"/>
        <w:jc w:val="left"/>
      </w:pP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>MASQL20171\HOSTDB2.......................................................................................................................................39</w:t>
      </w:r>
    </w:p>
    <w:p>
      <w:pPr>
        <w:autoSpaceDN w:val="0"/>
        <w:tabs>
          <w:tab w:pos="1362" w:val="left"/>
        </w:tabs>
        <w:autoSpaceDE w:val="0"/>
        <w:pStyle w:val="Heading1"/>
        <w:widowControl/>
        <w:spacing w:line="164" w:lineRule="exact" w:before="218" w:after="0"/>
        <w:ind w:left="660" w:right="0" w:firstLine="0"/>
        <w:jc w:val="left"/>
      </w:pPr>
      <w:r>
        <w:rPr>
          <w:w w:val="96.7820371900286"/>
          <w:rFonts w:ascii="CIDFont+F7" w:hAnsi="CIDFont+F7" w:eastAsia="CIDFont+F7"/>
          <w:b/>
          <w:i w:val="0"/>
          <w:color w:val="000000"/>
          <w:sz w:val="14"/>
        </w:rPr>
        <w:t xml:space="preserve">II. </w:t>
      </w: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 xml:space="preserve">Instancia: </w:t>
      </w:r>
    </w:p>
    <w:p>
      <w:pPr>
        <w:autoSpaceDN w:val="0"/>
        <w:autoSpaceDE w:val="0"/>
        <w:widowControl/>
        <w:spacing w:line="166" w:lineRule="exact" w:before="20" w:after="0"/>
        <w:ind w:left="1362" w:right="0" w:firstLine="0"/>
        <w:jc w:val="left"/>
      </w:pP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>MASQL20142\NECORANET...................................................................................................................................41</w:t>
      </w:r>
    </w:p>
    <w:p>
      <w:pPr>
        <w:autoSpaceDN w:val="0"/>
        <w:tabs>
          <w:tab w:pos="1362" w:val="left"/>
        </w:tabs>
        <w:autoSpaceDE w:val="0"/>
        <w:pStyle w:val="Heading1"/>
        <w:widowControl/>
        <w:spacing w:line="164" w:lineRule="exact" w:before="214" w:after="0"/>
        <w:ind w:left="660" w:right="0" w:firstLine="0"/>
        <w:jc w:val="left"/>
      </w:pPr>
      <w:r>
        <w:rPr>
          <w:w w:val="96.7820371900286"/>
          <w:rFonts w:ascii="CIDFont+F7" w:hAnsi="CIDFont+F7" w:eastAsia="CIDFont+F7"/>
          <w:b/>
          <w:i w:val="0"/>
          <w:color w:val="000000"/>
          <w:sz w:val="14"/>
        </w:rPr>
        <w:t xml:space="preserve">III. </w:t>
      </w: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 xml:space="preserve">Instancia: </w:t>
      </w:r>
    </w:p>
    <w:p>
      <w:pPr>
        <w:autoSpaceDN w:val="0"/>
        <w:autoSpaceDE w:val="0"/>
        <w:widowControl/>
        <w:spacing w:line="164" w:lineRule="exact" w:before="18" w:after="0"/>
        <w:ind w:left="1362" w:right="0" w:firstLine="0"/>
        <w:jc w:val="left"/>
      </w:pP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>MASQL20221\SQLNORWAY..............................................................................................................................42</w:t>
      </w:r>
    </w:p>
    <w:p>
      <w:pPr>
        <w:autoSpaceDN w:val="0"/>
        <w:tabs>
          <w:tab w:pos="1362" w:val="left"/>
        </w:tabs>
        <w:autoSpaceDE w:val="0"/>
        <w:pStyle w:val="Heading1"/>
        <w:widowControl/>
        <w:spacing w:line="164" w:lineRule="exact" w:before="220" w:after="0"/>
        <w:ind w:left="660" w:right="0" w:firstLine="0"/>
        <w:jc w:val="left"/>
      </w:pPr>
      <w:r>
        <w:rPr>
          <w:w w:val="96.7820371900286"/>
          <w:rFonts w:ascii="CIDFont+F7" w:hAnsi="CIDFont+F7" w:eastAsia="CIDFont+F7"/>
          <w:b/>
          <w:i w:val="0"/>
          <w:color w:val="000000"/>
          <w:sz w:val="14"/>
        </w:rPr>
        <w:t xml:space="preserve">IV. </w:t>
      </w: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 xml:space="preserve">Instancia: </w:t>
      </w:r>
    </w:p>
    <w:p>
      <w:pPr>
        <w:autoSpaceDN w:val="0"/>
        <w:autoSpaceDE w:val="0"/>
        <w:widowControl/>
        <w:spacing w:line="166" w:lineRule="exact" w:before="18" w:after="0"/>
        <w:ind w:left="1362" w:right="0" w:firstLine="0"/>
        <w:jc w:val="left"/>
      </w:pPr>
      <w:r>
        <w:rPr>
          <w:w w:val="96.7820371900286"/>
          <w:rFonts w:ascii="CIDFont+F1" w:hAnsi="CIDFont+F1" w:eastAsia="CIDFont+F1"/>
          <w:b w:val="0"/>
          <w:i w:val="0"/>
          <w:color w:val="404040"/>
          <w:sz w:val="14"/>
        </w:rPr>
        <w:t>MASQL20221\SQLTURK...................................................................................................................................42</w:t>
      </w:r>
    </w:p>
    <w:p>
      <w:pPr>
        <w:autoSpaceDN w:val="0"/>
        <w:autoSpaceDE w:val="0"/>
        <w:widowControl/>
        <w:spacing w:line="236" w:lineRule="exact" w:before="1444" w:after="0"/>
        <w:ind w:left="0" w:right="1610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4 </w:t>
      </w:r>
    </w:p>
    <w:p>
      <w:pPr>
        <w:sectPr>
          <w:pgSz w:w="11906" w:h="16838"/>
          <w:pgMar w:top="1008" w:right="842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0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240" w:lineRule="auto" w:before="1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99530" cy="5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66" w:lineRule="exact" w:before="446" w:after="0"/>
        <w:ind w:left="90" w:right="0" w:firstLine="0"/>
        <w:jc w:val="left"/>
      </w:pPr>
      <w:r>
        <w:rPr>
          <w:rFonts w:ascii="CIDFont+F1" w:hAnsi="CIDFont+F1" w:eastAsia="CIDFont+F1"/>
          <w:b w:val="0"/>
          <w:i w:val="0"/>
          <w:color w:val="144080"/>
          <w:sz w:val="47"/>
        </w:rPr>
        <w:t>1</w:t>
      </w:r>
      <w:r>
        <w:rPr>
          <w:rFonts w:ascii="CIDFont+F1" w:hAnsi="CIDFont+F1" w:eastAsia="CIDFont+F1"/>
          <w:b w:val="0"/>
          <w:i w:val="0"/>
          <w:color w:val="144080"/>
          <w:sz w:val="47"/>
        </w:rPr>
        <w:t xml:space="preserve">1. Objeto del documento </w:t>
      </w:r>
    </w:p>
    <w:p>
      <w:pPr>
        <w:autoSpaceDN w:val="0"/>
        <w:autoSpaceDE w:val="0"/>
        <w:widowControl/>
        <w:spacing w:line="354" w:lineRule="exact" w:before="672" w:after="0"/>
        <w:ind w:left="86" w:right="20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presente documento tiene como objetivo describir el estado tecnológico actual de la plataforma de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bases de datos de Navantia. Esto incluye un análisis detallado de componentes clave como NecoraNet,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PRYC, las instancias de SQL Server 2017-2022, los servicios IIS (MASERVF9) y sus integraciones con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SAP. Para ello, se llevará a cabo un inventario exhaustivo que abarque servidores, instancias, bases de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datos, enlaces y flujos ETL. </w:t>
      </w:r>
    </w:p>
    <w:p>
      <w:pPr>
        <w:autoSpaceDN w:val="0"/>
        <w:autoSpaceDE w:val="0"/>
        <w:widowControl/>
        <w:spacing w:line="354" w:lineRule="exact" w:before="626" w:after="0"/>
        <w:ind w:left="92" w:right="58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La información recopilada se consolidará a partir de actas de proyecto, tickets GLPI y seguimientos de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dedicación hasta mayo de 2025, proporcionando así una visión única, trazable y homologada que será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utilidad para los equipos de DBA y la auditoría interna. </w:t>
      </w:r>
    </w:p>
    <w:p>
      <w:pPr>
        <w:autoSpaceDN w:val="0"/>
        <w:autoSpaceDE w:val="0"/>
        <w:widowControl/>
        <w:spacing w:line="354" w:lineRule="exact" w:before="624" w:after="0"/>
        <w:ind w:left="86" w:right="20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resultado de este análisis servirá como línea base para el soporte operativo diario y para la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planificación de futuras optimizaciones o migraciones, incluyendo Azure SQL MI, RISE with SAP, nuevos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flujos ETL, así como la migración progresiva a SQL Server 2022 y versiones posteriores. </w:t>
      </w:r>
    </w:p>
    <w:p>
      <w:pPr>
        <w:autoSpaceDN w:val="0"/>
        <w:autoSpaceDE w:val="0"/>
        <w:widowControl/>
        <w:spacing w:line="236" w:lineRule="exact" w:before="4378" w:after="0"/>
        <w:ind w:left="0" w:right="168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5 </w:t>
      </w:r>
    </w:p>
    <w:p>
      <w:pPr>
        <w:sectPr>
          <w:pgSz w:w="11906" w:h="16838"/>
          <w:pgMar w:top="1008" w:right="76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p>
      <w:pPr>
        <w:autoSpaceDN w:val="0"/>
        <w:autoSpaceDE w:val="0"/>
        <w:widowControl/>
        <w:spacing w:line="566" w:lineRule="exact" w:before="0" w:after="0"/>
        <w:ind w:left="674" w:right="0" w:firstLine="0"/>
        <w:jc w:val="left"/>
      </w:pPr>
      <w:r>
        <w:rPr>
          <w:rFonts w:ascii="CIDFont+F1" w:hAnsi="CIDFont+F1" w:eastAsia="CIDFont+F1"/>
          <w:b w:val="0"/>
          <w:i w:val="0"/>
          <w:color w:val="144080"/>
          <w:sz w:val="47"/>
        </w:rPr>
        <w:t>2</w:t>
      </w:r>
      <w:r>
        <w:rPr>
          <w:rFonts w:ascii="CIDFont+F1" w:hAnsi="CIDFont+F1" w:eastAsia="CIDFont+F1"/>
          <w:b w:val="0"/>
          <w:i w:val="0"/>
          <w:color w:val="144080"/>
          <w:sz w:val="47"/>
        </w:rPr>
        <w:t xml:space="preserve">2. Descripción del sistema actual </w:t>
      </w:r>
    </w:p>
    <w:p>
      <w:pPr>
        <w:autoSpaceDN w:val="0"/>
        <w:autoSpaceDE w:val="0"/>
        <w:widowControl/>
        <w:spacing w:line="240" w:lineRule="auto" w:before="324" w:after="0"/>
        <w:ind w:left="1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241540" cy="44678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41540" cy="446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926" w:right="1440" w:bottom="10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795020</wp:posOffset>
            </wp:positionV>
            <wp:extent cx="6459220" cy="97126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9220" cy="97126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80" w:val="left"/>
        </w:tabs>
        <w:autoSpaceDE w:val="0"/>
        <w:pStyle w:val="Heading1"/>
        <w:widowControl/>
        <w:spacing w:line="234" w:lineRule="exact" w:before="0" w:after="0"/>
        <w:ind w:left="6058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Ref. Doc Tec 202505</w:t>
      </w:r>
    </w:p>
    <w:p>
      <w:pPr>
        <w:autoSpaceDN w:val="0"/>
        <w:autoSpaceDE w:val="0"/>
        <w:widowControl/>
        <w:spacing w:line="354" w:lineRule="exact" w:before="1114" w:after="0"/>
        <w:ind w:left="92" w:right="144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La arquitectura actual de bases de datos de Navantia, ilustrada en el esquema proporcionado, presenta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un ecosistema estructurado en instancias de SQL Server. Estas instancias están distribuidas según su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función y ámbito geográfico, formando agrupaciones que representan entornos lógicos orientados a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servicios específicos, tales como producción, catálogo, integración y almacenamiento histórico. </w:t>
      </w:r>
    </w:p>
    <w:p>
      <w:pPr>
        <w:autoSpaceDN w:val="0"/>
        <w:autoSpaceDE w:val="0"/>
        <w:widowControl/>
        <w:spacing w:line="236" w:lineRule="exact" w:before="276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Los principales elementos son: </w:t>
      </w:r>
    </w:p>
    <w:p>
      <w:pPr>
        <w:autoSpaceDN w:val="0"/>
        <w:tabs>
          <w:tab w:pos="3482" w:val="left"/>
        </w:tabs>
        <w:autoSpaceDE w:val="0"/>
        <w:widowControl/>
        <w:spacing w:line="408" w:lineRule="exact" w:before="410" w:after="0"/>
        <w:ind w:left="92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2.1 </w:t>
      </w:r>
      <w:r>
        <w:tab/>
      </w:r>
      <w:r>
        <w:rPr>
          <w:rFonts w:ascii="CIDFont+F6" w:hAnsi="CIDFont+F6" w:eastAsia="CIDFont+F6"/>
          <w:b w:val="0"/>
          <w:i w:val="0"/>
          <w:color w:val="0095A4"/>
          <w:sz w:val="31"/>
        </w:rPr>
        <w:t xml:space="preserve">2.1. </w:t>
      </w:r>
      <w:r>
        <w:rPr>
          <w:rFonts w:ascii="CIDFont+F1" w:hAnsi="CIDFont+F1" w:eastAsia="CIDFont+F1"/>
          <w:b w:val="0"/>
          <w:i w:val="0"/>
          <w:color w:val="0095A4"/>
          <w:sz w:val="31"/>
        </w:rPr>
        <w:t>Núcleo HOSTDB2 (</w:t>
      </w:r>
      <w:r>
        <w:rPr>
          <w:w w:val="102.05118279708059"/>
          <w:rFonts w:ascii="CIDFont+F8" w:hAnsi="CIDFont+F8" w:eastAsia="CIDFont+F8"/>
          <w:b w:val="0"/>
          <w:i w:val="0"/>
          <w:color w:val="0095A4"/>
          <w:sz w:val="19"/>
        </w:rPr>
        <w:t>MASQL20171\HOSTDB2</w:t>
      </w: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) </w:t>
      </w:r>
    </w:p>
    <w:p>
      <w:pPr>
        <w:autoSpaceDN w:val="0"/>
        <w:autoSpaceDE w:val="0"/>
        <w:widowControl/>
        <w:spacing w:line="354" w:lineRule="exact" w:before="536" w:after="706"/>
        <w:ind w:left="92" w:right="144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 instancia alberga las bases de datos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V6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V6_2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y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DB2P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herederas del entorno z/OS. HOSTDB2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centraliza información histórica migrada desde el sistema HOST, actuando como fuente para múltiples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réplicas hacia otras instancias. Se alimenta mediante copias de seguridad y mantiene relaciones directas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 bases de datos de catálogo y explotación, asegurando la integridad y disponibilidad de la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información histórica crítica.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2075"/>
        <w:gridCol w:w="2075"/>
        <w:gridCol w:w="2075"/>
        <w:gridCol w:w="2075"/>
        <w:gridCol w:w="2075"/>
      </w:tblGrid>
      <w:tr>
        <w:trPr>
          <w:trHeight w:hRule="exact" w:val="388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2.1.1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2" w:after="0"/>
              <w:ind w:left="0" w:right="160" w:firstLine="0"/>
              <w:jc w:val="right"/>
            </w:pPr>
            <w:r>
              <w:rPr>
                <w:w w:val="101.57046940015711"/>
                <w:rFonts w:ascii="CIDFont+F5" w:hAnsi="CIDFont+F5" w:eastAsia="CIDFont+F5"/>
                <w:b/>
                <w:i w:val="0"/>
                <w:color w:val="144080"/>
                <w:sz w:val="23"/>
              </w:rPr>
              <w:t xml:space="preserve">2.2.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176" w:right="0" w:firstLine="0"/>
              <w:jc w:val="left"/>
            </w:pPr>
            <w:r>
              <w:rPr>
                <w:w w:val="101.57046940015711"/>
                <w:rFonts w:ascii="CIDFont+F7" w:hAnsi="CIDFont+F7" w:eastAsia="CIDFont+F7"/>
                <w:b/>
                <w:i w:val="0"/>
                <w:color w:val="144080"/>
                <w:sz w:val="23"/>
              </w:rPr>
              <w:t xml:space="preserve">Plataforma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0" w:firstLine="0"/>
              <w:jc w:val="center"/>
            </w:pPr>
            <w:r>
              <w:rPr>
                <w:w w:val="101.57046940015711"/>
                <w:rFonts w:ascii="CIDFont+F7" w:hAnsi="CIDFont+F7" w:eastAsia="CIDFont+F7"/>
                <w:b/>
                <w:i w:val="0"/>
                <w:color w:val="144080"/>
                <w:sz w:val="23"/>
              </w:rPr>
              <w:t xml:space="preserve">Necor@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6" w:firstLine="0"/>
              <w:jc w:val="right"/>
            </w:pPr>
            <w:r>
              <w:rPr>
                <w:w w:val="101.57046940015711"/>
                <w:rFonts w:ascii="CIDFont+F7" w:hAnsi="CIDFont+F7" w:eastAsia="CIDFont+F7"/>
                <w:b/>
                <w:i w:val="0"/>
                <w:color w:val="144080"/>
                <w:sz w:val="23"/>
              </w:rPr>
              <w:t xml:space="preserve">clásica </w:t>
            </w:r>
          </w:p>
        </w:tc>
      </w:tr>
    </w:tbl>
    <w:p>
      <w:pPr>
        <w:autoSpaceDN w:val="0"/>
        <w:autoSpaceDE w:val="0"/>
        <w:pStyle w:val="Heading1"/>
        <w:widowControl/>
        <w:spacing w:line="322" w:lineRule="exact" w:before="44" w:after="0"/>
        <w:ind w:left="78" w:right="0" w:firstLine="0"/>
        <w:jc w:val="left"/>
      </w:pPr>
      <w:r>
        <w:rPr>
          <w:w w:val="101.57046940015711"/>
          <w:rFonts w:ascii="CIDFont+F7" w:hAnsi="CIDFont+F7" w:eastAsia="CIDFont+F7"/>
          <w:b/>
          <w:i w:val="0"/>
          <w:color w:val="144080"/>
          <w:sz w:val="23"/>
        </w:rPr>
        <w:t>(</w:t>
      </w:r>
      <w:r>
        <w:rPr>
          <w:w w:val="102.05118279708059"/>
          <w:rFonts w:ascii="CIDFont+F10" w:hAnsi="CIDFont+F10" w:eastAsia="CIDFont+F10"/>
          <w:b/>
          <w:i w:val="0"/>
          <w:color w:val="144080"/>
          <w:sz w:val="19"/>
        </w:rPr>
        <w:t>MASQL20142\SQL20142</w:t>
      </w:r>
      <w:r>
        <w:rPr>
          <w:w w:val="101.57046940015711"/>
          <w:rFonts w:ascii="CIDFont+F7" w:hAnsi="CIDFont+F7" w:eastAsia="CIDFont+F7"/>
          <w:b/>
          <w:i w:val="0"/>
          <w:color w:val="144080"/>
          <w:sz w:val="23"/>
        </w:rPr>
        <w:t>)</w:t>
      </w:r>
    </w:p>
    <w:p>
      <w:pPr>
        <w:autoSpaceDN w:val="0"/>
        <w:autoSpaceDE w:val="0"/>
        <w:widowControl/>
        <w:spacing w:line="354" w:lineRule="exact" w:before="128" w:after="710"/>
        <w:ind w:left="92" w:right="144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 plataforma agrupa la base de datos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Necor@NC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utilizada por aplicaciones legadas como ECADAT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y para la integración con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SAP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en la gestión de hojas de catálogo y materiales. Su función principal es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servir como punto de entrada para datos técnicos (materiales, ingeniería), que posteriormente se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redistribuyen a otras instancias, facilitando la interoperabilidad y el flujo de información entre sistemas.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2594"/>
        <w:gridCol w:w="2594"/>
        <w:gridCol w:w="2594"/>
        <w:gridCol w:w="2594"/>
      </w:tblGrid>
      <w:tr>
        <w:trPr>
          <w:trHeight w:hRule="exact" w:val="38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2.1.2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336" w:firstLine="0"/>
              <w:jc w:val="right"/>
            </w:pPr>
            <w:r>
              <w:rPr>
                <w:w w:val="101.57046940015711"/>
                <w:rFonts w:ascii="CIDFont+F5" w:hAnsi="CIDFont+F5" w:eastAsia="CIDFont+F5"/>
                <w:b/>
                <w:i w:val="0"/>
                <w:color w:val="144080"/>
                <w:sz w:val="23"/>
              </w:rPr>
              <w:t xml:space="preserve">2.3. </w:t>
            </w:r>
            <w:r>
              <w:rPr>
                <w:w w:val="101.57046940015711"/>
                <w:rFonts w:ascii="CIDFont+F7" w:hAnsi="CIDFont+F7" w:eastAsia="CIDFont+F7"/>
                <w:b/>
                <w:i w:val="0"/>
                <w:color w:val="144080"/>
                <w:sz w:val="23"/>
              </w:rPr>
              <w:t xml:space="preserve">Plataforma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0" w:firstLine="0"/>
              <w:jc w:val="center"/>
            </w:pPr>
            <w:r>
              <w:rPr>
                <w:w w:val="101.57046940015711"/>
                <w:rFonts w:ascii="CIDFont+F7" w:hAnsi="CIDFont+F7" w:eastAsia="CIDFont+F7"/>
                <w:b/>
                <w:i w:val="0"/>
                <w:color w:val="144080"/>
                <w:sz w:val="23"/>
              </w:rPr>
              <w:t xml:space="preserve">Necor@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354" w:right="0" w:firstLine="0"/>
              <w:jc w:val="left"/>
            </w:pPr>
            <w:r>
              <w:rPr>
                <w:w w:val="101.57046940015711"/>
                <w:rFonts w:ascii="CIDFont+F7" w:hAnsi="CIDFont+F7" w:eastAsia="CIDFont+F7"/>
                <w:b/>
                <w:i w:val="0"/>
                <w:color w:val="144080"/>
                <w:sz w:val="23"/>
              </w:rPr>
              <w:t xml:space="preserve">extendida </w:t>
            </w:r>
          </w:p>
        </w:tc>
      </w:tr>
    </w:tbl>
    <w:p>
      <w:pPr>
        <w:autoSpaceDN w:val="0"/>
        <w:autoSpaceDE w:val="0"/>
        <w:pStyle w:val="Heading1"/>
        <w:widowControl/>
        <w:spacing w:line="322" w:lineRule="exact" w:before="44" w:after="0"/>
        <w:ind w:left="78" w:right="0" w:firstLine="0"/>
        <w:jc w:val="left"/>
      </w:pPr>
      <w:r>
        <w:rPr>
          <w:w w:val="101.57046940015711"/>
          <w:rFonts w:ascii="CIDFont+F7" w:hAnsi="CIDFont+F7" w:eastAsia="CIDFont+F7"/>
          <w:b/>
          <w:i w:val="0"/>
          <w:color w:val="144080"/>
          <w:sz w:val="23"/>
        </w:rPr>
        <w:t>(</w:t>
      </w:r>
      <w:r>
        <w:rPr>
          <w:w w:val="102.05118279708059"/>
          <w:rFonts w:ascii="CIDFont+F10" w:hAnsi="CIDFont+F10" w:eastAsia="CIDFont+F10"/>
          <w:b/>
          <w:i w:val="0"/>
          <w:color w:val="144080"/>
          <w:sz w:val="19"/>
        </w:rPr>
        <w:t>MASQL20142\NECORANET</w:t>
      </w:r>
      <w:r>
        <w:rPr>
          <w:w w:val="101.57046940015711"/>
          <w:rFonts w:ascii="CIDFont+F7" w:hAnsi="CIDFont+F7" w:eastAsia="CIDFont+F7"/>
          <w:b/>
          <w:i w:val="0"/>
          <w:color w:val="144080"/>
          <w:sz w:val="23"/>
        </w:rPr>
        <w:t>)</w:t>
      </w:r>
    </w:p>
    <w:p>
      <w:pPr>
        <w:autoSpaceDN w:val="0"/>
        <w:autoSpaceDE w:val="0"/>
        <w:widowControl/>
        <w:spacing w:line="234" w:lineRule="exact" w:before="244" w:after="154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Este entorno funcional de AWD incluye bases de datos como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NecoraDocAWD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InterfacesAWD_PEC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3459"/>
        <w:gridCol w:w="3459"/>
        <w:gridCol w:w="3459"/>
      </w:tblGrid>
      <w:tr>
        <w:trPr>
          <w:trHeight w:hRule="exact" w:val="27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50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Necor@AWD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15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y </w:t>
            </w:r>
          </w:p>
        </w:tc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9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NAI_InterfacesAWD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. Además, incorpora el servidor de informes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904" w:right="652" w:bottom="144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894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0" w:right="99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pStyle w:val="Heading1"/>
        <w:widowControl/>
        <w:spacing w:line="234" w:lineRule="exact" w:before="1092" w:after="0"/>
        <w:ind w:left="0" w:right="0" w:firstLine="0"/>
        <w:jc w:val="center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REPORTSERVERSNECORANET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que explota datos de todas las bases anteriores e integra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herramientas como Power BI y otras soluciones internas. Desde esta instancia, se consolidan datos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provenientes de otras instancias a través del objeto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PDB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que actúa como origen común para clientes </w:t>
      </w:r>
    </w:p>
    <w:p>
      <w:pPr>
        <w:autoSpaceDN w:val="0"/>
        <w:autoSpaceDE w:val="0"/>
        <w:widowControl/>
        <w:spacing w:line="236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satélites y operaciones cruzadas, optimizando la gestión y análisis de datos. </w:t>
      </w:r>
    </w:p>
    <w:p>
      <w:pPr>
        <w:autoSpaceDN w:val="0"/>
        <w:tabs>
          <w:tab w:pos="3756" w:val="left"/>
        </w:tabs>
        <w:autoSpaceDE w:val="0"/>
        <w:widowControl/>
        <w:spacing w:line="294" w:lineRule="exact" w:before="660" w:after="0"/>
        <w:ind w:left="78" w:right="0" w:firstLine="0"/>
        <w:jc w:val="left"/>
      </w:pP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2.1.3 </w:t>
      </w:r>
      <w:r>
        <w:rPr>
          <w:w w:val="101.57046940015711"/>
          <w:rFonts w:ascii="CIDFont+F5" w:hAnsi="CIDFont+F5" w:eastAsia="CIDFont+F5"/>
          <w:b/>
          <w:i w:val="0"/>
          <w:color w:val="144080"/>
          <w:sz w:val="23"/>
        </w:rPr>
        <w:t xml:space="preserve">2.4. </w:t>
      </w:r>
      <w:r>
        <w:rPr>
          <w:w w:val="101.57046940015711"/>
          <w:rFonts w:ascii="CIDFont+F7" w:hAnsi="CIDFont+F7" w:eastAsia="CIDFont+F7"/>
          <w:b/>
          <w:i w:val="0"/>
          <w:color w:val="144080"/>
          <w:sz w:val="23"/>
        </w:rPr>
        <w:t>Clientes internacionales (</w:t>
      </w:r>
      <w:r>
        <w:rPr>
          <w:w w:val="102.05118279708059"/>
          <w:rFonts w:ascii="CIDFont+F10" w:hAnsi="CIDFont+F10" w:eastAsia="CIDFont+F10"/>
          <w:b/>
          <w:i w:val="0"/>
          <w:color w:val="144080"/>
          <w:sz w:val="19"/>
        </w:rPr>
        <w:t>SQL Server 2022</w:t>
      </w:r>
      <w:r>
        <w:rPr>
          <w:w w:val="101.57046940015711"/>
          <w:rFonts w:ascii="CIDFont+F7" w:hAnsi="CIDFont+F7" w:eastAsia="CIDFont+F7"/>
          <w:b/>
          <w:i w:val="0"/>
          <w:color w:val="144080"/>
          <w:sz w:val="23"/>
        </w:rPr>
        <w:t>)</w:t>
      </w:r>
    </w:p>
    <w:p>
      <w:pPr>
        <w:autoSpaceDN w:val="0"/>
        <w:tabs>
          <w:tab w:pos="674" w:val="left"/>
          <w:tab w:pos="1894" w:val="left"/>
          <w:tab w:pos="4764" w:val="left"/>
          <w:tab w:pos="5132" w:val="left"/>
          <w:tab w:pos="8404" w:val="left"/>
          <w:tab w:pos="9194" w:val="left"/>
        </w:tabs>
        <w:autoSpaceDE w:val="0"/>
        <w:widowControl/>
        <w:spacing w:line="234" w:lineRule="exact" w:before="28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Las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instancias 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MASQL20221\SQLTURK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y 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MASQL20221\SQLNORWAY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están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diseñadas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específicamente para los contratos de Turquía y Noruega, respectivamente, y albergan la base de datos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Necor@AWD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. Ambas instancias consumen datos del objeto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PDB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y cuentan con procesos ETL para la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replicación, validación y extracción específica por proyecto. Cada una de estas instancias opera de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manera sincronizada gracias a enlaces definidos, que incluyen copias de seguridad, servicios ETL y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replicaciones manuales, lo que permite mantener la consistencia y trazabilidad de los datos. Este diseño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modular refleja una arquitectura evolutiva orientada a clientes distribuidos, aislando entornos según su </w:t>
      </w:r>
    </w:p>
    <w:p>
      <w:pPr>
        <w:autoSpaceDN w:val="0"/>
        <w:autoSpaceDE w:val="0"/>
        <w:widowControl/>
        <w:spacing w:line="236" w:lineRule="exact" w:before="118" w:after="61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uso y país, y asegurando la adaptabilidad a requisitos locales.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17"/>
        <w:gridCol w:w="3417"/>
        <w:gridCol w:w="3417"/>
      </w:tblGrid>
      <w:tr>
        <w:trPr>
          <w:trHeight w:hRule="exact" w:val="41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2.1.4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288" w:firstLine="0"/>
              <w:jc w:val="right"/>
            </w:pPr>
            <w:r>
              <w:rPr>
                <w:w w:val="101.57046940015711"/>
                <w:rFonts w:ascii="CIDFont+F5" w:hAnsi="CIDFont+F5" w:eastAsia="CIDFont+F5"/>
                <w:b/>
                <w:i w:val="0"/>
                <w:color w:val="144080"/>
                <w:sz w:val="23"/>
              </w:rPr>
              <w:t xml:space="preserve">2.5.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294" w:right="0" w:firstLine="0"/>
              <w:jc w:val="left"/>
            </w:pPr>
            <w:r>
              <w:rPr>
                <w:w w:val="101.57046940015711"/>
                <w:rFonts w:ascii="CIDFont+F7" w:hAnsi="CIDFont+F7" w:eastAsia="CIDFont+F7"/>
                <w:b/>
                <w:i w:val="0"/>
                <w:color w:val="144080"/>
                <w:sz w:val="23"/>
              </w:rPr>
              <w:t>Servicios intermedios (</w:t>
            </w:r>
            <w:r>
              <w:rPr>
                <w:w w:val="102.05118279708059"/>
                <w:rFonts w:ascii="CIDFont+F10" w:hAnsi="CIDFont+F10" w:eastAsia="CIDFont+F10"/>
                <w:b/>
                <w:i w:val="0"/>
                <w:color w:val="144080"/>
                <w:sz w:val="19"/>
              </w:rPr>
              <w:t>MASERVF9</w:t>
            </w:r>
            <w:r>
              <w:rPr>
                <w:w w:val="101.57046940015711"/>
                <w:rFonts w:ascii="CIDFont+F7" w:hAnsi="CIDFont+F7" w:eastAsia="CIDFont+F7"/>
                <w:b/>
                <w:i w:val="0"/>
                <w:color w:val="144080"/>
                <w:sz w:val="23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58" w:lineRule="exact" w:before="412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El servidor IIS 10, configurado como pasarela de integración entre SAP PO y SQL Server, actúa como </w:t>
      </w:r>
    </w:p>
    <w:p>
      <w:pPr>
        <w:autoSpaceDN w:val="0"/>
        <w:autoSpaceDE w:val="0"/>
        <w:widowControl/>
        <w:spacing w:line="260" w:lineRule="exact" w:before="74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intermediario en la comunicación de datos. Expone </w:t>
      </w:r>
      <w:r>
        <w:rPr>
          <w:w w:val="101.57046940015711"/>
          <w:rFonts w:ascii="CIDFont+F12" w:hAnsi="CIDFont+F12" w:eastAsia="CIDFont+F12"/>
          <w:b/>
          <w:i w:val="0"/>
          <w:color w:val="404040"/>
          <w:sz w:val="23"/>
        </w:rPr>
        <w:t>Web Services REST/SOAP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que permiten a SAP </w:t>
      </w:r>
    </w:p>
    <w:p>
      <w:pPr>
        <w:autoSpaceDN w:val="0"/>
        <w:autoSpaceDE w:val="0"/>
        <w:widowControl/>
        <w:spacing w:line="260" w:lineRule="exact" w:before="76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consultar datos de materiales y recibir confirmaciones de manera segura. Se comunica directamente con </w:t>
      </w:r>
    </w:p>
    <w:p>
      <w:pPr>
        <w:autoSpaceDN w:val="0"/>
        <w:autoSpaceDE w:val="0"/>
        <w:widowControl/>
        <w:spacing w:line="266" w:lineRule="exact" w:before="76" w:after="0"/>
        <w:ind w:left="0" w:right="0" w:firstLine="0"/>
        <w:jc w:val="center"/>
      </w:pP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HOSTDB2.V6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a través de ODBC y opera en un puerto fijo (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58898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), controlado por un firewall y validado por </w:t>
      </w:r>
    </w:p>
    <w:p>
      <w:pPr>
        <w:autoSpaceDN w:val="0"/>
        <w:autoSpaceDE w:val="0"/>
        <w:widowControl/>
        <w:spacing w:line="258" w:lineRule="exact" w:before="78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el departamento de Ciberseguridad. </w:t>
      </w:r>
    </w:p>
    <w:p>
      <w:pPr>
        <w:autoSpaceDN w:val="0"/>
        <w:autoSpaceDE w:val="0"/>
        <w:widowControl/>
        <w:spacing w:line="258" w:lineRule="exact" w:before="340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MASERVF9 es el host Windows Server 2019 (10.100.161.76) que reemplaza al antiguo </w:t>
      </w:r>
      <w:r>
        <w:rPr>
          <w:w w:val="101.57046940015711"/>
          <w:rFonts w:ascii="CIDFont+F12" w:hAnsi="CIDFont+F12" w:eastAsia="CIDFont+F12"/>
          <w:b/>
          <w:i w:val="0"/>
          <w:color w:val="404040"/>
          <w:sz w:val="23"/>
        </w:rPr>
        <w:t>MANECNET</w:t>
      </w:r>
    </w:p>
    <w:p>
      <w:pPr>
        <w:autoSpaceDN w:val="0"/>
        <w:autoSpaceDE w:val="0"/>
        <w:widowControl/>
        <w:spacing w:line="258" w:lineRule="exact" w:before="80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como punto único de integración SOAP entre SAP PO y Necor@. Desde noviembre de 2024, aloja: </w:t>
      </w:r>
    </w:p>
    <w:p>
      <w:pPr>
        <w:autoSpaceDN w:val="0"/>
        <w:tabs>
          <w:tab w:pos="792" w:val="left"/>
        </w:tabs>
        <w:autoSpaceDE w:val="0"/>
        <w:widowControl/>
        <w:spacing w:line="258" w:lineRule="exact" w:before="276" w:after="0"/>
        <w:ind w:left="442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1.57046940015711"/>
          <w:rFonts w:ascii="CIDFont+F12" w:hAnsi="CIDFont+F12" w:eastAsia="CIDFont+F12"/>
          <w:b/>
          <w:i w:val="0"/>
          <w:color w:val="404040"/>
          <w:sz w:val="23"/>
        </w:rPr>
        <w:t>Web Service NecoraWebIntegrator.svc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— expuesto en IIS 10, puerto 80.</w:t>
      </w:r>
    </w:p>
    <w:p>
      <w:pPr>
        <w:autoSpaceDN w:val="0"/>
        <w:tabs>
          <w:tab w:pos="792" w:val="left"/>
        </w:tabs>
        <w:autoSpaceDE w:val="0"/>
        <w:widowControl/>
        <w:spacing w:line="258" w:lineRule="exact" w:before="122" w:after="0"/>
        <w:ind w:left="442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Carpetas de intercambio </w:t>
      </w:r>
      <w:r>
        <w:rPr>
          <w:w w:val="101.57046940015711"/>
          <w:rFonts w:ascii="CIDFont+F12" w:hAnsi="CIDFont+F12" w:eastAsia="CIDFont+F12"/>
          <w:b/>
          <w:i w:val="0"/>
          <w:color w:val="404040"/>
          <w:sz w:val="23"/>
        </w:rPr>
        <w:t>NecoraSAP\Request|Response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con permisos NTFS equivalentes a los de </w:t>
      </w:r>
    </w:p>
    <w:p>
      <w:pPr>
        <w:autoSpaceDN w:val="0"/>
        <w:autoSpaceDE w:val="0"/>
        <w:widowControl/>
        <w:spacing w:line="236" w:lineRule="exact" w:before="1334" w:after="0"/>
        <w:ind w:left="0" w:right="167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8 </w:t>
      </w:r>
    </w:p>
    <w:p>
      <w:pPr>
        <w:sectPr>
          <w:pgSz w:w="11906" w:h="16838"/>
          <w:pgMar w:top="1008" w:right="77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894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0" w:right="99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258" w:lineRule="exact" w:before="1100" w:after="0"/>
        <w:ind w:left="802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MANECNET.</w:t>
      </w:r>
    </w:p>
    <w:p>
      <w:pPr>
        <w:autoSpaceDN w:val="0"/>
        <w:tabs>
          <w:tab w:pos="792" w:val="left"/>
        </w:tabs>
        <w:autoSpaceDE w:val="0"/>
        <w:widowControl/>
        <w:spacing w:line="258" w:lineRule="exact" w:before="168" w:after="0"/>
        <w:ind w:left="442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Cliente SQL Native 11 para conectividad con </w:t>
      </w:r>
      <w:r>
        <w:rPr>
          <w:w w:val="101.57046940015711"/>
          <w:rFonts w:ascii="CIDFont+F12" w:hAnsi="CIDFont+F12" w:eastAsia="CIDFont+F12"/>
          <w:b/>
          <w:i w:val="0"/>
          <w:color w:val="404040"/>
          <w:sz w:val="23"/>
        </w:rPr>
        <w:t>MASQL20171\HOSTDB2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.</w:t>
      </w:r>
    </w:p>
    <w:p>
      <w:pPr>
        <w:autoSpaceDN w:val="0"/>
        <w:tabs>
          <w:tab w:pos="792" w:val="left"/>
        </w:tabs>
        <w:autoSpaceDE w:val="0"/>
        <w:widowControl/>
        <w:spacing w:line="260" w:lineRule="exact" w:before="168" w:after="0"/>
        <w:ind w:left="442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Agente de monitorización Centreon (plantilla </w:t>
      </w:r>
      <w:r>
        <w:rPr>
          <w:w w:val="101.57046940015711"/>
          <w:rFonts w:ascii="CIDFont+F14" w:hAnsi="CIDFont+F14" w:eastAsia="CIDFont+F14"/>
          <w:b w:val="0"/>
          <w:i/>
          <w:color w:val="404040"/>
          <w:sz w:val="23"/>
        </w:rPr>
        <w:t>IIS 10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). 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 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Repositorio de archivos de ingeniería y </w:t>
      </w:r>
    </w:p>
    <w:p>
      <w:pPr>
        <w:autoSpaceDN w:val="0"/>
        <w:autoSpaceDE w:val="0"/>
        <w:widowControl/>
        <w:spacing w:line="258" w:lineRule="exact" w:before="76" w:after="0"/>
        <w:ind w:left="792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producción.</w:t>
      </w:r>
    </w:p>
    <w:p>
      <w:pPr>
        <w:autoSpaceDN w:val="0"/>
        <w:autoSpaceDE w:val="0"/>
        <w:widowControl/>
        <w:spacing w:line="258" w:lineRule="exact" w:before="340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Este servidor concentra ahora los flujos M-AT (</w:t>
      </w:r>
      <w:r>
        <w:rPr>
          <w:w w:val="101.57046940015711"/>
          <w:rFonts w:ascii="CIDFont+F14" w:hAnsi="CIDFont+F14" w:eastAsia="CIDFont+F14"/>
          <w:b w:val="0"/>
          <w:i/>
          <w:color w:val="404040"/>
          <w:sz w:val="23"/>
        </w:rPr>
        <w:t>SetInfoMateriales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) y Login, que sincronizan el material </w:t>
      </w:r>
    </w:p>
    <w:p>
      <w:pPr>
        <w:autoSpaceDN w:val="0"/>
        <w:autoSpaceDE w:val="0"/>
        <w:widowControl/>
        <w:spacing w:line="258" w:lineRule="exact" w:before="78" w:after="0"/>
        <w:ind w:left="0" w:right="0" w:firstLine="0"/>
        <w:jc w:val="center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maestro entre SAP y la base </w:t>
      </w:r>
      <w:r>
        <w:rPr>
          <w:w w:val="101.57046940015711"/>
          <w:rFonts w:ascii="CIDFont+F12" w:hAnsi="CIDFont+F12" w:eastAsia="CIDFont+F12"/>
          <w:b/>
          <w:i w:val="0"/>
          <w:color w:val="404040"/>
          <w:sz w:val="23"/>
        </w:rPr>
        <w:t>V6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. Su consolidación elimina dependencias de hardware obsoleto y simplifica </w:t>
      </w:r>
    </w:p>
    <w:p>
      <w:pPr>
        <w:autoSpaceDN w:val="0"/>
        <w:autoSpaceDE w:val="0"/>
        <w:widowControl/>
        <w:spacing w:line="258" w:lineRule="exact" w:before="78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la matriz del firewall corporativo, mejorando la eficiencia operativa y la seguridad de las comunicaciones. </w:t>
      </w:r>
    </w:p>
    <w:p>
      <w:pPr>
        <w:autoSpaceDN w:val="0"/>
        <w:autoSpaceDE w:val="0"/>
        <w:widowControl/>
        <w:spacing w:line="260" w:lineRule="exact" w:before="338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.</w:t>
      </w:r>
    </w:p>
    <w:p>
      <w:pPr>
        <w:autoSpaceDN w:val="0"/>
        <w:tabs>
          <w:tab w:pos="2996" w:val="left"/>
        </w:tabs>
        <w:autoSpaceDE w:val="0"/>
        <w:widowControl/>
        <w:spacing w:line="282" w:lineRule="exact" w:before="622" w:after="0"/>
        <w:ind w:left="78" w:right="0" w:firstLine="0"/>
        <w:jc w:val="left"/>
      </w:pP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2.1.5 </w:t>
      </w:r>
      <w:r>
        <w:rPr>
          <w:w w:val="101.57046940015711"/>
          <w:rFonts w:ascii="CIDFont+F5" w:hAnsi="CIDFont+F5" w:eastAsia="CIDFont+F5"/>
          <w:b/>
          <w:i w:val="0"/>
          <w:color w:val="144080"/>
          <w:sz w:val="23"/>
        </w:rPr>
        <w:t xml:space="preserve">2.6. </w:t>
      </w:r>
      <w:r>
        <w:rPr>
          <w:w w:val="101.57046940015711"/>
          <w:rFonts w:ascii="CIDFont+F7" w:hAnsi="CIDFont+F7" w:eastAsia="CIDFont+F7"/>
          <w:b/>
          <w:i w:val="0"/>
          <w:color w:val="144080"/>
          <w:sz w:val="23"/>
        </w:rPr>
        <w:t>Flujos de carga y extracción</w:t>
      </w:r>
    </w:p>
    <w:p>
      <w:pPr>
        <w:autoSpaceDN w:val="0"/>
        <w:autoSpaceDE w:val="0"/>
        <w:widowControl/>
        <w:spacing w:line="236" w:lineRule="exact" w:before="27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sistema de bases de datos de Navantia incorpora una serie de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paquetes SSIS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(SQL Server </w:t>
      </w:r>
    </w:p>
    <w:p>
      <w:pPr>
        <w:autoSpaceDN w:val="0"/>
        <w:autoSpaceDE w:val="0"/>
        <w:widowControl/>
        <w:spacing w:line="236" w:lineRule="exact" w:before="1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Integration Services),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planificaciones de SQL Server Agent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y validaciones CRC (Control de </w:t>
      </w:r>
    </w:p>
    <w:p>
      <w:pPr>
        <w:autoSpaceDN w:val="0"/>
        <w:autoSpaceDE w:val="0"/>
        <w:widowControl/>
        <w:spacing w:line="236" w:lineRule="exact" w:before="116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Redundancia Cíclica) que aseguran la integridad en cada operación de lectura, carga o replicación de </w:t>
      </w:r>
    </w:p>
    <w:p>
      <w:pPr>
        <w:autoSpaceDN w:val="0"/>
        <w:autoSpaceDE w:val="0"/>
        <w:widowControl/>
        <w:spacing w:line="236" w:lineRule="exact" w:before="1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datos. Estos flujos están cuidadosamente definidos según el país, cliente y uso funcional, abarcando </w:t>
      </w:r>
    </w:p>
    <w:p>
      <w:pPr>
        <w:autoSpaceDN w:val="0"/>
        <w:autoSpaceDE w:val="0"/>
        <w:widowControl/>
        <w:spacing w:line="236" w:lineRule="exact" w:before="116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tareas como la generación de informes, procesos ETL nocturnos y la sincronización de catálogos. </w:t>
      </w:r>
    </w:p>
    <w:p>
      <w:pPr>
        <w:autoSpaceDN w:val="0"/>
        <w:autoSpaceDE w:val="0"/>
        <w:widowControl/>
        <w:spacing w:line="258" w:lineRule="exact" w:before="282" w:after="0"/>
        <w:ind w:left="0" w:right="0" w:firstLine="0"/>
        <w:jc w:val="center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Cada flujo es auditado mediante registros detallados (logs) y comprobaciones periódicas, lo que permite una </w:t>
      </w:r>
    </w:p>
    <w:p>
      <w:pPr>
        <w:autoSpaceDN w:val="0"/>
        <w:autoSpaceDE w:val="0"/>
        <w:widowControl/>
        <w:spacing w:line="258" w:lineRule="exact" w:before="146" w:after="0"/>
        <w:ind w:left="0" w:right="0" w:firstLine="0"/>
        <w:jc w:val="center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supervisión continua y la capacidad de identificar y resolver rápidamente cualquier anomalía que pueda </w:t>
      </w:r>
    </w:p>
    <w:p>
      <w:pPr>
        <w:autoSpaceDN w:val="0"/>
        <w:autoSpaceDE w:val="0"/>
        <w:widowControl/>
        <w:spacing w:line="258" w:lineRule="exact" w:before="140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surgir. </w:t>
      </w:r>
    </w:p>
    <w:p>
      <w:pPr>
        <w:autoSpaceDN w:val="0"/>
        <w:autoSpaceDE w:val="0"/>
        <w:widowControl/>
        <w:spacing w:line="260" w:lineRule="exact" w:before="298" w:after="0"/>
        <w:ind w:left="0" w:right="0" w:firstLine="0"/>
        <w:jc w:val="center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El modelo de datos actual se caracteriza por su arquitectura </w:t>
      </w:r>
      <w:r>
        <w:rPr>
          <w:w w:val="101.57046940015711"/>
          <w:rFonts w:ascii="CIDFont+F12" w:hAnsi="CIDFont+F12" w:eastAsia="CIDFont+F12"/>
          <w:b/>
          <w:i w:val="0"/>
          <w:color w:val="404040"/>
          <w:sz w:val="23"/>
        </w:rPr>
        <w:t>modular, desacoplada y orientada al cliente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. </w:t>
      </w:r>
    </w:p>
    <w:p>
      <w:pPr>
        <w:autoSpaceDN w:val="0"/>
        <w:autoSpaceDE w:val="0"/>
        <w:widowControl/>
        <w:spacing w:line="260" w:lineRule="exact" w:before="138" w:after="0"/>
        <w:ind w:left="0" w:right="0" w:firstLine="0"/>
        <w:jc w:val="center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Esta estructura permite la existencia de instancias dedicadas por función, país o sistema fuente, lo que </w:t>
      </w:r>
    </w:p>
    <w:p>
      <w:pPr>
        <w:autoSpaceDN w:val="0"/>
        <w:autoSpaceDE w:val="0"/>
        <w:widowControl/>
        <w:spacing w:line="258" w:lineRule="exact" w:before="144" w:after="0"/>
        <w:ind w:left="0" w:right="0" w:firstLine="0"/>
        <w:jc w:val="center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garantiza una trazabilidad completa desde el origen en SAP hasta la entrega final en Necor@. Esta orientación </w:t>
      </w:r>
    </w:p>
    <w:p>
      <w:pPr>
        <w:autoSpaceDN w:val="0"/>
        <w:autoSpaceDE w:val="0"/>
        <w:widowControl/>
        <w:spacing w:line="258" w:lineRule="exact" w:before="140" w:after="0"/>
        <w:ind w:left="0" w:right="0" w:firstLine="0"/>
        <w:jc w:val="center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modular no solo facilita la gestión y el mantenimiento del sistema, sino que también asegura que las </w:t>
      </w:r>
    </w:p>
    <w:p>
      <w:pPr>
        <w:autoSpaceDN w:val="0"/>
        <w:autoSpaceDE w:val="0"/>
        <w:widowControl/>
        <w:spacing w:line="258" w:lineRule="exact" w:before="144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necesidades específicas de cada cliente y región sean atendidas de manera eficiente y efectiva.</w:t>
      </w:r>
    </w:p>
    <w:p>
      <w:pPr>
        <w:autoSpaceDN w:val="0"/>
        <w:autoSpaceDE w:val="0"/>
        <w:widowControl/>
        <w:spacing w:line="236" w:lineRule="exact" w:before="1828" w:after="0"/>
        <w:ind w:left="0" w:right="167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9 </w:t>
      </w:r>
    </w:p>
    <w:p>
      <w:pPr>
        <w:sectPr>
          <w:pgSz w:w="11906" w:h="16838"/>
          <w:pgMar w:top="1008" w:right="77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0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568" w:lineRule="exact" w:before="1090" w:after="162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144080"/>
          <w:sz w:val="47"/>
        </w:rPr>
        <w:t>3</w:t>
      </w:r>
      <w:r>
        <w:rPr>
          <w:rFonts w:ascii="CIDFont+F1" w:hAnsi="CIDFont+F1" w:eastAsia="CIDFont+F1"/>
          <w:b w:val="0"/>
          <w:i w:val="0"/>
          <w:color w:val="144080"/>
          <w:sz w:val="47"/>
        </w:rPr>
        <w:t xml:space="preserve">3. Detalle técnico por servidor/instancia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179"/>
        <w:gridCol w:w="5179"/>
      </w:tblGrid>
      <w:tr>
        <w:trPr>
          <w:trHeight w:hRule="exact" w:val="1312"/>
        </w:trPr>
        <w:tc>
          <w:tcPr>
            <w:tcW w:type="dxa" w:w="1602"/>
            <w:tcBorders>
              <w:top w:sz="1.6000000000001364" w:val="single" w:color="#133F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74" w:after="0"/>
              <w:ind w:left="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>3.1</w:t>
            </w:r>
          </w:p>
        </w:tc>
        <w:tc>
          <w:tcPr>
            <w:tcW w:type="dxa" w:w="8642"/>
            <w:tcBorders>
              <w:top w:sz="1.6000000000001364" w:val="single" w:color="#133F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74" w:after="0"/>
              <w:ind w:left="1092" w:right="0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95A4"/>
                <w:sz w:val="31"/>
              </w:rPr>
              <w:t xml:space="preserve">3.1. </w:t>
            </w: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MASQL20171\HOSTDB2 </w:t>
            </w:r>
          </w:p>
        </w:tc>
      </w:tr>
    </w:tbl>
    <w:p>
      <w:pPr>
        <w:autoSpaceDN w:val="0"/>
        <w:autoSpaceDE w:val="0"/>
        <w:widowControl/>
        <w:spacing w:line="254" w:lineRule="exact" w:before="242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La instancia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MASQL20171\HOSTDB2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funciona como el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nodo central de consolidación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tras el apagado </w:t>
      </w:r>
    </w:p>
    <w:p>
      <w:pPr>
        <w:autoSpaceDN w:val="0"/>
        <w:autoSpaceDE w:val="0"/>
        <w:widowControl/>
        <w:spacing w:line="236" w:lineRule="exact" w:before="12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del entorno HOST (DB2/VSAM). Implementada sobre SQL Server 2017 CU31, concentra todas las bases </w:t>
      </w:r>
    </w:p>
    <w:p>
      <w:pPr>
        <w:autoSpaceDN w:val="0"/>
        <w:autoSpaceDE w:val="0"/>
        <w:widowControl/>
        <w:spacing w:line="236" w:lineRule="exact" w:before="126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datos migradas desde el ecosistema mainframe, así como los esquemas técnicos heredados de </w:t>
      </w:r>
    </w:p>
    <w:p>
      <w:pPr>
        <w:autoSpaceDN w:val="0"/>
        <w:autoSpaceDE w:val="0"/>
        <w:widowControl/>
        <w:spacing w:line="236" w:lineRule="exact" w:before="132" w:after="686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instancias auxiliares como FESRV014 y MAHOST.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53"/>
        <w:gridCol w:w="3453"/>
        <w:gridCol w:w="3453"/>
      </w:tblGrid>
      <w:tr>
        <w:trPr>
          <w:trHeight w:hRule="exact" w:val="40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3.1.1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4" w:after="0"/>
              <w:ind w:left="0" w:right="190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3.1.1.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19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Características generales </w:t>
            </w:r>
          </w:p>
        </w:tc>
      </w:tr>
    </w:tbl>
    <w:p>
      <w:pPr>
        <w:autoSpaceDN w:val="0"/>
        <w:autoSpaceDE w:val="0"/>
        <w:widowControl/>
        <w:spacing w:line="254" w:lineRule="exact" w:before="162" w:after="0"/>
        <w:ind w:left="92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Rol: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Nodo central de consolidación tras el apagado del entorno HOST (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DB2/VSAM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) </w:t>
      </w:r>
    </w:p>
    <w:p>
      <w:pPr>
        <w:autoSpaceDN w:val="0"/>
        <w:autoSpaceDE w:val="0"/>
        <w:pStyle w:val="Heading1"/>
        <w:widowControl/>
        <w:spacing w:line="236" w:lineRule="exact" w:before="66" w:after="0"/>
        <w:ind w:left="92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Versión: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SQL Server 2017 CU31. </w:t>
      </w:r>
    </w:p>
    <w:p>
      <w:pPr>
        <w:autoSpaceDN w:val="0"/>
        <w:autoSpaceDE w:val="0"/>
        <w:widowControl/>
        <w:spacing w:line="254" w:lineRule="exact" w:before="210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Bases de datos: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V6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V6_2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DB2T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DB2P </w:t>
      </w:r>
    </w:p>
    <w:p>
      <w:pPr>
        <w:autoSpaceDN w:val="0"/>
        <w:autoSpaceDE w:val="0"/>
        <w:pStyle w:val="Heading1"/>
        <w:widowControl/>
        <w:spacing w:line="236" w:lineRule="exact" w:before="22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Conexiones entrantes: </w:t>
      </w:r>
    </w:p>
    <w:p>
      <w:pPr>
        <w:autoSpaceDN w:val="0"/>
        <w:tabs>
          <w:tab w:pos="1494" w:val="left"/>
        </w:tabs>
        <w:autoSpaceDE w:val="0"/>
        <w:widowControl/>
        <w:spacing w:line="266" w:lineRule="exact" w:before="264" w:after="0"/>
        <w:ind w:left="1142" w:right="0" w:firstLine="0"/>
        <w:jc w:val="left"/>
      </w:pPr>
      <w:r>
        <w:rPr>
          <w:w w:val="102.05118279708059"/>
          <w:rFonts w:ascii="CIDFont+F8" w:hAnsi="CIDFont+F8" w:eastAsia="CIDFont+F8"/>
          <w:b w:val="0"/>
          <w:i w:val="0"/>
          <w:color w:val="000000"/>
          <w:sz w:val="19"/>
        </w:rPr>
        <w:t xml:space="preserve">o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MASERVF9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(vía ODBC desde IIS/WebService)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o MASQL20142\NECORANET</w:t>
      </w:r>
    </w:p>
    <w:p>
      <w:pPr>
        <w:autoSpaceDN w:val="0"/>
        <w:autoSpaceDE w:val="0"/>
        <w:widowControl/>
        <w:spacing w:line="266" w:lineRule="exact" w:before="80" w:after="0"/>
        <w:ind w:left="1494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(lectura cruzada)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o 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Objeto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PDB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(consulta y consolidación de datos)</w:t>
      </w:r>
    </w:p>
    <w:p>
      <w:pPr>
        <w:autoSpaceDN w:val="0"/>
        <w:autoSpaceDE w:val="0"/>
        <w:widowControl/>
        <w:spacing w:line="266" w:lineRule="exact" w:before="608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Conexiones salientes: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Réplicas parciales y flujos ETL hacia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NecoraNet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,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SQLTURK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y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SQLNORWAY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. </w:t>
      </w:r>
    </w:p>
    <w:p>
      <w:pPr>
        <w:autoSpaceDN w:val="0"/>
        <w:autoSpaceDE w:val="0"/>
        <w:pStyle w:val="Heading1"/>
        <w:widowControl/>
        <w:spacing w:line="236" w:lineRule="exact" w:before="222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Parámetros relevantes: </w:t>
      </w:r>
    </w:p>
    <w:p>
      <w:pPr>
        <w:autoSpaceDN w:val="0"/>
        <w:autoSpaceDE w:val="0"/>
        <w:widowControl/>
        <w:spacing w:line="266" w:lineRule="exact" w:before="306" w:after="0"/>
        <w:ind w:left="1142" w:right="0" w:firstLine="0"/>
        <w:jc w:val="left"/>
      </w:pPr>
      <w:r>
        <w:rPr>
          <w:w w:val="102.05118279708059"/>
          <w:rFonts w:ascii="CIDFont+F8" w:hAnsi="CIDFont+F8" w:eastAsia="CIDFont+F8"/>
          <w:b w:val="0"/>
          <w:i w:val="0"/>
          <w:color w:val="000000"/>
          <w:sz w:val="19"/>
        </w:rPr>
        <w:t>o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Puerto TCP fijo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58898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(asignado en nov. 2024, validado por Ciberseguridad) </w:t>
      </w:r>
    </w:p>
    <w:p>
      <w:pPr>
        <w:autoSpaceDN w:val="0"/>
        <w:autoSpaceDE w:val="0"/>
        <w:widowControl/>
        <w:spacing w:line="268" w:lineRule="exact" w:before="76" w:after="0"/>
        <w:ind w:left="1494" w:right="0" w:firstLine="0"/>
        <w:jc w:val="left"/>
      </w:pP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o 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Compresión de datos tipo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ROW</w:t>
      </w:r>
    </w:p>
    <w:p>
      <w:pPr>
        <w:autoSpaceDN w:val="0"/>
        <w:autoSpaceDE w:val="0"/>
        <w:widowControl/>
        <w:spacing w:line="266" w:lineRule="exact" w:before="234" w:after="0"/>
        <w:ind w:left="1142" w:right="0" w:firstLine="0"/>
        <w:jc w:val="left"/>
      </w:pPr>
      <w:r>
        <w:rPr>
          <w:w w:val="102.05118279708059"/>
          <w:rFonts w:ascii="CIDFont+F8" w:hAnsi="CIDFont+F8" w:eastAsia="CIDFont+F8"/>
          <w:b w:val="0"/>
          <w:i w:val="0"/>
          <w:color w:val="000000"/>
          <w:sz w:val="19"/>
        </w:rPr>
        <w:t>o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Collation: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SQL_Latin1_General_CP1_CI_AS</w:t>
      </w:r>
    </w:p>
    <w:p>
      <w:pPr>
        <w:autoSpaceDN w:val="0"/>
        <w:autoSpaceDE w:val="0"/>
        <w:pStyle w:val="Heading1"/>
        <w:widowControl/>
        <w:spacing w:line="234" w:lineRule="exact" w:before="262" w:after="0"/>
        <w:ind w:left="92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Cambios recientes: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Generación de la copia V6_2. </w:t>
      </w:r>
    </w:p>
    <w:p>
      <w:pPr>
        <w:autoSpaceDN w:val="0"/>
        <w:autoSpaceDE w:val="0"/>
        <w:widowControl/>
        <w:spacing w:line="236" w:lineRule="exact" w:before="1270" w:after="0"/>
        <w:ind w:left="0" w:right="178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10 </w:t>
      </w:r>
    </w:p>
    <w:p>
      <w:pPr>
        <w:sectPr>
          <w:pgSz w:w="11906" w:h="16838"/>
          <w:pgMar w:top="1008" w:right="670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894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0" w:right="99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258" w:lineRule="exact" w:before="1098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Esta instancia proporciona datos operativos y documentales a múltiples servicios de negocio, incluyendo </w:t>
      </w:r>
    </w:p>
    <w:p>
      <w:pPr>
        <w:autoSpaceDN w:val="0"/>
        <w:autoSpaceDE w:val="0"/>
        <w:widowControl/>
        <w:spacing w:line="258" w:lineRule="exact" w:before="78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SAP, Necor@NET y reporting externo. Los procesos de carga, validación e indexado están diseñados para </w:t>
      </w:r>
    </w:p>
    <w:p>
      <w:pPr>
        <w:autoSpaceDN w:val="0"/>
        <w:autoSpaceDE w:val="0"/>
        <w:widowControl/>
        <w:spacing w:line="258" w:lineRule="exact" w:before="78" w:after="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garantizar estabilidad, trazabilidad y rendimiento. </w:t>
      </w:r>
    </w:p>
    <w:p>
      <w:pPr>
        <w:autoSpaceDN w:val="0"/>
        <w:tabs>
          <w:tab w:pos="2286" w:val="left"/>
        </w:tabs>
        <w:autoSpaceDE w:val="0"/>
        <w:widowControl/>
        <w:spacing w:line="286" w:lineRule="exact" w:before="1022" w:after="0"/>
        <w:ind w:left="78" w:right="0" w:firstLine="0"/>
        <w:jc w:val="left"/>
      </w:pP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3.1.2 </w:t>
      </w:r>
      <w:r>
        <w:rPr>
          <w:w w:val="101.57046940015711"/>
          <w:rFonts w:ascii="CIDFont+F4" w:hAnsi="CIDFont+F4" w:eastAsia="CIDFont+F4"/>
          <w:b w:val="0"/>
          <w:i w:val="0"/>
          <w:color w:val="144080"/>
          <w:sz w:val="23"/>
        </w:rPr>
        <w:t xml:space="preserve">3.1.2. </w:t>
      </w: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Contenido migrado </w:t>
      </w:r>
    </w:p>
    <w:p>
      <w:pPr>
        <w:autoSpaceDN w:val="0"/>
        <w:autoSpaceDE w:val="0"/>
        <w:widowControl/>
        <w:spacing w:line="266" w:lineRule="exact" w:before="474" w:after="88"/>
        <w:ind w:left="86" w:right="0" w:firstLine="0"/>
        <w:jc w:val="left"/>
      </w:pP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>MASQL20171\HOSTDB2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almacena la información consolidada desde tres orígenes principales: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17"/>
        <w:gridCol w:w="3417"/>
        <w:gridCol w:w="3417"/>
      </w:tblGrid>
      <w:tr>
        <w:trPr>
          <w:trHeight w:hRule="exact" w:val="342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074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3.1.3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086" w:after="0"/>
              <w:ind w:left="0" w:right="252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3.1.3. </w:t>
            </w:r>
          </w:p>
        </w:tc>
        <w:tc>
          <w:tcPr>
            <w:tcW w:type="dxa" w:w="6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074" w:after="0"/>
              <w:ind w:left="27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V6 y creación de V6_2 </w:t>
            </w:r>
          </w:p>
        </w:tc>
      </w:tr>
    </w:tbl>
    <w:p>
      <w:pPr>
        <w:autoSpaceDN w:val="0"/>
        <w:autoSpaceDE w:val="0"/>
        <w:widowControl/>
        <w:spacing w:line="236" w:lineRule="exact" w:before="168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La base de datos V6 contiene los datos de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Necor@V6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tras la migración. Durante el proceso, se </w:t>
      </w:r>
    </w:p>
    <w:p>
      <w:pPr>
        <w:autoSpaceDN w:val="0"/>
        <w:autoSpaceDE w:val="0"/>
        <w:widowControl/>
        <w:spacing w:line="234" w:lineRule="exact" w:before="0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detectó que algunas vistas aplicaban filtros que impedían consultar el histórico completo desde </w:t>
      </w:r>
    </w:p>
    <w:p>
      <w:pPr>
        <w:autoSpaceDN w:val="0"/>
        <w:autoSpaceDE w:val="0"/>
        <w:widowControl/>
        <w:spacing w:line="234" w:lineRule="exact" w:before="6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Necor@. Para solucionarlo: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3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Se creó la base V6_2, réplica exacta de V6 sin filtros de migración.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Se generaron nuevas vistas _V sobre V6_2.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Se reemplazaron los sinónimos en V6 para que apunten a estas vistas no filtradas.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Las vistas originales se renombraron como _BKP para permitir comparativas de rendimiento.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Se reforzaron índices en tablas clave (BO12SQ, BO59SQ, BO80SQ, etc.) y se revisaron </w:t>
      </w:r>
    </w:p>
    <w:p>
      <w:pPr>
        <w:autoSpaceDN w:val="0"/>
        <w:autoSpaceDE w:val="0"/>
        <w:widowControl/>
        <w:spacing w:line="236" w:lineRule="exact" w:before="60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procedimientos (PR_NC_CONSULTA_OPERACIONES, etc.). </w:t>
      </w:r>
    </w:p>
    <w:p>
      <w:pPr>
        <w:autoSpaceDN w:val="0"/>
        <w:autoSpaceDE w:val="0"/>
        <w:widowControl/>
        <w:spacing w:line="236" w:lineRule="exact" w:before="1622" w:after="0"/>
        <w:ind w:left="0" w:right="167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11 </w:t>
      </w:r>
    </w:p>
    <w:p>
      <w:pPr>
        <w:sectPr>
          <w:pgSz w:w="11906" w:h="16838"/>
          <w:pgMar w:top="1008" w:right="77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894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0" w:right="99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234" w:lineRule="exact" w:before="1092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 estrategia permite que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Necor@V6 acceda al histórico completo sin afectar al código </w:t>
      </w:r>
    </w:p>
    <w:p>
      <w:pPr>
        <w:autoSpaceDN w:val="0"/>
        <w:autoSpaceDE w:val="0"/>
        <w:widowControl/>
        <w:spacing w:line="236" w:lineRule="exact" w:before="0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existente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manteniendo la trazabilidad y cumpliendo requerimientos funcionales de Ingeniería y </w:t>
      </w:r>
    </w:p>
    <w:p>
      <w:pPr>
        <w:autoSpaceDN w:val="0"/>
        <w:autoSpaceDE w:val="0"/>
        <w:widowControl/>
        <w:spacing w:line="236" w:lineRule="exact" w:before="2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Auditoría. </w:t>
      </w:r>
    </w:p>
    <w:p>
      <w:pPr>
        <w:autoSpaceDN w:val="0"/>
        <w:autoSpaceDE w:val="0"/>
        <w:widowControl/>
        <w:spacing w:line="258" w:lineRule="exact" w:before="282" w:after="560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17"/>
        <w:gridCol w:w="3417"/>
        <w:gridCol w:w="3417"/>
      </w:tblGrid>
      <w:tr>
        <w:trPr>
          <w:trHeight w:hRule="exact" w:val="40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3.1.4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2" w:after="0"/>
              <w:ind w:left="0" w:right="314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3.1.4. 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31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Antecedentes del proyecto HOST </w:t>
            </w:r>
          </w:p>
        </w:tc>
      </w:tr>
    </w:tbl>
    <w:p>
      <w:pPr>
        <w:autoSpaceDN w:val="0"/>
        <w:autoSpaceDE w:val="0"/>
        <w:widowControl/>
        <w:spacing w:line="236" w:lineRule="exact" w:before="16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proyecto HOST se concibió como una iniciativa de migración y mantenimiento de los sistemas legacy </w:t>
      </w:r>
    </w:p>
    <w:p>
      <w:pPr>
        <w:autoSpaceDN w:val="0"/>
        <w:autoSpaceDE w:val="0"/>
        <w:widowControl/>
        <w:spacing w:line="236" w:lineRule="exact" w:before="6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(DB2/VSAM), gestionándose bajo un modelo mixto que combina soporte y transferencia de </w:t>
      </w:r>
    </w:p>
    <w:p>
      <w:pPr>
        <w:autoSpaceDN w:val="0"/>
        <w:autoSpaceDE w:val="0"/>
        <w:widowControl/>
        <w:spacing w:line="234" w:lineRule="exact" w:before="62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conocimiento. En colaboración con Altia Consultores, se llevaron a cabo tareas de mantenimiento </w:t>
      </w:r>
    </w:p>
    <w:p>
      <w:pPr>
        <w:autoSpaceDN w:val="0"/>
        <w:autoSpaceDE w:val="0"/>
        <w:widowControl/>
        <w:spacing w:line="236" w:lineRule="exact" w:before="5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correctivo y adaptativo, así como procesos de migración escalonada. </w:t>
      </w:r>
    </w:p>
    <w:p>
      <w:pPr>
        <w:autoSpaceDN w:val="0"/>
        <w:autoSpaceDE w:val="0"/>
        <w:widowControl/>
        <w:spacing w:line="234" w:lineRule="exact" w:before="324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 colaboración se alineó con las prácticas ITIL y los estándares ISO/IEC 20000, estableciendo una </w:t>
      </w:r>
    </w:p>
    <w:p>
      <w:pPr>
        <w:autoSpaceDN w:val="0"/>
        <w:autoSpaceDE w:val="0"/>
        <w:widowControl/>
        <w:spacing w:line="236" w:lineRule="exact" w:before="6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infraestructura de servicio que incluyó indicadores de calidad (SLA), herramientas de gestión, </w:t>
      </w:r>
    </w:p>
    <w:p>
      <w:pPr>
        <w:autoSpaceDN w:val="0"/>
        <w:autoSpaceDE w:val="0"/>
        <w:widowControl/>
        <w:spacing w:line="236" w:lineRule="exact" w:before="0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dedicación de recursos y mecanismos de seguimiento tanto semanal como mensual. Además, se </w:t>
      </w:r>
    </w:p>
    <w:p>
      <w:pPr>
        <w:autoSpaceDN w:val="0"/>
        <w:autoSpaceDE w:val="0"/>
        <w:widowControl/>
        <w:spacing w:line="236" w:lineRule="exact" w:before="0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garantizó una cobertura integral sobre aplicaciones críticas (Necora, Coral, ControlDoc, Brion, entre </w:t>
      </w:r>
    </w:p>
    <w:p>
      <w:pPr>
        <w:autoSpaceDN w:val="0"/>
        <w:autoSpaceDE w:val="0"/>
        <w:widowControl/>
        <w:spacing w:line="234" w:lineRule="exact" w:before="2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otras) mediante soporte de tercer nivel y supervisión de procesos en explotación. </w:t>
      </w:r>
    </w:p>
    <w:p>
      <w:pPr>
        <w:autoSpaceDN w:val="0"/>
        <w:autoSpaceDE w:val="0"/>
        <w:widowControl/>
        <w:spacing w:line="236" w:lineRule="exact" w:before="274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acuerdo contemplaba una planificación detallada de proyectos, atención 24x7 para casos críticos y </w:t>
      </w:r>
    </w:p>
    <w:p>
      <w:pPr>
        <w:autoSpaceDN w:val="0"/>
        <w:autoSpaceDE w:val="0"/>
        <w:widowControl/>
        <w:spacing w:line="236" w:lineRule="exact" w:before="2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controles de calidad periódicos. Se documentaron procedimientos para el análisis y resolución de </w:t>
      </w:r>
    </w:p>
    <w:p>
      <w:pPr>
        <w:autoSpaceDN w:val="0"/>
        <w:autoSpaceDE w:val="0"/>
        <w:widowControl/>
        <w:spacing w:line="234" w:lineRule="exact" w:before="0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incidentes, gestión de problemas y planificación de desarrollos, lo que permitió asegurar la </w:t>
      </w:r>
    </w:p>
    <w:p>
      <w:pPr>
        <w:autoSpaceDN w:val="0"/>
        <w:autoSpaceDE w:val="0"/>
        <w:widowControl/>
        <w:spacing w:line="236" w:lineRule="exact" w:before="2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continuidad del servicio durante la migración al entorno SQL Server (MASQL20171\HOSTDB2) sin </w:t>
      </w:r>
    </w:p>
    <w:p>
      <w:pPr>
        <w:autoSpaceDN w:val="0"/>
        <w:autoSpaceDE w:val="0"/>
        <w:widowControl/>
        <w:spacing w:line="258" w:lineRule="exact" w:before="8" w:after="0"/>
        <w:ind w:left="8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>pérdida de operatividad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. </w:t>
      </w:r>
    </w:p>
    <w:p>
      <w:pPr>
        <w:autoSpaceDN w:val="0"/>
        <w:autoSpaceDE w:val="0"/>
        <w:widowControl/>
        <w:spacing w:line="236" w:lineRule="exact" w:before="276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proyecto de migración HOST se inició el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12 de septiembre de 2019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y se estructuró en dos fases: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28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Fase I – Migración técnica: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de septiembre de 2019 a julio de 2020.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Fase II – Soporte y cierre definitivo: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de julio a diciembre de 2020. </w:t>
      </w:r>
    </w:p>
    <w:p>
      <w:pPr>
        <w:autoSpaceDN w:val="0"/>
        <w:autoSpaceDE w:val="0"/>
        <w:pStyle w:val="Heading1"/>
        <w:widowControl/>
        <w:spacing w:line="236" w:lineRule="exact" w:before="258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Objetivos del proyecto: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3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Eliminar el sistema HOST (z/OS + DB2 + VSAM).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Garantizar la continuidad operativa en Necor@NET y PRYC.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Mantener los interfaces activos con clientes externos.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Migrar la información documental y estructural a un entorno soportado (SQL Server 2017). </w:t>
      </w:r>
    </w:p>
    <w:p>
      <w:pPr>
        <w:autoSpaceDN w:val="0"/>
        <w:autoSpaceDE w:val="0"/>
        <w:widowControl/>
        <w:spacing w:line="236" w:lineRule="exact" w:before="1232" w:after="0"/>
        <w:ind w:left="0" w:right="167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12 </w:t>
      </w:r>
    </w:p>
    <w:p>
      <w:pPr>
        <w:sectPr>
          <w:pgSz w:w="11906" w:h="16838"/>
          <w:pgMar w:top="1008" w:right="77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870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0" w:right="974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pStyle w:val="Heading1"/>
        <w:widowControl/>
        <w:spacing w:line="234" w:lineRule="exact" w:before="1092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Logros y aspectos técnicos: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3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Más de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30 tablas y 4 ficheros VSAM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migrados utilizando IBM DataUnload.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Pruebas de carga realizadas en el entorno staging (FESRV053) y New PRYC.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Validación funcional con la obra 7564 (Turbinas) como proyecto piloto. </w:t>
      </w:r>
    </w:p>
    <w:p>
      <w:pPr>
        <w:autoSpaceDN w:val="0"/>
        <w:tabs>
          <w:tab w:pos="778" w:val="left"/>
        </w:tabs>
        <w:autoSpaceDE w:val="0"/>
        <w:widowControl/>
        <w:spacing w:line="248" w:lineRule="exact" w:before="16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Generación de documentación de procesos y reglas de negocio aplicadas a interfaces AWD. </w:t>
      </w:r>
      <w:r>
        <w:rPr>
          <w:w w:val="102.05118279708059"/>
          <w:rFonts w:ascii="CIDFont+F3" w:hAnsi="CIDFont+F3" w:eastAsia="CIDFont+F3"/>
          <w:b w:val="0"/>
          <w:i w:val="0"/>
          <w:color w:val="404040"/>
          <w:sz w:val="19"/>
        </w:rPr>
        <w:t xml:space="preserve"> </w:t>
      </w:r>
    </w:p>
    <w:p>
      <w:pPr>
        <w:autoSpaceDN w:val="0"/>
        <w:autoSpaceDE w:val="0"/>
        <w:widowControl/>
        <w:spacing w:line="234" w:lineRule="exact" w:before="58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Integración de cargas documentales desde Windchill. </w:t>
      </w:r>
    </w:p>
    <w:p>
      <w:pPr>
        <w:autoSpaceDN w:val="0"/>
        <w:autoSpaceDE w:val="0"/>
        <w:pStyle w:val="Heading1"/>
        <w:widowControl/>
        <w:spacing w:line="236" w:lineRule="exact" w:before="314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Riesgos abordados: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3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No disponibilidad del entorno HOST de desarrollo.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Falta de programas COBOL (por ejemplo, PE46FV).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Ausencia de estimación de tamaños de bases de datos debido a retrasos con VSAM.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Problemas de permisos y catálogo con IBM.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Recursos técnicos limitados (servidores, estaciones de trabajo, permisos). </w:t>
      </w:r>
    </w:p>
    <w:p>
      <w:pPr>
        <w:autoSpaceDN w:val="0"/>
        <w:autoSpaceDE w:val="0"/>
        <w:pStyle w:val="Heading1"/>
        <w:widowControl/>
        <w:spacing w:line="236" w:lineRule="exact" w:before="304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Participantes clave: </w:t>
      </w:r>
    </w:p>
    <w:p>
      <w:pPr>
        <w:autoSpaceDN w:val="0"/>
        <w:tabs>
          <w:tab w:pos="4846" w:val="left"/>
        </w:tabs>
        <w:autoSpaceDE w:val="0"/>
        <w:pStyle w:val="Heading1"/>
        <w:widowControl/>
        <w:spacing w:line="236" w:lineRule="exact" w:before="288" w:after="0"/>
        <w:ind w:left="1034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Área 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Personal asignado</w:t>
      </w:r>
    </w:p>
    <w:p>
      <w:pPr>
        <w:autoSpaceDN w:val="0"/>
        <w:autoSpaceDE w:val="0"/>
        <w:widowControl/>
        <w:spacing w:line="234" w:lineRule="exact" w:before="180" w:after="0"/>
        <w:ind w:left="11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Migración de datos DB2 Navantia: F. Amor, A. Rodríguez · Altia: J.R. Tubío, D. Vega, J. Díaz </w:t>
      </w:r>
    </w:p>
    <w:p>
      <w:pPr>
        <w:autoSpaceDN w:val="0"/>
        <w:autoSpaceDE w:val="0"/>
        <w:widowControl/>
        <w:spacing w:line="236" w:lineRule="exact" w:before="216" w:after="0"/>
        <w:ind w:left="11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Interfaces Externos Navantia: Y. Castiñeira, F. Bordello · Altia: mismos Obra de </w:t>
      </w:r>
    </w:p>
    <w:p>
      <w:pPr>
        <w:autoSpaceDN w:val="0"/>
        <w:tabs>
          <w:tab w:pos="1494" w:val="left"/>
        </w:tabs>
        <w:autoSpaceDE w:val="0"/>
        <w:widowControl/>
        <w:spacing w:line="234" w:lineRule="exact" w:before="58" w:after="0"/>
        <w:ind w:left="116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Turbinas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Navantia: F. Bordello · Altia: D. Vega </w:t>
      </w:r>
    </w:p>
    <w:p>
      <w:pPr>
        <w:autoSpaceDN w:val="0"/>
        <w:autoSpaceDE w:val="0"/>
        <w:pStyle w:val="Heading1"/>
        <w:widowControl/>
        <w:spacing w:line="234" w:lineRule="exact" w:before="342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Fechas clave: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3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Fin de migración técnica: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15 de julio de 2020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Cierre del entorno HOST: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31 de diciembre de 2020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Desactivación de IBM y licencias: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Q4 2020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. </w:t>
      </w:r>
    </w:p>
    <w:p>
      <w:pPr>
        <w:autoSpaceDN w:val="0"/>
        <w:autoSpaceDE w:val="0"/>
        <w:widowControl/>
        <w:spacing w:line="236" w:lineRule="exact" w:before="2124" w:after="0"/>
        <w:ind w:left="0" w:right="165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13 </w:t>
      </w:r>
    </w:p>
    <w:p>
      <w:pPr>
        <w:sectPr>
          <w:pgSz w:w="11906" w:h="16838"/>
          <w:pgMar w:top="1008" w:right="800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1020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0" w:right="1124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240" w:lineRule="auto" w:before="1090" w:after="512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41340" cy="12420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12420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59"/>
        <w:gridCol w:w="3459"/>
        <w:gridCol w:w="3459"/>
      </w:tblGrid>
      <w:tr>
        <w:trPr>
          <w:trHeight w:hRule="exact" w:val="382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3.1.5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2" w:after="0"/>
              <w:ind w:left="0" w:right="228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3.1.5. 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Interfaces SSIS en entorno HOST </w:t>
            </w:r>
          </w:p>
        </w:tc>
      </w:tr>
    </w:tbl>
    <w:p>
      <w:pPr>
        <w:autoSpaceDN w:val="0"/>
        <w:autoSpaceDE w:val="0"/>
        <w:widowControl/>
        <w:spacing w:line="282" w:lineRule="exact" w:before="38" w:after="0"/>
        <w:ind w:left="78" w:right="0" w:firstLine="0"/>
        <w:jc w:val="left"/>
      </w:pP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consolidado (AWD/ALHD) </w:t>
      </w:r>
    </w:p>
    <w:p>
      <w:pPr>
        <w:autoSpaceDN w:val="0"/>
        <w:autoSpaceDE w:val="0"/>
        <w:widowControl/>
        <w:spacing w:line="234" w:lineRule="exact" w:before="226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En el marco del proyecto de migración del entorno HOST, se definieron y desplegaron múltiples paquetes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SSIS bajo la codificación INTERFACES_AWD_ALHD_SSIS. Estos paquetes están orientados a la </w:t>
      </w:r>
    </w:p>
    <w:p>
      <w:pPr>
        <w:autoSpaceDN w:val="0"/>
        <w:autoSpaceDE w:val="0"/>
        <w:widowControl/>
        <w:spacing w:line="234" w:lineRule="exact" w:before="1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integración y consolidación de datos técnicos, documentos y órdenes asociadas a los sistemas </w:t>
      </w:r>
    </w:p>
    <w:p>
      <w:pPr>
        <w:autoSpaceDN w:val="0"/>
        <w:autoSpaceDE w:val="0"/>
        <w:widowControl/>
        <w:spacing w:line="236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heredados, facilitando la automatización de tareas críticas. </w:t>
      </w:r>
    </w:p>
    <w:p>
      <w:pPr>
        <w:autoSpaceDN w:val="0"/>
        <w:autoSpaceDE w:val="0"/>
        <w:widowControl/>
        <w:spacing w:line="216" w:lineRule="exact" w:before="414" w:after="0"/>
        <w:ind w:left="1056" w:right="0" w:firstLine="0"/>
        <w:jc w:val="left"/>
      </w:pPr>
      <w:r>
        <w:rPr>
          <w:w w:val="102.05118279708059"/>
          <w:rFonts w:ascii="CIDFont+F9" w:hAnsi="CIDFont+F9" w:eastAsia="CIDFont+F9"/>
          <w:b/>
          <w:i w:val="0"/>
          <w:color w:val="404040"/>
          <w:sz w:val="19"/>
        </w:rPr>
        <w:t xml:space="preserve">(a) Funciones de los Paquetes SSIS </w:t>
      </w:r>
    </w:p>
    <w:p>
      <w:pPr>
        <w:autoSpaceDN w:val="0"/>
        <w:autoSpaceDE w:val="0"/>
        <w:widowControl/>
        <w:spacing w:line="236" w:lineRule="exact" w:before="31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Los paquetes SSIS permiten la automatización de las siguientes tareas críticas: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39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Extracción y limpieza de datos: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Utilizando paquetes como _AtributosConfig.dtsx y </w:t>
      </w:r>
    </w:p>
    <w:p>
      <w:pPr>
        <w:autoSpaceDN w:val="0"/>
        <w:autoSpaceDE w:val="0"/>
        <w:widowControl/>
        <w:spacing w:line="236" w:lineRule="exact" w:before="6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_LimpiarLogs.dtsx, se asegura la integridad y calidad de los datos extraídos.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Actualización de estados en tablas funcionales: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El paquete _StatusDeleted.dtsx gestiona la </w:t>
      </w:r>
    </w:p>
    <w:p>
      <w:pPr>
        <w:autoSpaceDN w:val="0"/>
        <w:autoSpaceDE w:val="0"/>
        <w:widowControl/>
        <w:spacing w:line="236" w:lineRule="exact" w:before="1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actualización de estados, asegurando que las tablas reflejen el estado actual de los registros.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2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Consolidación de documentos técnicos: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Paquetes como Documentos_tecnicos_*.dtsx </w:t>
      </w:r>
    </w:p>
    <w:p>
      <w:pPr>
        <w:autoSpaceDN w:val="0"/>
        <w:autoSpaceDE w:val="0"/>
        <w:widowControl/>
        <w:spacing w:line="236" w:lineRule="exact" w:before="64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consolidan documentos técnicos, garantizando que toda la información relevante esté </w:t>
      </w:r>
    </w:p>
    <w:p>
      <w:pPr>
        <w:autoSpaceDN w:val="0"/>
        <w:autoSpaceDE w:val="0"/>
        <w:widowControl/>
        <w:spacing w:line="236" w:lineRule="exact" w:before="56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centralizada y accesible.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Gestión documental completa: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Los paquetes Gestion_Documental_*.dtsx abarcan revisiones, </w:t>
      </w:r>
    </w:p>
    <w:p>
      <w:pPr>
        <w:autoSpaceDN w:val="0"/>
        <w:autoSpaceDE w:val="0"/>
        <w:widowControl/>
        <w:spacing w:line="234" w:lineRule="exact" w:before="6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anexos, secciones y ficheros, proporcionando una gestión integral de los documentos.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Interfaces con MEL y materiales: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Los paquetes MEL_LME_*.dtsx facilitan la integración con </w:t>
      </w:r>
    </w:p>
    <w:p>
      <w:pPr>
        <w:autoSpaceDN w:val="0"/>
        <w:autoSpaceDE w:val="0"/>
        <w:widowControl/>
        <w:spacing w:line="234" w:lineRule="exact" w:before="60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sistemas de materiales, asegurando que los datos estén alineados con los requerimientos </w:t>
      </w:r>
    </w:p>
    <w:p>
      <w:pPr>
        <w:autoSpaceDN w:val="0"/>
        <w:autoSpaceDE w:val="0"/>
        <w:widowControl/>
        <w:spacing w:line="234" w:lineRule="exact" w:before="64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técnicos. </w:t>
      </w:r>
    </w:p>
    <w:p>
      <w:pPr>
        <w:autoSpaceDN w:val="0"/>
        <w:autoSpaceDE w:val="0"/>
        <w:widowControl/>
        <w:spacing w:line="236" w:lineRule="exact" w:before="1282" w:after="0"/>
        <w:ind w:left="0" w:right="180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14 </w:t>
      </w:r>
    </w:p>
    <w:p>
      <w:pPr>
        <w:sectPr>
          <w:pgSz w:w="11906" w:h="16838"/>
          <w:pgMar w:top="1008" w:right="650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104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648"/>
        <w:ind w:left="0" w:right="1152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3"/>
        <w:gridCol w:w="5203"/>
      </w:tblGrid>
      <w:tr>
        <w:trPr>
          <w:trHeight w:hRule="exact" w:val="694"/>
        </w:trPr>
        <w:tc>
          <w:tcPr>
            <w:tcW w:type="dxa" w:w="64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0" w:after="0"/>
              <w:ind w:left="0" w:right="118" w:firstLine="0"/>
              <w:jc w:val="right"/>
            </w:pP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966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1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Interfaces con el entorno EEA5: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Paquetes como EEA5.dtsx y EEA5_DB2.dtsx permiten la </w:t>
            </w:r>
          </w:p>
        </w:tc>
      </w:tr>
    </w:tbl>
    <w:p>
      <w:pPr>
        <w:autoSpaceDN w:val="0"/>
        <w:autoSpaceDE w:val="0"/>
        <w:widowControl/>
        <w:spacing w:line="234" w:lineRule="exact" w:before="16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comunicación y sincronización con el entorno EEA5, asegurando que los datos sean consistentes </w:t>
      </w:r>
    </w:p>
    <w:p>
      <w:pPr>
        <w:autoSpaceDN w:val="0"/>
        <w:autoSpaceDE w:val="0"/>
        <w:widowControl/>
        <w:spacing w:line="236" w:lineRule="exact" w:before="60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y actualizados. </w:t>
      </w:r>
    </w:p>
    <w:p>
      <w:pPr>
        <w:autoSpaceDN w:val="0"/>
        <w:autoSpaceDE w:val="0"/>
        <w:widowControl/>
        <w:spacing w:line="216" w:lineRule="exact" w:before="218" w:after="0"/>
        <w:ind w:left="1056" w:right="0" w:firstLine="0"/>
        <w:jc w:val="left"/>
      </w:pPr>
      <w:r>
        <w:rPr>
          <w:w w:val="102.05118279708059"/>
          <w:rFonts w:ascii="CIDFont+F9" w:hAnsi="CIDFont+F9" w:eastAsia="CIDFont+F9"/>
          <w:b/>
          <w:i w:val="0"/>
          <w:color w:val="404040"/>
          <w:sz w:val="19"/>
        </w:rPr>
        <w:t xml:space="preserve">(b) Características Técnicas </w:t>
      </w:r>
    </w:p>
    <w:p>
      <w:pPr>
        <w:autoSpaceDN w:val="0"/>
        <w:autoSpaceDE w:val="0"/>
        <w:widowControl/>
        <w:spacing w:line="234" w:lineRule="exact" w:before="31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Los scripts SSIS incluyen lógica avanzada para: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39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Detección de registros huérfanos: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Identificación y manejo de registros que no tienen </w:t>
      </w:r>
    </w:p>
    <w:p>
      <w:pPr>
        <w:autoSpaceDN w:val="0"/>
        <w:autoSpaceDE w:val="0"/>
        <w:widowControl/>
        <w:spacing w:line="234" w:lineRule="exact" w:before="6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correspondencia en otras tablas, asegurando la integridad referencial.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Actualizaciones incrementales: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Implementación de actualizaciones que solo afectan a los </w:t>
      </w:r>
    </w:p>
    <w:p>
      <w:pPr>
        <w:autoSpaceDN w:val="0"/>
        <w:autoSpaceDE w:val="0"/>
        <w:widowControl/>
        <w:spacing w:line="236" w:lineRule="exact" w:before="6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registros modificados, optimizando el rendimiento y reduciendo la carga del sistema.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6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Verificación de consistencia: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Uso de checksum para asegurar que los campos clave mantienen </w:t>
      </w:r>
    </w:p>
    <w:p>
      <w:pPr>
        <w:autoSpaceDN w:val="0"/>
        <w:autoSpaceDE w:val="0"/>
        <w:widowControl/>
        <w:spacing w:line="236" w:lineRule="exact" w:before="6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su consistencia, evitando discrepancias en los datos.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Limpieza de registros obsoletos: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Eliminación de registros con estado status = 'DELETED', </w:t>
      </w:r>
    </w:p>
    <w:p>
      <w:pPr>
        <w:autoSpaceDN w:val="0"/>
        <w:autoSpaceDE w:val="0"/>
        <w:widowControl/>
        <w:spacing w:line="234" w:lineRule="exact" w:before="64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asegurando que la base de datos no acumule información innecesaria. </w:t>
      </w:r>
    </w:p>
    <w:p>
      <w:pPr>
        <w:autoSpaceDN w:val="0"/>
        <w:autoSpaceDE w:val="0"/>
        <w:widowControl/>
        <w:spacing w:line="234" w:lineRule="exact" w:before="21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Además, se emplea el objeto UpdateNotice como mecanismo de auditoría de ejecución para los procesos </w:t>
      </w:r>
    </w:p>
    <w:p>
      <w:pPr>
        <w:autoSpaceDN w:val="0"/>
        <w:autoSpaceDE w:val="0"/>
        <w:widowControl/>
        <w:spacing w:line="236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carga diarios, proporcionando un registro detallado de las operaciones realizadas y facilitando el </w:t>
      </w:r>
    </w:p>
    <w:p>
      <w:pPr>
        <w:autoSpaceDN w:val="0"/>
        <w:autoSpaceDE w:val="0"/>
        <w:widowControl/>
        <w:spacing w:line="234" w:lineRule="exact" w:before="118" w:after="1724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seguimiento y control de las mismas.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2601"/>
        <w:gridCol w:w="2601"/>
        <w:gridCol w:w="2601"/>
        <w:gridCol w:w="2601"/>
      </w:tblGrid>
      <w:tr>
        <w:trPr>
          <w:trHeight w:hRule="exact" w:val="48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60" w:after="0"/>
              <w:ind w:left="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>3.2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62" w:after="0"/>
              <w:ind w:left="0" w:right="202" w:firstLine="0"/>
              <w:jc w:val="right"/>
            </w:pPr>
            <w:r>
              <w:rPr>
                <w:rFonts w:ascii="CIDFont+F6" w:hAnsi="CIDFont+F6" w:eastAsia="CIDFont+F6"/>
                <w:b w:val="0"/>
                <w:i w:val="0"/>
                <w:color w:val="0095A4"/>
                <w:sz w:val="31"/>
              </w:rPr>
              <w:t xml:space="preserve">3.2. 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60" w:after="0"/>
              <w:ind w:left="23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MASQL20142\SQL20142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– </w:t>
            </w:r>
          </w:p>
        </w:tc>
      </w:tr>
    </w:tbl>
    <w:p>
      <w:pPr>
        <w:autoSpaceDN w:val="0"/>
        <w:autoSpaceDE w:val="0"/>
        <w:pStyle w:val="Heading1"/>
        <w:widowControl/>
        <w:spacing w:line="378" w:lineRule="exact" w:before="48" w:after="0"/>
        <w:ind w:left="78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(MASQL20222) </w:t>
      </w:r>
    </w:p>
    <w:p>
      <w:pPr>
        <w:autoSpaceDN w:val="0"/>
        <w:autoSpaceDE w:val="0"/>
        <w:widowControl/>
        <w:spacing w:line="236" w:lineRule="exact" w:before="294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Instancia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SQL Server 2014 SP3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que sostiene el núcleo histórico de </w:t>
      </w:r>
      <w:r>
        <w:rPr>
          <w:w w:val="102.05118279708059"/>
          <w:rFonts w:ascii="CIDFont+F15" w:hAnsi="CIDFont+F15" w:eastAsia="CIDFont+F15"/>
          <w:b w:val="0"/>
          <w:i/>
          <w:color w:val="404040"/>
          <w:sz w:val="19"/>
        </w:rPr>
        <w:t>Necor@NC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. Aunque se planificó su </w:t>
      </w:r>
    </w:p>
    <w:p>
      <w:pPr>
        <w:autoSpaceDN w:val="0"/>
        <w:autoSpaceDE w:val="0"/>
        <w:widowControl/>
        <w:spacing w:line="234" w:lineRule="exact" w:before="12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retirada junto con el resto de plataformas </w:t>
      </w:r>
      <w:r>
        <w:rPr>
          <w:w w:val="102.05118279708059"/>
          <w:rFonts w:ascii="CIDFont+F15" w:hAnsi="CIDFont+F15" w:eastAsia="CIDFont+F15"/>
          <w:b w:val="0"/>
          <w:i/>
          <w:color w:val="404040"/>
          <w:sz w:val="19"/>
        </w:rPr>
        <w:t>legacy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continúa en producción porque varios módulos de </w:t>
      </w:r>
    </w:p>
    <w:p>
      <w:pPr>
        <w:autoSpaceDN w:val="0"/>
        <w:autoSpaceDE w:val="0"/>
        <w:widowControl/>
        <w:spacing w:line="236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ingeniería siguen dependiendo de esquemas y rutinas específicas que aún no se han portado a versiones </w:t>
      </w:r>
    </w:p>
    <w:p>
      <w:pPr>
        <w:autoSpaceDN w:val="0"/>
        <w:autoSpaceDE w:val="0"/>
        <w:widowControl/>
        <w:spacing w:line="236" w:lineRule="exact" w:before="12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superiores. </w:t>
      </w:r>
    </w:p>
    <w:p>
      <w:pPr>
        <w:autoSpaceDN w:val="0"/>
        <w:autoSpaceDE w:val="0"/>
        <w:widowControl/>
        <w:spacing w:line="236" w:lineRule="exact" w:before="1204" w:after="0"/>
        <w:ind w:left="0" w:right="1830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15 </w:t>
      </w:r>
    </w:p>
    <w:p>
      <w:pPr>
        <w:sectPr>
          <w:pgSz w:w="11906" w:h="16838"/>
          <w:pgMar w:top="1008" w:right="622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776"/>
        </w:trPr>
        <w:tc>
          <w:tcPr>
            <w:tcW w:type="dxa" w:w="164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12" w:after="0"/>
              <w:ind w:left="78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3.2.1</w:t>
            </w:r>
          </w:p>
        </w:tc>
        <w:tc>
          <w:tcPr>
            <w:tcW w:type="dxa" w:w="176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26" w:after="0"/>
              <w:ind w:left="0" w:right="190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3.2.1. </w:t>
            </w:r>
          </w:p>
        </w:tc>
        <w:tc>
          <w:tcPr>
            <w:tcW w:type="dxa" w:w="547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12" w:after="0"/>
              <w:ind w:left="19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Características generales </w:t>
            </w:r>
          </w:p>
        </w:tc>
      </w:tr>
    </w:tbl>
    <w:p>
      <w:pPr>
        <w:autoSpaceDN w:val="0"/>
        <w:autoSpaceDE w:val="0"/>
        <w:pStyle w:val="Heading1"/>
        <w:widowControl/>
        <w:spacing w:line="236" w:lineRule="exact" w:before="432" w:after="0"/>
        <w:ind w:left="92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Rol: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Plataforma Necor@NC (entorno legado). </w:t>
      </w:r>
    </w:p>
    <w:p>
      <w:pPr>
        <w:autoSpaceDN w:val="0"/>
        <w:autoSpaceDE w:val="0"/>
        <w:pStyle w:val="Heading1"/>
        <w:widowControl/>
        <w:spacing w:line="234" w:lineRule="exact" w:before="216" w:after="0"/>
        <w:ind w:left="92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Versión: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SQL Server 2014 SP3. </w:t>
      </w:r>
    </w:p>
    <w:p>
      <w:pPr>
        <w:autoSpaceDN w:val="0"/>
        <w:autoSpaceDE w:val="0"/>
        <w:pStyle w:val="Heading1"/>
        <w:widowControl/>
        <w:spacing w:line="236" w:lineRule="exact" w:before="214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Bases de datos: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Necor@NC. </w:t>
      </w:r>
    </w:p>
    <w:p>
      <w:pPr>
        <w:autoSpaceDN w:val="0"/>
        <w:autoSpaceDE w:val="0"/>
        <w:pStyle w:val="Heading1"/>
        <w:widowControl/>
        <w:spacing w:line="234" w:lineRule="exact" w:before="180" w:after="0"/>
        <w:ind w:left="92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Conexiones entrantes: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ECADAT, SAP (vía interfaces HojasCatálogo). </w:t>
      </w:r>
    </w:p>
    <w:p>
      <w:pPr>
        <w:autoSpaceDN w:val="0"/>
        <w:autoSpaceDE w:val="0"/>
        <w:pStyle w:val="Heading1"/>
        <w:widowControl/>
        <w:spacing w:line="236" w:lineRule="exact" w:before="216" w:after="0"/>
        <w:ind w:left="92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Conexiones salientes: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HOSTDB2 y NECORANET para consolidación. </w:t>
      </w:r>
    </w:p>
    <w:p>
      <w:pPr>
        <w:autoSpaceDN w:val="0"/>
        <w:autoSpaceDE w:val="0"/>
        <w:widowControl/>
        <w:spacing w:line="290" w:lineRule="exact" w:before="162" w:after="552"/>
        <w:ind w:left="92" w:right="1152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Parámetros relevantes: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Puerto dinámico, sin integración AD, collation por defecto.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Cambios recientes: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— Información no disponible.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16"/>
        <w:gridCol w:w="3416"/>
        <w:gridCol w:w="3416"/>
      </w:tblGrid>
      <w:tr>
        <w:trPr>
          <w:trHeight w:hRule="exact" w:val="40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3.2.2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4" w:after="0"/>
              <w:ind w:left="0" w:right="178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3.2.2. 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19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Contexto y dependencias </w:t>
            </w:r>
          </w:p>
        </w:tc>
      </w:tr>
    </w:tbl>
    <w:p>
      <w:pPr>
        <w:autoSpaceDN w:val="0"/>
        <w:autoSpaceDE w:val="0"/>
        <w:widowControl/>
        <w:spacing w:line="400" w:lineRule="exact" w:before="260" w:after="0"/>
        <w:ind w:left="86" w:right="20" w:firstLine="0"/>
        <w:jc w:val="both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La instancia alberga exclusivamente la base de datos </w:t>
      </w:r>
      <w:r>
        <w:rPr>
          <w:w w:val="97.33870824178061"/>
          <w:rFonts w:ascii="CIDFont+F6" w:hAnsi="CIDFont+F6" w:eastAsia="CIDFont+F6"/>
          <w:b w:val="0"/>
          <w:i w:val="0"/>
          <w:color w:val="404040"/>
          <w:sz w:val="18"/>
        </w:rPr>
        <w:t>Necor@NC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, empleada por los módulos de ingeniería y 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aplicaciones internas como ECADAT. Su integración con SAP se limita a las operaciones de catálogo de 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materiales mediante </w:t>
      </w:r>
      <w:r>
        <w:rPr>
          <w:w w:val="97.33870824178061"/>
          <w:rFonts w:ascii="CIDFont+F6" w:hAnsi="CIDFont+F6" w:eastAsia="CIDFont+F6"/>
          <w:b w:val="0"/>
          <w:i w:val="0"/>
          <w:color w:val="404040"/>
          <w:sz w:val="18"/>
        </w:rPr>
        <w:t>HojasCatálogo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. Los enlaces externos son reducidos; la transferencia principal se dirige a </w:t>
      </w:r>
      <w:r>
        <w:rPr>
          <w:w w:val="101.57046940015711"/>
          <w:rFonts w:ascii="CIDFont+F12" w:hAnsi="CIDFont+F12" w:eastAsia="CIDFont+F12"/>
          <w:b/>
          <w:i w:val="0"/>
          <w:color w:val="404040"/>
          <w:sz w:val="23"/>
        </w:rPr>
        <w:t>NECORANET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 para consolidación de datos.</w:t>
      </w:r>
    </w:p>
    <w:p>
      <w:pPr>
        <w:autoSpaceDN w:val="0"/>
        <w:autoSpaceDE w:val="0"/>
        <w:widowControl/>
        <w:spacing w:line="400" w:lineRule="exact" w:before="158" w:after="0"/>
        <w:ind w:left="86" w:right="20" w:firstLine="0"/>
        <w:jc w:val="both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Pese a su carácter legacy, la plataforma continúa operativa mientras persistan las dependencias funcionales 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de los módulos de ingeniería. Su retirada definitiva está condicionada a la migración completa de dichos 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esquemas y rutinas a versiones superiores de SQL Server.</w:t>
      </w:r>
    </w:p>
    <w:p>
      <w:pPr>
        <w:autoSpaceDN w:val="0"/>
        <w:autoSpaceDE w:val="0"/>
        <w:widowControl/>
        <w:spacing w:line="236" w:lineRule="exact" w:before="3886" w:after="0"/>
        <w:ind w:left="0" w:right="167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16 </w:t>
      </w:r>
    </w:p>
    <w:p>
      <w:pPr>
        <w:sectPr>
          <w:pgSz w:w="11906" w:h="16838"/>
          <w:pgMar w:top="1008" w:right="780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104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648"/>
        <w:ind w:left="0" w:right="1152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01"/>
        <w:gridCol w:w="2601"/>
        <w:gridCol w:w="2601"/>
        <w:gridCol w:w="2601"/>
      </w:tblGrid>
      <w:tr>
        <w:trPr>
          <w:trHeight w:hRule="exact" w:val="850"/>
        </w:trPr>
        <w:tc>
          <w:tcPr>
            <w:tcW w:type="dxa" w:w="232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0" w:after="0"/>
              <w:ind w:left="7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>3.3</w:t>
            </w:r>
          </w:p>
        </w:tc>
        <w:tc>
          <w:tcPr>
            <w:tcW w:type="dxa" w:w="252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0" w:after="0"/>
              <w:ind w:left="0" w:right="150" w:firstLine="0"/>
              <w:jc w:val="right"/>
            </w:pPr>
            <w:r>
              <w:rPr>
                <w:rFonts w:ascii="CIDFont+F6" w:hAnsi="CIDFont+F6" w:eastAsia="CIDFont+F6"/>
                <w:b w:val="0"/>
                <w:i w:val="0"/>
                <w:color w:val="0095A4"/>
                <w:sz w:val="31"/>
              </w:rPr>
              <w:t xml:space="preserve">3.3. </w:t>
            </w:r>
          </w:p>
        </w:tc>
        <w:tc>
          <w:tcPr>
            <w:tcW w:type="dxa" w:w="484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MASQL20142\NECORANET </w:t>
            </w:r>
          </w:p>
        </w:tc>
        <w:tc>
          <w:tcPr>
            <w:tcW w:type="dxa" w:w="70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– </w:t>
            </w:r>
          </w:p>
        </w:tc>
      </w:tr>
    </w:tbl>
    <w:p>
      <w:pPr>
        <w:autoSpaceDN w:val="0"/>
        <w:autoSpaceDE w:val="0"/>
        <w:pStyle w:val="Heading1"/>
        <w:widowControl/>
        <w:spacing w:line="378" w:lineRule="exact" w:before="32" w:after="0"/>
        <w:ind w:left="78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(MASQL20222) </w:t>
      </w:r>
    </w:p>
    <w:p>
      <w:pPr>
        <w:autoSpaceDN w:val="0"/>
        <w:autoSpaceDE w:val="0"/>
        <w:widowControl/>
        <w:spacing w:line="234" w:lineRule="exact" w:before="80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Instancia SQL Server 2017 CU22 que funciona como plataforma funcional AWD y capa de informes para </w:t>
      </w:r>
    </w:p>
    <w:p>
      <w:pPr>
        <w:autoSpaceDN w:val="0"/>
        <w:autoSpaceDE w:val="0"/>
        <w:widowControl/>
        <w:spacing w:line="234" w:lineRule="exact" w:before="64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ecosistema Necor@AWD. Su diseño soporta tanto la gestión documental como los flujos técnicos y la </w:t>
      </w:r>
    </w:p>
    <w:p>
      <w:pPr>
        <w:autoSpaceDN w:val="0"/>
        <w:autoSpaceDE w:val="0"/>
        <w:widowControl/>
        <w:spacing w:line="236" w:lineRule="exact" w:before="5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explotación de datos, con un modelo de trabajo dual que facilita la gestión interna y la distribución </w:t>
      </w:r>
    </w:p>
    <w:p>
      <w:pPr>
        <w:autoSpaceDN w:val="0"/>
        <w:autoSpaceDE w:val="0"/>
        <w:widowControl/>
        <w:spacing w:line="234" w:lineRule="exact" w:before="6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internacional de información. </w:t>
      </w:r>
    </w:p>
    <w:p>
      <w:pPr>
        <w:autoSpaceDN w:val="0"/>
        <w:tabs>
          <w:tab w:pos="2628" w:val="left"/>
          <w:tab w:pos="3596" w:val="left"/>
        </w:tabs>
        <w:autoSpaceDE w:val="0"/>
        <w:widowControl/>
        <w:spacing w:line="286" w:lineRule="exact" w:before="610" w:after="0"/>
        <w:ind w:left="78" w:right="0" w:firstLine="0"/>
        <w:jc w:val="left"/>
      </w:pP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3.3.1 </w:t>
      </w:r>
      <w:r>
        <w:tab/>
      </w:r>
      <w:r>
        <w:rPr>
          <w:w w:val="101.57046940015711"/>
          <w:rFonts w:ascii="CIDFont+F4" w:hAnsi="CIDFont+F4" w:eastAsia="CIDFont+F4"/>
          <w:b w:val="0"/>
          <w:i w:val="0"/>
          <w:color w:val="144080"/>
          <w:sz w:val="23"/>
        </w:rPr>
        <w:t xml:space="preserve">3.3.1. </w:t>
      </w: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Características generales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8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Rol: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Plataforma funcional AWD y capa de informes.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Versión: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SQL Server 2017 CU22.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Bases de datos: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Necor@AWD, InterfacesAWD_PEC, NAI_InterfacesAWD, NecoraDocAWD.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Conexiones entrantes: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SQL20142, HOSTDB2, PDB, usuarios BO.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Conexiones salientes: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SQLTURK, SQLNORWAY, ReportServer.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Parámetros relevantes: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Memoria fija asignada (32 GB), estadísticas automáticas activadas, </w:t>
      </w:r>
    </w:p>
    <w:p>
      <w:pPr>
        <w:autoSpaceDN w:val="0"/>
        <w:autoSpaceDE w:val="0"/>
        <w:widowControl/>
        <w:spacing w:line="234" w:lineRule="exact" w:before="60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jobs de mantenimiento semanales. </w:t>
      </w:r>
    </w:p>
    <w:p>
      <w:pPr>
        <w:autoSpaceDN w:val="0"/>
        <w:tabs>
          <w:tab w:pos="778" w:val="left"/>
        </w:tabs>
        <w:autoSpaceDE w:val="0"/>
        <w:widowControl/>
        <w:spacing w:line="254" w:lineRule="exact" w:before="15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Cambios recientes: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Optimización de vistas y reestructuración de Interfaces PEC (junio–julio </w:t>
      </w:r>
    </w:p>
    <w:p>
      <w:pPr>
        <w:autoSpaceDN w:val="0"/>
        <w:autoSpaceDE w:val="0"/>
        <w:widowControl/>
        <w:spacing w:line="254" w:lineRule="exact" w:before="58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2020).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Implantación de auditoría interna mediante tabla log _Audit_Changes.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Normalización </w:t>
      </w:r>
    </w:p>
    <w:p>
      <w:pPr>
        <w:autoSpaceDN w:val="0"/>
        <w:autoSpaceDE w:val="0"/>
        <w:widowControl/>
        <w:spacing w:line="236" w:lineRule="exact" w:before="60" w:after="55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estructuras para compatibilidad internacional.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69"/>
        <w:gridCol w:w="3469"/>
        <w:gridCol w:w="3469"/>
      </w:tblGrid>
      <w:tr>
        <w:trPr>
          <w:trHeight w:hRule="exact" w:val="40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3.3.2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4" w:after="0"/>
              <w:ind w:left="0" w:right="178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3.3.2.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19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Contexto y dependencias </w:t>
            </w:r>
          </w:p>
        </w:tc>
      </w:tr>
    </w:tbl>
    <w:p>
      <w:pPr>
        <w:autoSpaceDN w:val="0"/>
        <w:autoSpaceDE w:val="0"/>
        <w:widowControl/>
        <w:spacing w:line="236" w:lineRule="exact" w:before="16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 instancia se emplea principalmente para la gestión y explotación funcional dentro del entorno </w:t>
      </w:r>
    </w:p>
    <w:p>
      <w:pPr>
        <w:autoSpaceDN w:val="0"/>
        <w:autoSpaceDE w:val="0"/>
        <w:widowControl/>
        <w:spacing w:line="236" w:lineRule="exact" w:before="5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Necor@AWD, cubriendo diversos ámbitos: gestión documental (NecoraDocAWD), procesamiento de </w:t>
      </w:r>
    </w:p>
    <w:p>
      <w:pPr>
        <w:autoSpaceDN w:val="0"/>
        <w:autoSpaceDE w:val="0"/>
        <w:widowControl/>
        <w:spacing w:line="236" w:lineRule="exact" w:before="6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flujos técnicos (InterfacesAWD_PEC, NAI_InterfacesAWD) y explotación de datos (Necor@AWD). </w:t>
      </w:r>
    </w:p>
    <w:p>
      <w:pPr>
        <w:autoSpaceDN w:val="0"/>
        <w:autoSpaceDE w:val="0"/>
        <w:widowControl/>
        <w:spacing w:line="236" w:lineRule="exact" w:before="1888" w:after="0"/>
        <w:ind w:left="0" w:right="1830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17 </w:t>
      </w:r>
    </w:p>
    <w:p>
      <w:pPr>
        <w:sectPr>
          <w:pgSz w:w="11906" w:h="16838"/>
          <w:pgMar w:top="1008" w:right="622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0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294" w:lineRule="exact" w:before="1036" w:after="0"/>
        <w:ind w:left="92" w:right="76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Además, aloja el servidor de informes REPORTSERVERSNECORANET, que facilita la publicación de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dashboards y consultas externas. También integra el objeto PDB, que centraliza y consolida información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múltiples fuentes para su distribución a instancias internacionales. </w:t>
      </w:r>
    </w:p>
    <w:p>
      <w:pPr>
        <w:autoSpaceDN w:val="0"/>
        <w:autoSpaceDE w:val="0"/>
        <w:widowControl/>
        <w:spacing w:line="296" w:lineRule="exact" w:before="268" w:after="0"/>
        <w:ind w:left="92" w:right="76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modelo operativo se basa en una dualidad entre la gestión interna de datos y la preparación de flujos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estructurados hacia entornos remotos (SQLTURK y SQLNORWAY), a través del objeto PDB que actúa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como puente lógico. Este diseño asegura la coherencia estructural y minimiza el acoplamiento entre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esquemas, facilitando la interoperabilidad con clientes internacionales. </w:t>
      </w:r>
    </w:p>
    <w:p>
      <w:pPr>
        <w:autoSpaceDN w:val="0"/>
        <w:autoSpaceDE w:val="0"/>
        <w:widowControl/>
        <w:spacing w:line="296" w:lineRule="exact" w:before="154" w:after="0"/>
        <w:ind w:left="92" w:right="76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En 2020 se llevó a cabo un proceso de optimización orientado a mejorar el rendimiento, reorganizando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vistas y creando sinónimos funcionales. Asimismo, se implementó un sistema de auditoría a nivel de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registros para reforzar la trazabilidad. </w:t>
      </w:r>
    </w:p>
    <w:p>
      <w:pPr>
        <w:autoSpaceDN w:val="0"/>
        <w:tabs>
          <w:tab w:pos="686" w:val="left"/>
        </w:tabs>
        <w:autoSpaceDE w:val="0"/>
        <w:widowControl/>
        <w:spacing w:line="236" w:lineRule="exact" w:before="284" w:after="0"/>
        <w:ind w:left="336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InterfacesAWD_PEC: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Utilizada como puente para el traspaso de información entre sistemas. </w:t>
      </w:r>
    </w:p>
    <w:p>
      <w:pPr>
        <w:autoSpaceDN w:val="0"/>
        <w:tabs>
          <w:tab w:pos="686" w:val="left"/>
        </w:tabs>
        <w:autoSpaceDE w:val="0"/>
        <w:widowControl/>
        <w:spacing w:line="340" w:lineRule="exact" w:before="24" w:after="0"/>
        <w:ind w:left="336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NAI_InterfacesAWD: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Base de datos intermedia que centraliza datos de origen para su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>derivación hacia instancias externas.</w:t>
      </w:r>
    </w:p>
    <w:p>
      <w:pPr>
        <w:autoSpaceDN w:val="0"/>
        <w:autoSpaceDE w:val="0"/>
        <w:widowControl/>
        <w:spacing w:line="236" w:lineRule="exact" w:before="7024" w:after="0"/>
        <w:ind w:left="0" w:right="173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18 </w:t>
      </w:r>
    </w:p>
    <w:p>
      <w:pPr>
        <w:sectPr>
          <w:pgSz w:w="11906" w:h="16838"/>
          <w:pgMar w:top="1008" w:right="720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944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648"/>
        <w:ind w:left="0" w:right="104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1"/>
        <w:gridCol w:w="5151"/>
      </w:tblGrid>
      <w:tr>
        <w:trPr>
          <w:trHeight w:hRule="exact" w:val="862"/>
        </w:trPr>
        <w:tc>
          <w:tcPr>
            <w:tcW w:type="dxa" w:w="164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0" w:after="0"/>
              <w:ind w:left="7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>3.4</w:t>
            </w:r>
          </w:p>
        </w:tc>
        <w:tc>
          <w:tcPr>
            <w:tcW w:type="dxa" w:w="723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0" w:after="0"/>
              <w:ind w:left="1094" w:right="0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95A4"/>
                <w:sz w:val="31"/>
              </w:rPr>
              <w:t xml:space="preserve">3.4. </w:t>
            </w: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MASQL20221\SQLTURK </w:t>
            </w:r>
          </w:p>
        </w:tc>
      </w:tr>
    </w:tbl>
    <w:p>
      <w:pPr>
        <w:autoSpaceDN w:val="0"/>
        <w:autoSpaceDE w:val="0"/>
        <w:widowControl/>
        <w:spacing w:line="236" w:lineRule="exact" w:before="17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Instancia SQL Server 2022 CU8 dedicada a la gestión de contratos específicos para Turquía, operando </w:t>
      </w:r>
    </w:p>
    <w:p>
      <w:pPr>
        <w:autoSpaceDN w:val="0"/>
        <w:autoSpaceDE w:val="0"/>
        <w:widowControl/>
        <w:spacing w:line="234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forma autónoma dentro del ecosistema Necor@AWD para garantizar segregación funcional y </w:t>
      </w:r>
    </w:p>
    <w:p>
      <w:pPr>
        <w:autoSpaceDN w:val="0"/>
        <w:autoSpaceDE w:val="0"/>
        <w:widowControl/>
        <w:spacing w:line="236" w:lineRule="exact" w:before="12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geográfica. </w:t>
      </w:r>
    </w:p>
    <w:p>
      <w:pPr>
        <w:autoSpaceDN w:val="0"/>
        <w:tabs>
          <w:tab w:pos="2628" w:val="left"/>
          <w:tab w:pos="3596" w:val="left"/>
        </w:tabs>
        <w:autoSpaceDE w:val="0"/>
        <w:widowControl/>
        <w:spacing w:line="286" w:lineRule="exact" w:before="666" w:after="0"/>
        <w:ind w:left="78" w:right="0" w:firstLine="0"/>
        <w:jc w:val="left"/>
      </w:pP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3.4.1 </w:t>
      </w:r>
      <w:r>
        <w:tab/>
      </w:r>
      <w:r>
        <w:rPr>
          <w:w w:val="101.57046940015711"/>
          <w:rFonts w:ascii="CIDFont+F4" w:hAnsi="CIDFont+F4" w:eastAsia="CIDFont+F4"/>
          <w:b w:val="0"/>
          <w:i w:val="0"/>
          <w:color w:val="144080"/>
          <w:sz w:val="23"/>
        </w:rPr>
        <w:t xml:space="preserve">3.4.1. </w:t>
      </w: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Características generales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8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Rol: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Instancia internacional dedicada a contratos Turquía.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Versión: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SQL Server 2022 CU8.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Bases de datos: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Necor@AWD.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4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Conexiones entrantes: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Réplicas desde PDB (NECORANET).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Conexiones salientes: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Flujos ETL hacia cliente, reporting específico.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Parámetros relevantes: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Compresión de columnas, alertas personalizadas SQL Agent. </w:t>
      </w:r>
    </w:p>
    <w:p>
      <w:pPr>
        <w:autoSpaceDN w:val="0"/>
        <w:tabs>
          <w:tab w:pos="778" w:val="left"/>
        </w:tabs>
        <w:autoSpaceDE w:val="0"/>
        <w:widowControl/>
        <w:spacing w:line="252" w:lineRule="exact" w:before="15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Cambios recientes: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Despliegue inicial y validación funcional completada (2025Q1).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o </w:t>
      </w:r>
    </w:p>
    <w:p>
      <w:pPr>
        <w:autoSpaceDN w:val="0"/>
        <w:autoSpaceDE w:val="0"/>
        <w:widowControl/>
        <w:spacing w:line="252" w:lineRule="exact" w:before="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Implementación de ETL segregado por región.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Control de errores y lógica de CRC en flujos </w:t>
      </w:r>
    </w:p>
    <w:p>
      <w:pPr>
        <w:autoSpaceDN w:val="0"/>
        <w:autoSpaceDE w:val="0"/>
        <w:widowControl/>
        <w:spacing w:line="236" w:lineRule="exact" w:before="4" w:after="492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nocturnos.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34"/>
        <w:gridCol w:w="3434"/>
        <w:gridCol w:w="3434"/>
      </w:tblGrid>
      <w:tr>
        <w:trPr>
          <w:trHeight w:hRule="exact" w:val="40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3.4.2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4" w:after="0"/>
              <w:ind w:left="0" w:right="178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3.4.2.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19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Contexto y dependencias </w:t>
            </w:r>
          </w:p>
        </w:tc>
      </w:tr>
    </w:tbl>
    <w:p>
      <w:pPr>
        <w:autoSpaceDN w:val="0"/>
        <w:autoSpaceDE w:val="0"/>
        <w:widowControl/>
        <w:spacing w:line="234" w:lineRule="exact" w:before="16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 instancia está destinada exclusivamente a la gestión y explotación de datos relacionados con </w:t>
      </w:r>
    </w:p>
    <w:p>
      <w:pPr>
        <w:autoSpaceDN w:val="0"/>
        <w:autoSpaceDE w:val="0"/>
        <w:widowControl/>
        <w:spacing w:line="236" w:lineRule="exact" w:before="116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contratos de Turquía, integrando su propia copia de Necor@AWD para operar con independencia y </w:t>
      </w:r>
    </w:p>
    <w:p>
      <w:pPr>
        <w:autoSpaceDN w:val="0"/>
        <w:autoSpaceDE w:val="0"/>
        <w:widowControl/>
        <w:spacing w:line="234" w:lineRule="exact" w:before="12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garantizar la seguridad y el aislamiento requerido. </w:t>
      </w:r>
    </w:p>
    <w:p>
      <w:pPr>
        <w:autoSpaceDN w:val="0"/>
        <w:autoSpaceDE w:val="0"/>
        <w:widowControl/>
        <w:spacing w:line="234" w:lineRule="exact" w:before="39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La alimentación de datos se realiza mediante flujos ETL diarios que replican información desde el objeto </w:t>
      </w:r>
    </w:p>
    <w:p>
      <w:pPr>
        <w:autoSpaceDN w:val="0"/>
        <w:autoSpaceDE w:val="0"/>
        <w:widowControl/>
        <w:spacing w:line="236" w:lineRule="exact" w:before="1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PDB alojado en NECORANET. Los procesos incorporan validaciones de integridad basadas en CRC </w:t>
      </w:r>
    </w:p>
    <w:p>
      <w:pPr>
        <w:autoSpaceDN w:val="0"/>
        <w:autoSpaceDE w:val="0"/>
        <w:widowControl/>
        <w:spacing w:line="234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(Control de Redundancia Cíclica), junto con mecanismos personalizados de trazabilidad y notificación </w:t>
      </w:r>
    </w:p>
    <w:p>
      <w:pPr>
        <w:autoSpaceDN w:val="0"/>
        <w:autoSpaceDE w:val="0"/>
        <w:widowControl/>
        <w:spacing w:line="236" w:lineRule="exact" w:before="12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para la detección y gestión de errores. </w:t>
      </w:r>
    </w:p>
    <w:p>
      <w:pPr>
        <w:autoSpaceDN w:val="0"/>
        <w:autoSpaceDE w:val="0"/>
        <w:widowControl/>
        <w:spacing w:line="236" w:lineRule="exact" w:before="1742" w:after="0"/>
        <w:ind w:left="0" w:right="172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19 </w:t>
      </w:r>
    </w:p>
    <w:p>
      <w:pPr>
        <w:sectPr>
          <w:pgSz w:w="11906" w:h="16838"/>
          <w:pgMar w:top="1008" w:right="72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894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0" w:right="99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234" w:lineRule="exact" w:before="1092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diseño de esta instancia persigue asegurar la segregación funcional y geográfica, respondiendo a los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requerimientos contractuales en materia de aislamiento de datos, soporte técnico y control de accesos. </w:t>
      </w:r>
    </w:p>
    <w:p>
      <w:pPr>
        <w:autoSpaceDN w:val="0"/>
        <w:autoSpaceDE w:val="0"/>
        <w:widowControl/>
        <w:spacing w:line="236" w:lineRule="exact" w:before="39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Actualmente, la base de datos que alimenta el PDB de Turquía está en fase de migración, con vistas al </w:t>
      </w:r>
    </w:p>
    <w:p>
      <w:pPr>
        <w:autoSpaceDN w:val="0"/>
        <w:autoSpaceDE w:val="0"/>
        <w:widowControl/>
        <w:spacing w:line="236" w:lineRule="exact" w:before="12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apagado progresivo de la instancia legacy MASQL2014\SQLTURK. </w:t>
      </w:r>
    </w:p>
    <w:p>
      <w:pPr>
        <w:autoSpaceDN w:val="0"/>
        <w:tabs>
          <w:tab w:pos="2976" w:val="left"/>
        </w:tabs>
        <w:autoSpaceDE w:val="0"/>
        <w:pStyle w:val="Heading1"/>
        <w:widowControl/>
        <w:spacing w:line="378" w:lineRule="exact" w:before="500" w:after="0"/>
        <w:ind w:left="78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3.5 </w:t>
      </w:r>
      <w:r>
        <w:rPr>
          <w:rFonts w:ascii="CIDFont+F6" w:hAnsi="CIDFont+F6" w:eastAsia="CIDFont+F6"/>
          <w:b w:val="0"/>
          <w:i w:val="0"/>
          <w:color w:val="0095A4"/>
          <w:sz w:val="31"/>
        </w:rPr>
        <w:t xml:space="preserve">3.5. </w:t>
      </w: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MASQL20221\SQLNORWAY </w:t>
      </w:r>
    </w:p>
    <w:p>
      <w:pPr>
        <w:autoSpaceDN w:val="0"/>
        <w:autoSpaceDE w:val="0"/>
        <w:widowControl/>
        <w:spacing w:line="236" w:lineRule="exact" w:before="254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Instancia SQL Server 2022 CU8 orientada a la gestión y soporte de proyectos en Noruega, diseñada </w:t>
      </w:r>
    </w:p>
    <w:p>
      <w:pPr>
        <w:autoSpaceDN w:val="0"/>
        <w:autoSpaceDE w:val="0"/>
        <w:widowControl/>
        <w:spacing w:line="234" w:lineRule="exact" w:before="12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para operar con independencia mediante réplicas desde el PDB general. </w:t>
      </w:r>
    </w:p>
    <w:p>
      <w:pPr>
        <w:autoSpaceDN w:val="0"/>
        <w:tabs>
          <w:tab w:pos="2628" w:val="left"/>
          <w:tab w:pos="3596" w:val="left"/>
        </w:tabs>
        <w:autoSpaceDE w:val="0"/>
        <w:widowControl/>
        <w:spacing w:line="288" w:lineRule="exact" w:before="664" w:after="0"/>
        <w:ind w:left="78" w:right="0" w:firstLine="0"/>
        <w:jc w:val="left"/>
      </w:pP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3.5.1 </w:t>
      </w:r>
      <w:r>
        <w:tab/>
      </w:r>
      <w:r>
        <w:rPr>
          <w:w w:val="101.57046940015711"/>
          <w:rFonts w:ascii="CIDFont+F4" w:hAnsi="CIDFont+F4" w:eastAsia="CIDFont+F4"/>
          <w:b w:val="0"/>
          <w:i w:val="0"/>
          <w:color w:val="144080"/>
          <w:sz w:val="23"/>
        </w:rPr>
        <w:t xml:space="preserve">3.5.1. </w:t>
      </w: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Características generales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8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Rol: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Instancia internacional para proyectos Noruega.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Versión: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SQL Server 2022 CU8.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Bases de datos: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Necor@AWD.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3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Conexiones entrantes: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Réplicas desde PDB.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4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Conexiones salientes: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Power BI Service, validación en Azure VDI.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Parámetros relevantes: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Configuración híbrida con prevalidación CRC y staging.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Cambios recientes:</w:t>
      </w:r>
    </w:p>
    <w:p>
      <w:pPr>
        <w:autoSpaceDN w:val="0"/>
        <w:tabs>
          <w:tab w:pos="1494" w:val="left"/>
        </w:tabs>
        <w:autoSpaceDE w:val="0"/>
        <w:widowControl/>
        <w:spacing w:line="252" w:lineRule="exact" w:before="148" w:after="0"/>
        <w:ind w:left="1142" w:right="0" w:firstLine="0"/>
        <w:jc w:val="left"/>
      </w:pPr>
      <w:r>
        <w:rPr>
          <w:w w:val="102.05118279708059"/>
          <w:rFonts w:ascii="CIDFont+F8" w:hAnsi="CIDFont+F8" w:eastAsia="CIDFont+F8"/>
          <w:b w:val="0"/>
          <w:i w:val="0"/>
          <w:color w:val="000000"/>
          <w:sz w:val="19"/>
        </w:rPr>
        <w:t xml:space="preserve">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Flujo ETL activo desde abril 2024, con carga de 2.1 millones de registros en 35 </w:t>
      </w:r>
    </w:p>
    <w:p>
      <w:pPr>
        <w:autoSpaceDN w:val="0"/>
        <w:autoSpaceDE w:val="0"/>
        <w:widowControl/>
        <w:spacing w:line="236" w:lineRule="exact" w:before="44" w:after="0"/>
        <w:ind w:left="1494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minutos. </w:t>
      </w:r>
    </w:p>
    <w:p>
      <w:pPr>
        <w:autoSpaceDN w:val="0"/>
        <w:tabs>
          <w:tab w:pos="1494" w:val="left"/>
        </w:tabs>
        <w:autoSpaceDE w:val="0"/>
        <w:widowControl/>
        <w:spacing w:line="252" w:lineRule="exact" w:before="180" w:after="0"/>
        <w:ind w:left="1142" w:right="0" w:firstLine="0"/>
        <w:jc w:val="left"/>
      </w:pPr>
      <w:r>
        <w:rPr>
          <w:w w:val="102.05118279708059"/>
          <w:rFonts w:ascii="CIDFont+F8" w:hAnsi="CIDFont+F8" w:eastAsia="CIDFont+F8"/>
          <w:b w:val="0"/>
          <w:i w:val="0"/>
          <w:color w:val="000000"/>
          <w:sz w:val="19"/>
        </w:rPr>
        <w:t xml:space="preserve">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Estrategia de validación cruzada de claves y agrupadores desde Coral. </w:t>
      </w:r>
      <w:r>
        <w:rPr>
          <w:w w:val="102.05118279708059"/>
          <w:rFonts w:ascii="CIDFont+F8" w:hAnsi="CIDFont+F8" w:eastAsia="CIDFont+F8"/>
          <w:b w:val="0"/>
          <w:i w:val="0"/>
          <w:color w:val="404040"/>
          <w:sz w:val="19"/>
        </w:rPr>
        <w:t xml:space="preserve">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Consola de </w:t>
      </w:r>
    </w:p>
    <w:p>
      <w:pPr>
        <w:autoSpaceDN w:val="0"/>
        <w:autoSpaceDE w:val="0"/>
        <w:widowControl/>
        <w:spacing w:line="234" w:lineRule="exact" w:before="60" w:after="0"/>
        <w:ind w:left="1494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trazabilidad de cargas entregada a Reporting/Navantia en mayo 2025. </w:t>
      </w:r>
    </w:p>
    <w:p>
      <w:pPr>
        <w:autoSpaceDN w:val="0"/>
        <w:autoSpaceDE w:val="0"/>
        <w:widowControl/>
        <w:spacing w:line="236" w:lineRule="exact" w:before="2792" w:after="0"/>
        <w:ind w:left="0" w:right="167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20 </w:t>
      </w:r>
    </w:p>
    <w:p>
      <w:pPr>
        <w:sectPr>
          <w:pgSz w:w="11906" w:h="16838"/>
          <w:pgMar w:top="1008" w:right="77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7"/>
        <w:gridCol w:w="3417"/>
        <w:gridCol w:w="3417"/>
      </w:tblGrid>
      <w:tr>
        <w:trPr>
          <w:trHeight w:hRule="exact" w:val="776"/>
        </w:trPr>
        <w:tc>
          <w:tcPr>
            <w:tcW w:type="dxa" w:w="166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12" w:after="0"/>
              <w:ind w:left="78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3.5.2</w:t>
            </w:r>
          </w:p>
        </w:tc>
        <w:tc>
          <w:tcPr>
            <w:tcW w:type="dxa" w:w="174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26" w:after="0"/>
              <w:ind w:left="0" w:right="178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3.5.2. </w:t>
            </w:r>
          </w:p>
        </w:tc>
        <w:tc>
          <w:tcPr>
            <w:tcW w:type="dxa" w:w="547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12" w:after="0"/>
              <w:ind w:left="19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Contexto y dependencias </w:t>
            </w:r>
          </w:p>
        </w:tc>
      </w:tr>
    </w:tbl>
    <w:p>
      <w:pPr>
        <w:autoSpaceDN w:val="0"/>
        <w:autoSpaceDE w:val="0"/>
        <w:widowControl/>
        <w:spacing w:line="354" w:lineRule="exact" w:before="30" w:after="0"/>
        <w:ind w:left="92" w:right="20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 instancia, basada en SQL Server 2022, da soporte a proyectos desplegados en Noruega y contiene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su propia versión de Necor@AWD. Replica los datos de forma independiente desde el PDB general,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asegurando autonomía y seguridad en la gestión de información. </w:t>
      </w:r>
    </w:p>
    <w:p>
      <w:pPr>
        <w:autoSpaceDN w:val="0"/>
        <w:autoSpaceDE w:val="0"/>
        <w:widowControl/>
        <w:spacing w:line="356" w:lineRule="exact" w:before="27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flujo ETL, pionero en validación completa, incorpora trazabilidad end-to-end desde las fuentes Coral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hasta la explotación en Power BI, pasando por etapas de staging, validación y carga incremental. </w:t>
      </w:r>
    </w:p>
    <w:p>
      <w:pPr>
        <w:autoSpaceDN w:val="0"/>
        <w:autoSpaceDE w:val="0"/>
        <w:widowControl/>
        <w:spacing w:line="354" w:lineRule="exact" w:before="272" w:after="0"/>
        <w:ind w:left="92" w:right="20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Los procesos diarios están optimizados para manejar grandes volúmenes de datos —más de 2 millones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registros por carga— con tiempos inferiores a 40 minutos. El entorno dispone de alertas y logs que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permiten monitorizar el estado de sincronización, errores y métricas clave. </w:t>
      </w:r>
    </w:p>
    <w:p>
      <w:pPr>
        <w:autoSpaceDN w:val="0"/>
        <w:autoSpaceDE w:val="0"/>
        <w:widowControl/>
        <w:spacing w:line="354" w:lineRule="exact" w:before="27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 instancia es un referente técnico para futuros despliegues en entornos similares, demostrando la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viabilidad de operaciones con réplicas distribuidas, controladas y auditables. </w:t>
      </w:r>
    </w:p>
    <w:p>
      <w:pPr>
        <w:autoSpaceDN w:val="0"/>
        <w:autoSpaceDE w:val="0"/>
        <w:widowControl/>
        <w:spacing w:line="354" w:lineRule="exact" w:before="156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Actualmente, la base de datos que alimenta el PDB de Noruega está en fase de migración, en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>preparación para el apagado gradual de la instancia legacy MASQL2014\SQLNORWAY.</w:t>
      </w:r>
    </w:p>
    <w:p>
      <w:pPr>
        <w:autoSpaceDN w:val="0"/>
        <w:autoSpaceDE w:val="0"/>
        <w:widowControl/>
        <w:spacing w:line="236" w:lineRule="exact" w:before="5992" w:after="0"/>
        <w:ind w:left="0" w:right="167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21 </w:t>
      </w:r>
    </w:p>
    <w:p>
      <w:pPr>
        <w:sectPr>
          <w:pgSz w:w="11906" w:h="16838"/>
          <w:pgMar w:top="1008" w:right="77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6"/>
        <w:gridCol w:w="5126"/>
      </w:tblGrid>
      <w:tr>
        <w:trPr>
          <w:trHeight w:hRule="exact" w:val="862"/>
        </w:trPr>
        <w:tc>
          <w:tcPr>
            <w:tcW w:type="dxa" w:w="200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0" w:after="0"/>
              <w:ind w:left="7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>3.6</w:t>
            </w:r>
          </w:p>
        </w:tc>
        <w:tc>
          <w:tcPr>
            <w:tcW w:type="dxa" w:w="804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0" w:after="0"/>
              <w:ind w:left="1420" w:right="0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95A4"/>
                <w:sz w:val="31"/>
              </w:rPr>
              <w:t xml:space="preserve">3.6. </w:t>
            </w: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MASERVF9 – (Antiguo MANECNET) </w:t>
            </w:r>
          </w:p>
        </w:tc>
      </w:tr>
    </w:tbl>
    <w:p>
      <w:pPr>
        <w:autoSpaceDN w:val="0"/>
        <w:autoSpaceDE w:val="0"/>
        <w:widowControl/>
        <w:spacing w:line="354" w:lineRule="exact" w:before="646" w:after="608"/>
        <w:ind w:left="92" w:right="20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Servidor Windows Server 2019 con IIS 10 y .NET Framework 4.8 que cumple una doble función crítica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dentro del ecosistema Necor@: actúa como pasarela de integración entre SAP PO y las bases de datos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Navantia, y como servidor documental que almacena los ficheros físicos del sistema de Gestión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Documental.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17"/>
        <w:gridCol w:w="3417"/>
        <w:gridCol w:w="3417"/>
      </w:tblGrid>
      <w:tr>
        <w:trPr>
          <w:trHeight w:hRule="exact" w:val="40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3.6.1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4" w:after="0"/>
              <w:ind w:left="0" w:right="190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3.6.1. 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19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Características generales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8.0" w:type="dxa"/>
      </w:tblPr>
      <w:tblGrid>
        <w:gridCol w:w="5126"/>
        <w:gridCol w:w="5126"/>
      </w:tblGrid>
      <w:tr>
        <w:trPr>
          <w:trHeight w:hRule="exact" w:val="770"/>
        </w:trPr>
        <w:tc>
          <w:tcPr>
            <w:tcW w:type="dxa" w:w="1276"/>
            <w:tcBorders>
              <w:start w:sz="4.0" w:val="single" w:color="#5B9AD4"/>
              <w:end w:sz="4.0" w:val="single" w:color="#5B9AD4"/>
              <w:bottom w:sz="3.199999999999818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Elemento</w:t>
            </w:r>
          </w:p>
        </w:tc>
        <w:tc>
          <w:tcPr>
            <w:tcW w:type="dxa" w:w="6986"/>
            <w:tcBorders>
              <w:start w:sz="4.0" w:val="single" w:color="#5B9AD4"/>
              <w:end w:sz="4.0" w:val="single" w:color="#5B9AD4"/>
              <w:bottom w:sz="3.199999999999818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Valor</w:t>
            </w:r>
          </w:p>
        </w:tc>
      </w:tr>
      <w:tr>
        <w:trPr>
          <w:trHeight w:hRule="exact" w:val="768"/>
        </w:trPr>
        <w:tc>
          <w:tcPr>
            <w:tcW w:type="dxa" w:w="1276"/>
            <w:tcBorders>
              <w:start w:sz="4.0" w:val="single" w:color="#5B9AD4"/>
              <w:top w:sz="3.199999999999818" w:val="single" w:color="#5B9AD4"/>
              <w:end w:sz="4.0" w:val="single" w:color="#5B9AD4"/>
              <w:bottom w:sz="3.200000000000273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FQDN / IP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</w:t>
            </w:r>
          </w:p>
        </w:tc>
        <w:tc>
          <w:tcPr>
            <w:tcW w:type="dxa" w:w="6986"/>
            <w:tcBorders>
              <w:start w:sz="4.0" w:val="single" w:color="#5B9AD4"/>
              <w:top w:sz="3.199999999999818" w:val="single" w:color="#5B9AD4"/>
              <w:end w:sz="4.0" w:val="single" w:color="#5B9AD4"/>
              <w:bottom w:sz="3.200000000000273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maservf9.izar.es / 10.100.161.76 </w:t>
            </w:r>
          </w:p>
        </w:tc>
      </w:tr>
      <w:tr>
        <w:trPr>
          <w:trHeight w:hRule="exact" w:val="768"/>
        </w:trPr>
        <w:tc>
          <w:tcPr>
            <w:tcW w:type="dxa" w:w="1276"/>
            <w:tcBorders>
              <w:start w:sz="4.0" w:val="single" w:color="#5B9AD4"/>
              <w:top w:sz="3.200000000000273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OS / Build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</w:t>
            </w:r>
          </w:p>
        </w:tc>
        <w:tc>
          <w:tcPr>
            <w:tcW w:type="dxa" w:w="6986"/>
            <w:tcBorders>
              <w:start w:sz="4.0" w:val="single" w:color="#5B9AD4"/>
              <w:top w:sz="3.200000000000273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0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OS / Build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Windows Server 2019 Std 10.0.17763 </w:t>
            </w:r>
          </w:p>
        </w:tc>
      </w:tr>
      <w:tr>
        <w:trPr>
          <w:trHeight w:hRule="exact" w:val="764"/>
        </w:trPr>
        <w:tc>
          <w:tcPr>
            <w:tcW w:type="dxa" w:w="127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IIS / .NET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</w:t>
            </w:r>
          </w:p>
        </w:tc>
        <w:tc>
          <w:tcPr>
            <w:tcW w:type="dxa" w:w="698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IIS 10 + .NET Framework 4.8 </w:t>
            </w:r>
          </w:p>
        </w:tc>
      </w:tr>
      <w:tr>
        <w:trPr>
          <w:trHeight w:hRule="exact" w:val="812"/>
        </w:trPr>
        <w:tc>
          <w:tcPr>
            <w:tcW w:type="dxa" w:w="127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Aplicación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</w:t>
            </w:r>
          </w:p>
        </w:tc>
        <w:tc>
          <w:tcPr>
            <w:tcW w:type="dxa" w:w="698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252" w:lineRule="exact" w:before="278" w:after="0"/>
              <w:ind w:left="0" w:right="1584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Aplicación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NecoraWebIntegrator.svc (SOAP 1.2 &amp; REST: Login + </w:t>
            </w:r>
            <w:r>
              <w:tab/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SetInfoMateriales) </w:t>
            </w:r>
          </w:p>
        </w:tc>
      </w:tr>
      <w:tr>
        <w:trPr>
          <w:trHeight w:hRule="exact" w:val="764"/>
        </w:trPr>
        <w:tc>
          <w:tcPr>
            <w:tcW w:type="dxa" w:w="1276"/>
            <w:tcBorders>
              <w:start w:sz="4.0" w:val="single" w:color="#5B9AD4"/>
              <w:top w:sz="4.0" w:val="single" w:color="#5B9AD4"/>
              <w:end w:sz="4.0" w:val="single" w:color="#5B9AD4"/>
              <w:bottom w:sz="3.2000000000007276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Entrantes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</w:t>
            </w:r>
          </w:p>
        </w:tc>
        <w:tc>
          <w:tcPr>
            <w:tcW w:type="dxa" w:w="6986"/>
            <w:tcBorders>
              <w:start w:sz="4.0" w:val="single" w:color="#5B9AD4"/>
              <w:top w:sz="4.0" w:val="single" w:color="#5B9AD4"/>
              <w:end w:sz="4.0" w:val="single" w:color="#5B9AD4"/>
              <w:bottom w:sz="3.2000000000007276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SAP PO </w:t>
            </w:r>
            <w:r>
              <w:rPr>
                <w:w w:val="102.05118279708059"/>
                <w:rFonts w:ascii="CIDFont+F2" w:hAnsi="CIDFont+F2" w:eastAsia="CIDFont+F2"/>
                <w:b w:val="0"/>
                <w:i w:val="0"/>
                <w:color w:val="404040"/>
                <w:sz w:val="19"/>
              </w:rPr>
              <w:t>→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HTTPS + BasicAuth </w:t>
            </w:r>
          </w:p>
        </w:tc>
      </w:tr>
      <w:tr>
        <w:trPr>
          <w:trHeight w:hRule="exact" w:val="764"/>
        </w:trPr>
        <w:tc>
          <w:tcPr>
            <w:tcW w:type="dxa" w:w="1276"/>
            <w:tcBorders>
              <w:start w:sz="4.0" w:val="single" w:color="#5B9AD4"/>
              <w:top w:sz="3.2000000000007276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Salientes</w:t>
            </w:r>
          </w:p>
        </w:tc>
        <w:tc>
          <w:tcPr>
            <w:tcW w:type="dxa" w:w="6986"/>
            <w:tcBorders>
              <w:start w:sz="4.0" w:val="single" w:color="#5B9AD4"/>
              <w:top w:sz="3.2000000000007276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ODBC fijo </w:t>
            </w:r>
            <w:r>
              <w:rPr>
                <w:w w:val="102.05118279708059"/>
                <w:rFonts w:ascii="CIDFont+F2" w:hAnsi="CIDFont+F2" w:eastAsia="CIDFont+F2"/>
                <w:b w:val="0"/>
                <w:i w:val="0"/>
                <w:color w:val="404040"/>
                <w:sz w:val="19"/>
              </w:rPr>
              <w:t>→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MASQL20171\HOSTDB2 (puerto 1452) </w:t>
            </w:r>
          </w:p>
        </w:tc>
      </w:tr>
      <w:tr>
        <w:trPr>
          <w:trHeight w:hRule="exact" w:val="768"/>
        </w:trPr>
        <w:tc>
          <w:tcPr>
            <w:tcW w:type="dxa" w:w="127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Seguridad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</w:t>
            </w:r>
          </w:p>
        </w:tc>
        <w:tc>
          <w:tcPr>
            <w:tcW w:type="dxa" w:w="698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TLS 1.2 activo · Certificado Let’s Encrypt · Token BasicAuth anual </w:t>
            </w:r>
          </w:p>
        </w:tc>
      </w:tr>
      <w:tr>
        <w:trPr>
          <w:trHeight w:hRule="exact" w:val="768"/>
        </w:trPr>
        <w:tc>
          <w:tcPr>
            <w:tcW w:type="dxa" w:w="127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Timeouts</w:t>
            </w:r>
          </w:p>
        </w:tc>
        <w:tc>
          <w:tcPr>
            <w:tcW w:type="dxa" w:w="698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HTTP 90 s · ODBC 30 s </w:t>
            </w:r>
          </w:p>
        </w:tc>
      </w:tr>
    </w:tbl>
    <w:p>
      <w:pPr>
        <w:autoSpaceDN w:val="0"/>
        <w:autoSpaceDE w:val="0"/>
        <w:widowControl/>
        <w:spacing w:line="236" w:lineRule="exact" w:before="1122" w:after="0"/>
        <w:ind w:left="0" w:right="167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22 </w:t>
      </w:r>
    </w:p>
    <w:p>
      <w:pPr>
        <w:sectPr>
          <w:pgSz w:w="11906" w:h="16838"/>
          <w:pgMar w:top="1008" w:right="77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7"/>
        <w:gridCol w:w="3417"/>
        <w:gridCol w:w="3417"/>
      </w:tblGrid>
      <w:tr>
        <w:trPr>
          <w:trHeight w:hRule="exact" w:val="2912"/>
        </w:trPr>
        <w:tc>
          <w:tcPr>
            <w:tcW w:type="dxa" w:w="722"/>
            <w:vMerge w:val="restart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452" w:lineRule="exact" w:before="2336" w:after="0"/>
              <w:ind w:left="78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3.6.2</w:t>
            </w:r>
            <w:r>
              <w:tab/>
            </w: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256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518" w:after="0"/>
              <w:ind w:left="0" w:right="290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3.6.2. </w:t>
            </w:r>
          </w:p>
        </w:tc>
        <w:tc>
          <w:tcPr>
            <w:tcW w:type="dxa" w:w="696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506" w:after="0"/>
              <w:ind w:left="314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Funciones y contexto </w:t>
            </w:r>
          </w:p>
        </w:tc>
      </w:tr>
      <w:tr>
        <w:trPr>
          <w:trHeight w:hRule="exact" w:val="388"/>
        </w:trPr>
        <w:tc>
          <w:tcPr>
            <w:tcW w:type="dxa" w:w="3417"/>
            <w:vMerge/>
            <w:tcBorders>
              <w:top w:sz="12.799999999999955" w:val="single" w:color="#000000"/>
            </w:tcBorders>
          </w:tcPr>
          <w:p/>
        </w:tc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Integración: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Hospeda el WebService NecoraMQ (NecoraWebIntegrator.svc), que expone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778" w:right="20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operaciones SOAP y REST para consulta y validación de materiales, órdenes y hojas de catálogo.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Las peticiones se comunican con HOSTDB2 vía ODBC configurado con puerto TCP fijo 1452,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garantizando seguridad mediante TLS 1.2 y autenticación por token renovable anualmente. </w:t>
      </w:r>
    </w:p>
    <w:p>
      <w:pPr>
        <w:autoSpaceDN w:val="0"/>
        <w:tabs>
          <w:tab w:pos="778" w:val="left"/>
        </w:tabs>
        <w:autoSpaceDE w:val="0"/>
        <w:widowControl/>
        <w:spacing w:line="318" w:lineRule="exact" w:before="9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Gestión documental: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Mantiene el almacén físico de documentos digitales (PDFs, hojas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técnicas, planos) usados por aplicaciones Necor@AWD, Necor@NC y otras, compartidos vía SMB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para acceso interno. </w:t>
      </w:r>
    </w:p>
    <w:p>
      <w:pPr>
        <w:autoSpaceDN w:val="0"/>
        <w:tabs>
          <w:tab w:pos="778" w:val="left"/>
        </w:tabs>
        <w:autoSpaceDE w:val="0"/>
        <w:widowControl/>
        <w:spacing w:line="316" w:lineRule="exact" w:before="9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Migración: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Resultado de la migración parcial desde el antiguo servidor MANECNET, apagado en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octubre de 2024. Se trasladaron únicamente componentes documentales y servicios de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integración, descartando la migración completa de Necor@V6. </w:t>
      </w:r>
    </w:p>
    <w:p>
      <w:pPr>
        <w:autoSpaceDN w:val="0"/>
        <w:autoSpaceDE w:val="0"/>
        <w:widowControl/>
        <w:spacing w:line="286" w:lineRule="exact" w:before="218" w:after="0"/>
        <w:ind w:left="442" w:right="0" w:firstLine="0"/>
        <w:jc w:val="left"/>
      </w:pPr>
      <w:r>
        <w:rPr>
          <w:w w:val="101.57046940015711"/>
          <w:rFonts w:ascii="CIDFont+F4" w:hAnsi="CIDFont+F4" w:eastAsia="CIDFont+F4"/>
          <w:b w:val="0"/>
          <w:i w:val="0"/>
          <w:color w:val="404040"/>
          <w:sz w:val="23"/>
        </w:rPr>
        <w:t xml:space="preserve">3.6.3. </w:t>
      </w:r>
      <w:r>
        <w:rPr>
          <w:w w:val="101.57046940015711"/>
          <w:rFonts w:ascii="CIDFont+F1" w:hAnsi="CIDFont+F1" w:eastAsia="CIDFont+F1"/>
          <w:b w:val="0"/>
          <w:i w:val="0"/>
          <w:color w:val="404040"/>
          <w:sz w:val="23"/>
        </w:rPr>
        <w:t>Cronología de migración y normalización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94450" cy="158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4" w:lineRule="exact" w:before="17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Figura 3.6-2 presenta la cronología del proceso de migración desde MANECNET a MASERVF9 y la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estabilización del flujo de materiales, que se desarrolló entre el 23 de octubre de 2024 y el 8 de enero </w:t>
      </w:r>
    </w:p>
    <w:p>
      <w:pPr>
        <w:autoSpaceDN w:val="0"/>
        <w:autoSpaceDE w:val="0"/>
        <w:widowControl/>
        <w:spacing w:line="234" w:lineRule="exact" w:before="12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2025. </w:t>
      </w:r>
    </w:p>
    <w:p>
      <w:pPr>
        <w:autoSpaceDN w:val="0"/>
        <w:autoSpaceDE w:val="0"/>
        <w:widowControl/>
        <w:spacing w:line="236" w:lineRule="exact" w:before="1448" w:after="0"/>
        <w:ind w:left="0" w:right="167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23 </w:t>
      </w:r>
    </w:p>
    <w:p>
      <w:pPr>
        <w:sectPr>
          <w:pgSz w:w="11906" w:h="16838"/>
          <w:pgMar w:top="1008" w:right="77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1008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0"/>
        <w:gridCol w:w="3460"/>
        <w:gridCol w:w="3460"/>
      </w:tblGrid>
      <w:tr>
        <w:trPr>
          <w:trHeight w:hRule="exact" w:val="776"/>
        </w:trPr>
        <w:tc>
          <w:tcPr>
            <w:tcW w:type="dxa" w:w="222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12" w:after="0"/>
              <w:ind w:left="78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3.6.3</w:t>
            </w:r>
          </w:p>
        </w:tc>
        <w:tc>
          <w:tcPr>
            <w:tcW w:type="dxa" w:w="246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26" w:after="0"/>
              <w:ind w:left="0" w:right="316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3.6.4. </w:t>
            </w:r>
          </w:p>
        </w:tc>
        <w:tc>
          <w:tcPr>
            <w:tcW w:type="dxa" w:w="568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12" w:after="0"/>
              <w:ind w:left="31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Incidencias y acciones correctivas principales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2595"/>
        <w:gridCol w:w="2595"/>
        <w:gridCol w:w="2595"/>
        <w:gridCol w:w="2595"/>
      </w:tblGrid>
      <w:tr>
        <w:trPr>
          <w:trHeight w:hRule="exact" w:val="770"/>
        </w:trPr>
        <w:tc>
          <w:tcPr>
            <w:tcW w:type="dxa" w:w="2068"/>
            <w:tcBorders>
              <w:end w:sz="3.2000000000000455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Ticket / Fecha</w:t>
            </w:r>
          </w:p>
        </w:tc>
        <w:tc>
          <w:tcPr>
            <w:tcW w:type="dxa" w:w="2924"/>
            <w:tcBorders>
              <w:start w:sz="3.2000000000000455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Descripción</w:t>
            </w:r>
          </w:p>
        </w:tc>
        <w:tc>
          <w:tcPr>
            <w:tcW w:type="dxa" w:w="2700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Acción ejecutada</w:t>
            </w:r>
          </w:p>
        </w:tc>
        <w:tc>
          <w:tcPr>
            <w:tcW w:type="dxa" w:w="2366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Resultado</w:t>
            </w:r>
          </w:p>
        </w:tc>
      </w:tr>
      <w:tr>
        <w:trPr>
          <w:trHeight w:hRule="exact" w:val="1890"/>
        </w:trPr>
        <w:tc>
          <w:tcPr>
            <w:tcW w:type="dxa" w:w="2068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0" w:after="342"/>
              <w:ind w:left="12" w:right="28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GLPI #849716 –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08nov-2024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68"/>
            </w:tblGrid>
            <w:tr>
              <w:trPr>
                <w:trHeight w:hRule="exact" w:val="736"/>
              </w:trPr>
              <w:tc>
                <w:tcPr>
                  <w:tcW w:type="dxa" w:w="2060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92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Ticket / Fecha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24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0" w:after="342"/>
              <w:ind w:left="12" w:right="576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SAP deja de notificar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cambios de materiales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341" w:type="dxa"/>
            </w:tblPr>
            <w:tblGrid>
              <w:gridCol w:w="2924"/>
            </w:tblGrid>
            <w:tr>
              <w:trPr>
                <w:trHeight w:hRule="exact" w:val="736"/>
              </w:trPr>
              <w:tc>
                <w:tcPr>
                  <w:tcW w:type="dxa" w:w="2910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92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Descripción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126" w:after="188"/>
              <w:ind w:left="10" w:right="28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Análisis raíz: parada de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MANECNET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3179" w:type="dxa"/>
            </w:tblPr>
            <w:tblGrid>
              <w:gridCol w:w="2700"/>
            </w:tblGrid>
            <w:tr>
              <w:trPr>
                <w:trHeight w:hRule="exact" w:val="736"/>
              </w:trPr>
              <w:tc>
                <w:tcPr>
                  <w:tcW w:type="dxa" w:w="2692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92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Acción ejecutada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6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126" w:after="188"/>
              <w:ind w:left="12" w:right="144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Migración decidida a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MASERVF9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66"/>
            </w:tblGrid>
            <w:tr>
              <w:trPr>
                <w:trHeight w:hRule="exact" w:val="736"/>
              </w:trPr>
              <w:tc>
                <w:tcPr>
                  <w:tcW w:type="dxa" w:w="2354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92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Resultado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24"/>
        </w:trPr>
        <w:tc>
          <w:tcPr>
            <w:tcW w:type="dxa" w:w="2068"/>
            <w:tcBorders>
              <w:start w:sz="4.0" w:val="single" w:color="#5B9AD4"/>
              <w:top w:sz="4.0" w:val="single" w:color="#5B9AD4"/>
              <w:end w:sz="3.2000000000000455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8" w:after="0"/>
              <w:ind w:left="12" w:right="28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GLPI #856409 –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26nov-2024 </w:t>
            </w:r>
          </w:p>
        </w:tc>
        <w:tc>
          <w:tcPr>
            <w:tcW w:type="dxa" w:w="2924"/>
            <w:tcBorders>
              <w:start w:sz="3.2000000000000455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116" w:after="0"/>
              <w:ind w:left="12" w:right="72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Timeout MASERVF9 </w:t>
            </w:r>
            <w:r>
              <w:rPr>
                <w:w w:val="102.05118279708059"/>
                <w:rFonts w:ascii="CIDFont+F2" w:hAnsi="CIDFont+F2" w:eastAsia="CIDFont+F2"/>
                <w:b w:val="0"/>
                <w:i w:val="0"/>
                <w:color w:val="404040"/>
                <w:sz w:val="19"/>
              </w:rPr>
              <w:t>→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HOSTDB2 </w:t>
            </w:r>
          </w:p>
        </w:tc>
        <w:tc>
          <w:tcPr>
            <w:tcW w:type="dxa" w:w="2700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8" w:after="0"/>
              <w:ind w:left="1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Fijar puerto SQL en 1452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y reiniciar DSN </w:t>
            </w:r>
          </w:p>
        </w:tc>
        <w:tc>
          <w:tcPr>
            <w:tcW w:type="dxa" w:w="236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8" w:after="0"/>
              <w:ind w:left="12" w:right="28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Conectividad </w:t>
            </w:r>
            <w:r>
              <w:br/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restablecida 27-nov </w:t>
            </w:r>
          </w:p>
        </w:tc>
      </w:tr>
      <w:tr>
        <w:trPr>
          <w:trHeight w:hRule="exact" w:val="1122"/>
        </w:trPr>
        <w:tc>
          <w:tcPr>
            <w:tcW w:type="dxa" w:w="2068"/>
            <w:tcBorders>
              <w:start w:sz="4.0" w:val="single" w:color="#5B9AD4"/>
              <w:top w:sz="3.199999999999818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74" w:after="0"/>
              <w:ind w:left="12" w:right="28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GLPI #857752 –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29nov-2024 </w:t>
            </w:r>
          </w:p>
        </w:tc>
        <w:tc>
          <w:tcPr>
            <w:tcW w:type="dxa" w:w="2924"/>
            <w:tcBorders>
              <w:start w:sz="3.2000000000000455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22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Access Denied desde SAP PO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(P9P) </w:t>
            </w:r>
          </w:p>
        </w:tc>
        <w:tc>
          <w:tcPr>
            <w:tcW w:type="dxa" w:w="2700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74" w:after="0"/>
              <w:ind w:left="10" w:right="432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Apertura reglas FW y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validación SOAP-UI </w:t>
            </w:r>
          </w:p>
        </w:tc>
        <w:tc>
          <w:tcPr>
            <w:tcW w:type="dxa" w:w="236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74" w:after="0"/>
              <w:ind w:left="12" w:right="432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Error 500 resuelto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13dic 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60"/>
        <w:gridCol w:w="3460"/>
        <w:gridCol w:w="3460"/>
      </w:tblGrid>
      <w:tr>
        <w:trPr>
          <w:trHeight w:hRule="exact" w:val="446"/>
        </w:trPr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3.6.4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438" w:right="0" w:firstLine="0"/>
              <w:jc w:val="lef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3.6.5. </w:t>
            </w: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Lecciones aprendidas y recomendaciones </w:t>
            </w:r>
          </w:p>
        </w:tc>
      </w:tr>
      <w:tr>
        <w:trPr>
          <w:trHeight w:hRule="exact" w:val="48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0" w:after="0"/>
              <w:ind w:left="0" w:right="118" w:firstLine="0"/>
              <w:jc w:val="right"/>
            </w:pP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9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38" w:after="0"/>
              <w:ind w:left="136" w:right="0" w:firstLine="0"/>
              <w:jc w:val="left"/>
            </w:pPr>
            <w:r>
              <w:rPr>
                <w:w w:val="101.57046940015711"/>
                <w:rFonts w:ascii="CIDFont+F11" w:hAnsi="CIDFont+F11" w:eastAsia="CIDFont+F11"/>
                <w:b w:val="0"/>
                <w:i w:val="0"/>
                <w:color w:val="404040"/>
                <w:sz w:val="23"/>
              </w:rPr>
              <w:t>Documentar exhaustivamente las dependencias de puertos SQL, evitando asignaciones dinámicas.</w:t>
            </w:r>
          </w:p>
        </w:tc>
      </w:tr>
      <w:tr>
        <w:trPr>
          <w:trHeight w:hRule="exact" w:val="4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4" w:after="0"/>
              <w:ind w:left="0" w:right="118" w:firstLine="0"/>
              <w:jc w:val="right"/>
            </w:pP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9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2" w:after="0"/>
              <w:ind w:left="136" w:right="0" w:firstLine="0"/>
              <w:jc w:val="left"/>
            </w:pPr>
            <w:r>
              <w:rPr>
                <w:w w:val="101.57046940015711"/>
                <w:rFonts w:ascii="CIDFont+F11" w:hAnsi="CIDFont+F11" w:eastAsia="CIDFont+F11"/>
                <w:b w:val="0"/>
                <w:i w:val="0"/>
                <w:color w:val="404040"/>
                <w:sz w:val="23"/>
              </w:rPr>
              <w:t>Validar cambios en entornos espejo o pre-producción antes de desactivar sistemas legados.</w:t>
            </w:r>
          </w:p>
        </w:tc>
      </w:tr>
      <w:tr>
        <w:trPr>
          <w:trHeight w:hRule="exact" w:val="48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72" w:after="0"/>
              <w:ind w:left="0" w:right="118" w:firstLine="0"/>
              <w:jc w:val="right"/>
            </w:pP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9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32" w:after="0"/>
              <w:ind w:left="136" w:right="0" w:firstLine="0"/>
              <w:jc w:val="left"/>
            </w:pPr>
            <w:r>
              <w:rPr>
                <w:w w:val="101.57046940015711"/>
                <w:rFonts w:ascii="CIDFont+F11" w:hAnsi="CIDFont+F11" w:eastAsia="CIDFont+F11"/>
                <w:b w:val="0"/>
                <w:i w:val="0"/>
                <w:color w:val="404040"/>
                <w:sz w:val="23"/>
              </w:rPr>
              <w:t>Automatizar pruebas E2E (SOAP-UI CLI + SQL ping) tras cada modificación infraestructural.</w:t>
            </w:r>
          </w:p>
        </w:tc>
      </w:tr>
      <w:tr>
        <w:trPr>
          <w:trHeight w:hRule="exact" w:val="41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36" w:after="0"/>
              <w:ind w:left="0" w:right="118" w:firstLine="0"/>
              <w:jc w:val="right"/>
            </w:pP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9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6" w:after="0"/>
              <w:ind w:left="136" w:right="0" w:firstLine="0"/>
              <w:jc w:val="left"/>
            </w:pPr>
            <w:r>
              <w:rPr>
                <w:w w:val="101.57046940015711"/>
                <w:rFonts w:ascii="CIDFont+F11" w:hAnsi="CIDFont+F11" w:eastAsia="CIDFont+F11"/>
                <w:b w:val="0"/>
                <w:i w:val="0"/>
                <w:color w:val="404040"/>
                <w:sz w:val="23"/>
              </w:rPr>
              <w:t>Configurar alertas Centreon para códigos HTTP 5xx en el servicio NecoraWebIntegrator.</w:t>
            </w:r>
          </w:p>
        </w:tc>
      </w:tr>
    </w:tbl>
    <w:p>
      <w:pPr>
        <w:autoSpaceDN w:val="0"/>
        <w:autoSpaceDE w:val="0"/>
        <w:widowControl/>
        <w:spacing w:line="236" w:lineRule="exact" w:before="3568" w:after="0"/>
        <w:ind w:left="0" w:right="1804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24 </w:t>
      </w:r>
    </w:p>
    <w:p>
      <w:pPr>
        <w:sectPr>
          <w:pgSz w:w="11906" w:h="16838"/>
          <w:pgMar w:top="1008" w:right="648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1286510</wp:posOffset>
            </wp:positionH>
            <wp:positionV relativeFrom="page">
              <wp:posOffset>892810</wp:posOffset>
            </wp:positionV>
            <wp:extent cx="8423910" cy="971257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23910" cy="9712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88" w:val="left"/>
        </w:tabs>
        <w:autoSpaceDE w:val="0"/>
        <w:pStyle w:val="Heading1"/>
        <w:widowControl/>
        <w:spacing w:line="236" w:lineRule="exact" w:before="0" w:after="0"/>
        <w:ind w:left="964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568" w:lineRule="exact" w:before="1238" w:after="0"/>
        <w:ind w:left="676" w:right="0" w:firstLine="0"/>
        <w:jc w:val="left"/>
      </w:pPr>
      <w:r>
        <w:rPr>
          <w:rFonts w:ascii="CIDFont+F1" w:hAnsi="CIDFont+F1" w:eastAsia="CIDFont+F1"/>
          <w:b w:val="0"/>
          <w:i w:val="0"/>
          <w:color w:val="144080"/>
          <w:sz w:val="47"/>
        </w:rPr>
        <w:t>4</w:t>
      </w:r>
      <w:r>
        <w:rPr>
          <w:rFonts w:ascii="CIDFont+F1" w:hAnsi="CIDFont+F1" w:eastAsia="CIDFont+F1"/>
          <w:b w:val="0"/>
          <w:i w:val="0"/>
          <w:color w:val="144080"/>
          <w:sz w:val="47"/>
        </w:rPr>
        <w:t xml:space="preserve">4. Arquitectura funcional del flujo F100 </w:t>
      </w:r>
    </w:p>
    <w:p>
      <w:pPr>
        <w:autoSpaceDN w:val="0"/>
        <w:autoSpaceDE w:val="0"/>
        <w:widowControl/>
        <w:spacing w:line="240" w:lineRule="auto" w:before="32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360409" cy="362711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60409" cy="362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980" w:right="1440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795020</wp:posOffset>
            </wp:positionV>
            <wp:extent cx="6459220" cy="971264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9220" cy="97126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80" w:val="left"/>
        </w:tabs>
        <w:autoSpaceDE w:val="0"/>
        <w:pStyle w:val="Heading1"/>
        <w:widowControl/>
        <w:spacing w:line="234" w:lineRule="exact" w:before="0" w:after="0"/>
        <w:ind w:left="6058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Ref. Doc Tec 202505</w:t>
      </w:r>
    </w:p>
    <w:p>
      <w:pPr>
        <w:autoSpaceDN w:val="0"/>
        <w:autoSpaceDE w:val="0"/>
        <w:widowControl/>
        <w:spacing w:line="354" w:lineRule="exact" w:before="1232" w:after="0"/>
        <w:ind w:left="92" w:right="130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flujo funcional denominado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F100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constituye el núcleo del proceso de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carga estructurada de datos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de obras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en el ecosistema de bases de datos de Navantia. Esta arquitectura permite la integración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coordinada de información procedente de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SAP, ECADAT y sistemas legados (DB2/VSAM)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hacia las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bases de datos funcionales del entorno AWD, aplicando reglas de negocio, validaciones y consolidación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por país o cliente final. </w:t>
      </w:r>
    </w:p>
    <w:p>
      <w:pPr>
        <w:autoSpaceDN w:val="0"/>
        <w:autoSpaceDE w:val="0"/>
        <w:widowControl/>
        <w:spacing w:line="236" w:lineRule="exact" w:before="39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esquema general de F100 está compuesto por las siguientes fases y componentes: </w:t>
      </w:r>
    </w:p>
    <w:p>
      <w:pPr>
        <w:autoSpaceDN w:val="0"/>
        <w:tabs>
          <w:tab w:pos="2254" w:val="left"/>
        </w:tabs>
        <w:autoSpaceDE w:val="0"/>
        <w:widowControl/>
        <w:spacing w:line="376" w:lineRule="exact" w:before="478" w:after="0"/>
        <w:ind w:left="78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4.1 </w:t>
      </w:r>
      <w:r>
        <w:tab/>
      </w:r>
      <w:r>
        <w:rPr>
          <w:rFonts w:ascii="CIDFont+F6" w:hAnsi="CIDFont+F6" w:eastAsia="CIDFont+F6"/>
          <w:b w:val="0"/>
          <w:i w:val="0"/>
          <w:color w:val="0095A4"/>
          <w:sz w:val="31"/>
        </w:rPr>
        <w:t xml:space="preserve">4.1. </w:t>
      </w: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 Origen de datos </w:t>
      </w:r>
    </w:p>
    <w:p>
      <w:pPr>
        <w:autoSpaceDN w:val="0"/>
        <w:autoSpaceDE w:val="0"/>
        <w:widowControl/>
        <w:spacing w:line="236" w:lineRule="exact" w:before="25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Los datos de obra se generan en distintos sistemas fuente: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39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SAP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estructura técnica y materiales asociados.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ECADAT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catálogos de elementos constructivos. </w:t>
      </w:r>
    </w:p>
    <w:p>
      <w:pPr>
        <w:autoSpaceDN w:val="0"/>
        <w:tabs>
          <w:tab w:pos="778" w:val="left"/>
        </w:tabs>
        <w:autoSpaceDE w:val="0"/>
        <w:widowControl/>
        <w:spacing w:line="406" w:lineRule="exact" w:before="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DB2/VSAM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y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Necora Negro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datos heredados, consolidados en Mirror DB2/SAM para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compatibilidad. </w:t>
      </w:r>
    </w:p>
    <w:p>
      <w:pPr>
        <w:autoSpaceDN w:val="0"/>
        <w:autoSpaceDE w:val="0"/>
        <w:widowControl/>
        <w:spacing w:line="356" w:lineRule="exact" w:before="268" w:after="838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Estos datos se integran inicialmente en bases intermedias como New PRYC, PRYC, GDoc o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Necor@ECADAT.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55"/>
        <w:gridCol w:w="3455"/>
        <w:gridCol w:w="3455"/>
      </w:tblGrid>
      <w:tr>
        <w:trPr>
          <w:trHeight w:hRule="exact" w:val="49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60" w:after="0"/>
              <w:ind w:left="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>4.2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62" w:after="0"/>
              <w:ind w:left="0" w:right="228" w:firstLine="0"/>
              <w:jc w:val="right"/>
            </w:pPr>
            <w:r>
              <w:rPr>
                <w:rFonts w:ascii="CIDFont+F6" w:hAnsi="CIDFont+F6" w:eastAsia="CIDFont+F6"/>
                <w:b w:val="0"/>
                <w:i w:val="0"/>
                <w:color w:val="0095A4"/>
                <w:sz w:val="31"/>
              </w:rPr>
              <w:t xml:space="preserve">4.2. 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60" w:after="0"/>
              <w:ind w:left="25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Interfaces de carga principales </w:t>
            </w:r>
          </w:p>
        </w:tc>
      </w:tr>
    </w:tbl>
    <w:p>
      <w:pPr>
        <w:autoSpaceDN w:val="0"/>
        <w:autoSpaceDE w:val="0"/>
        <w:widowControl/>
        <w:spacing w:line="260" w:lineRule="exact" w:before="200" w:after="196"/>
        <w:ind w:left="86" w:right="0" w:firstLine="0"/>
        <w:jc w:val="left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Las dos cargas operativas clave son: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3455"/>
        <w:gridCol w:w="3455"/>
        <w:gridCol w:w="3455"/>
      </w:tblGrid>
      <w:tr>
        <w:trPr>
          <w:trHeight w:hRule="exact" w:val="774"/>
        </w:trPr>
        <w:tc>
          <w:tcPr>
            <w:tcW w:type="dxa" w:w="1444"/>
            <w:tcBorders>
              <w:start w:sz="4.0" w:val="single" w:color="#5B9AD4"/>
              <w:end w:sz="3.2000000000000455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4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Job</w:t>
            </w:r>
          </w:p>
        </w:tc>
        <w:tc>
          <w:tcPr>
            <w:tcW w:type="dxa" w:w="4468"/>
            <w:tcBorders>
              <w:start w:sz="3.2000000000000455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4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Instancia</w:t>
            </w:r>
          </w:p>
        </w:tc>
        <w:tc>
          <w:tcPr>
            <w:tcW w:type="dxa" w:w="4146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4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Descripción</w:t>
            </w:r>
          </w:p>
        </w:tc>
      </w:tr>
      <w:tr>
        <w:trPr>
          <w:trHeight w:hRule="exact" w:val="1102"/>
        </w:trPr>
        <w:tc>
          <w:tcPr>
            <w:tcW w:type="dxa" w:w="1444"/>
            <w:tcBorders>
              <w:start w:sz="4.0" w:val="single" w:color="#5B9AD4"/>
              <w:top w:sz="4.0" w:val="single" w:color="#5B9AD4"/>
              <w:end w:sz="3.2000000000000455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236" w:lineRule="exact" w:before="292" w:after="0"/>
              <w:ind w:left="16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 xml:space="preserve">Job </w:t>
            </w:r>
            <w:r>
              <w:tab/>
            </w: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 xml:space="preserve">21: </w:t>
            </w:r>
          </w:p>
          <w:p>
            <w:pPr>
              <w:autoSpaceDN w:val="0"/>
              <w:autoSpaceDE w:val="0"/>
              <w:widowControl/>
              <w:spacing w:line="236" w:lineRule="exact" w:before="16" w:after="0"/>
              <w:ind w:left="16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Carga</w:t>
            </w:r>
          </w:p>
        </w:tc>
        <w:tc>
          <w:tcPr>
            <w:tcW w:type="dxa" w:w="4468"/>
            <w:tcBorders>
              <w:start w:sz="3.2000000000000455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8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 xml:space="preserve"> </w:t>
            </w:r>
            <w:r>
              <w:rPr>
                <w:w w:val="102.05118279708059"/>
                <w:rFonts w:ascii="CIDFont+F8" w:hAnsi="CIDFont+F8" w:eastAsia="CIDFont+F8"/>
                <w:b w:val="0"/>
                <w:i w:val="0"/>
                <w:color w:val="404040"/>
                <w:sz w:val="19"/>
              </w:rPr>
              <w:t>MASQL20142\NECORANET.InterfacesAWD_PEC</w:t>
            </w:r>
          </w:p>
        </w:tc>
        <w:tc>
          <w:tcPr>
            <w:tcW w:type="dxa" w:w="414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" w:val="left"/>
              </w:tabs>
              <w:autoSpaceDE w:val="0"/>
              <w:widowControl/>
              <w:spacing w:line="252" w:lineRule="exact" w:before="276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Integra información desde SAP, ECADAT y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PRYC. Aplica validaciones iniciales.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904" w:right="664" w:bottom="1392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1006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1090"/>
        <w:ind w:left="0" w:right="1110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3455"/>
        <w:gridCol w:w="3455"/>
        <w:gridCol w:w="3455"/>
      </w:tblGrid>
      <w:tr>
        <w:trPr>
          <w:trHeight w:hRule="exact" w:val="1578"/>
        </w:trPr>
        <w:tc>
          <w:tcPr>
            <w:tcW w:type="dxa" w:w="1444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236" w:lineRule="exact" w:before="294" w:after="0"/>
              <w:ind w:left="16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 xml:space="preserve">Job </w:t>
            </w:r>
            <w:r>
              <w:tab/>
            </w: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 xml:space="preserve">22: </w:t>
            </w:r>
          </w:p>
          <w:p>
            <w:pPr>
              <w:autoSpaceDN w:val="0"/>
              <w:autoSpaceDE w:val="0"/>
              <w:widowControl/>
              <w:spacing w:line="236" w:lineRule="exact" w:before="18" w:after="0"/>
              <w:ind w:left="16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Carga</w:t>
            </w:r>
          </w:p>
          <w:p>
            <w:pPr>
              <w:autoSpaceDN w:val="0"/>
              <w:autoSpaceDE w:val="0"/>
              <w:widowControl/>
              <w:spacing w:line="236" w:lineRule="exact" w:before="318" w:after="0"/>
              <w:ind w:left="0" w:right="486" w:firstLine="0"/>
              <w:jc w:val="righ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Job</w:t>
            </w:r>
          </w:p>
        </w:tc>
        <w:tc>
          <w:tcPr>
            <w:tcW w:type="dxa" w:w="4468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" w:val="left"/>
              </w:tabs>
              <w:autoSpaceDE w:val="0"/>
              <w:widowControl/>
              <w:spacing w:line="254" w:lineRule="exact" w:before="276" w:after="0"/>
              <w:ind w:left="0" w:right="2304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 xml:space="preserve"> </w:t>
            </w:r>
            <w:r>
              <w:br/>
            </w:r>
            <w:r>
              <w:rPr>
                <w:w w:val="102.05118279708059"/>
                <w:rFonts w:ascii="CIDFont+F8" w:hAnsi="CIDFont+F8" w:eastAsia="CIDFont+F8"/>
                <w:b w:val="0"/>
                <w:i w:val="0"/>
                <w:color w:val="404040"/>
                <w:sz w:val="19"/>
              </w:rPr>
              <w:t>NAILInterfacesAWD</w:t>
            </w:r>
          </w:p>
          <w:p>
            <w:pPr>
              <w:autoSpaceDN w:val="0"/>
              <w:autoSpaceDE w:val="0"/>
              <w:widowControl/>
              <w:spacing w:line="236" w:lineRule="exact" w:before="318" w:after="0"/>
              <w:ind w:left="0" w:right="1668" w:firstLine="0"/>
              <w:jc w:val="righ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Instancia</w:t>
            </w:r>
          </w:p>
        </w:tc>
        <w:tc>
          <w:tcPr>
            <w:tcW w:type="dxa" w:w="41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6" w:after="0"/>
              <w:ind w:left="18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Permite mantener consistencia en el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modelo </w:t>
            </w:r>
          </w:p>
          <w:p>
            <w:pPr>
              <w:autoSpaceDN w:val="0"/>
              <w:autoSpaceDE w:val="0"/>
              <w:widowControl/>
              <w:spacing w:line="236" w:lineRule="exact" w:before="318" w:after="0"/>
              <w:ind w:left="0" w:right="1386" w:firstLine="0"/>
              <w:jc w:val="righ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Descripción</w:t>
            </w:r>
          </w:p>
        </w:tc>
      </w:tr>
      <w:tr>
        <w:trPr>
          <w:trHeight w:hRule="exact" w:val="768"/>
        </w:trPr>
        <w:tc>
          <w:tcPr>
            <w:tcW w:type="dxa" w:w="1444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0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Nail PEC</w:t>
            </w:r>
          </w:p>
        </w:tc>
        <w:tc>
          <w:tcPr>
            <w:tcW w:type="dxa" w:w="4468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PEC, especializado para entornos AWD. </w:t>
            </w:r>
          </w:p>
        </w:tc>
      </w:tr>
    </w:tbl>
    <w:p>
      <w:pPr>
        <w:autoSpaceDN w:val="0"/>
        <w:autoSpaceDE w:val="0"/>
        <w:widowControl/>
        <w:spacing w:line="236" w:lineRule="exact" w:before="15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Ambos jobs están planificados como procesos automáticos, bajo SQL Agent, con control de errores y </w:t>
      </w:r>
    </w:p>
    <w:p>
      <w:pPr>
        <w:autoSpaceDN w:val="0"/>
        <w:autoSpaceDE w:val="0"/>
        <w:widowControl/>
        <w:spacing w:line="236" w:lineRule="exact" w:before="114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trazabilidad mediante logs. </w:t>
      </w:r>
    </w:p>
    <w:p>
      <w:pPr>
        <w:autoSpaceDN w:val="0"/>
        <w:tabs>
          <w:tab w:pos="3492" w:val="left"/>
        </w:tabs>
        <w:autoSpaceDE w:val="0"/>
        <w:widowControl/>
        <w:spacing w:line="378" w:lineRule="exact" w:before="902" w:after="0"/>
        <w:ind w:left="78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4.3 </w:t>
      </w:r>
      <w:r>
        <w:tab/>
      </w:r>
      <w:r>
        <w:rPr>
          <w:rFonts w:ascii="CIDFont+F6" w:hAnsi="CIDFont+F6" w:eastAsia="CIDFont+F6"/>
          <w:b w:val="0"/>
          <w:i w:val="0"/>
          <w:color w:val="0095A4"/>
          <w:sz w:val="31"/>
        </w:rPr>
        <w:t xml:space="preserve">4.3. </w:t>
      </w: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Reglas de negocio y transformación </w:t>
      </w:r>
    </w:p>
    <w:p>
      <w:pPr>
        <w:autoSpaceDN w:val="0"/>
        <w:autoSpaceDE w:val="0"/>
        <w:widowControl/>
        <w:spacing w:line="234" w:lineRule="exact" w:before="252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Previo al volcado en bases finales, los datos pasan por un proceso de validación y enriquecimiento </w:t>
      </w:r>
    </w:p>
    <w:p>
      <w:pPr>
        <w:autoSpaceDN w:val="0"/>
        <w:autoSpaceDE w:val="0"/>
        <w:widowControl/>
        <w:spacing w:line="236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>definido como “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MD. Aplica Reglas de Negocio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”, que se ejecuta en: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35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MASQL2014\SQLTURK (Turquía)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NORUEGAS (Noruega)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AWD V 1.0 y AWD V 2.0 (clientes internos y externos) </w:t>
      </w:r>
    </w:p>
    <w:p>
      <w:pPr>
        <w:autoSpaceDN w:val="0"/>
        <w:autoSpaceDE w:val="0"/>
        <w:widowControl/>
        <w:spacing w:line="236" w:lineRule="exact" w:before="422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Estas reglas comprueban la consistencia estructural, claves maestras, relaciones válidas y codificación </w:t>
      </w:r>
    </w:p>
    <w:p>
      <w:pPr>
        <w:autoSpaceDN w:val="0"/>
        <w:autoSpaceDE w:val="0"/>
        <w:widowControl/>
        <w:spacing w:line="236" w:lineRule="exact" w:before="1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campos técnicos. En el esquema se identifican claramente los puntos donde se aplican dichas reglas </w:t>
      </w:r>
    </w:p>
    <w:p>
      <w:pPr>
        <w:autoSpaceDN w:val="0"/>
        <w:autoSpaceDE w:val="0"/>
        <w:widowControl/>
        <w:spacing w:line="236" w:lineRule="exact" w:before="116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en rojo (“Aplica Reglas de Negocio AWD”). </w:t>
      </w:r>
    </w:p>
    <w:p>
      <w:pPr>
        <w:autoSpaceDN w:val="0"/>
        <w:tabs>
          <w:tab w:pos="3552" w:val="left"/>
        </w:tabs>
        <w:autoSpaceDE w:val="0"/>
        <w:widowControl/>
        <w:spacing w:line="378" w:lineRule="exact" w:before="902" w:after="0"/>
        <w:ind w:left="78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4.4 </w:t>
      </w:r>
      <w:r>
        <w:tab/>
      </w:r>
      <w:r>
        <w:rPr>
          <w:rFonts w:ascii="CIDFont+F6" w:hAnsi="CIDFont+F6" w:eastAsia="CIDFont+F6"/>
          <w:b w:val="0"/>
          <w:i w:val="0"/>
          <w:color w:val="0095A4"/>
          <w:sz w:val="31"/>
        </w:rPr>
        <w:t xml:space="preserve">4.4. </w:t>
      </w: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Consolidación y publicación de datos </w:t>
      </w:r>
    </w:p>
    <w:p>
      <w:pPr>
        <w:autoSpaceDN w:val="0"/>
        <w:autoSpaceDE w:val="0"/>
        <w:widowControl/>
        <w:spacing w:line="234" w:lineRule="exact" w:before="252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objeto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PDB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actúa como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centro de consolidación lógico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recogiendo la información filtrada y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estructurada desde Interfaces HOST_AWD_PEC y Necor@Net. Desde este punto, se redistribuye a los </w:t>
      </w:r>
    </w:p>
    <w:p>
      <w:pPr>
        <w:autoSpaceDN w:val="0"/>
        <w:autoSpaceDE w:val="0"/>
        <w:widowControl/>
        <w:spacing w:line="236" w:lineRule="exact" w:before="116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entornos de destino: </w:t>
      </w:r>
    </w:p>
    <w:p>
      <w:pPr>
        <w:autoSpaceDN w:val="0"/>
        <w:autoSpaceDE w:val="0"/>
        <w:widowControl/>
        <w:spacing w:line="236" w:lineRule="exact" w:before="1020" w:after="0"/>
        <w:ind w:left="0" w:right="1788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27 </w:t>
      </w:r>
    </w:p>
    <w:p>
      <w:pPr>
        <w:sectPr>
          <w:pgSz w:w="11906" w:h="16838"/>
          <w:pgMar w:top="1008" w:right="664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1130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648"/>
        <w:ind w:left="0" w:right="1234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726"/>
        </w:trPr>
        <w:tc>
          <w:tcPr>
            <w:tcW w:type="dxa" w:w="64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2" w:after="0"/>
              <w:ind w:left="0" w:right="118" w:firstLine="0"/>
              <w:jc w:val="right"/>
            </w:pP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823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14" w:after="0"/>
              <w:ind w:left="136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InterfacesAWD </w:t>
            </w:r>
          </w:p>
        </w:tc>
      </w:tr>
    </w:tbl>
    <w:p>
      <w:pPr>
        <w:autoSpaceDN w:val="0"/>
        <w:tabs>
          <w:tab w:pos="778" w:val="left"/>
        </w:tabs>
        <w:autoSpaceDE w:val="0"/>
        <w:widowControl/>
        <w:spacing w:line="234" w:lineRule="exact" w:before="10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InterfacesAWD.EEA5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FESRVAD02.ESS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MA SQL20221\SQLTURK y \SQLNORWAY </w:t>
      </w:r>
    </w:p>
    <w:p>
      <w:pPr>
        <w:autoSpaceDN w:val="0"/>
        <w:autoSpaceDE w:val="0"/>
        <w:widowControl/>
        <w:spacing w:line="236" w:lineRule="exact" w:before="4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Estas instancias están diseñadas para soportar entornos funcionales, pruebas, publicaciones a clientes </w:t>
      </w:r>
    </w:p>
    <w:p>
      <w:pPr>
        <w:autoSpaceDN w:val="0"/>
        <w:autoSpaceDE w:val="0"/>
        <w:widowControl/>
        <w:spacing w:line="236" w:lineRule="exact" w:before="120" w:after="608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externos o acceso desde plataformas como Power BI.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96"/>
        <w:gridCol w:w="3496"/>
        <w:gridCol w:w="3496"/>
      </w:tblGrid>
      <w:tr>
        <w:trPr>
          <w:trHeight w:hRule="exact" w:val="38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>4.4.1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2" w:after="0"/>
              <w:ind w:left="0" w:right="164" w:firstLine="0"/>
              <w:jc w:val="right"/>
            </w:pPr>
            <w:r>
              <w:rPr>
                <w:w w:val="101.57046940015711"/>
                <w:rFonts w:ascii="CIDFont+F4" w:hAnsi="CIDFont+F4" w:eastAsia="CIDFont+F4"/>
                <w:b w:val="0"/>
                <w:i w:val="0"/>
                <w:color w:val="144080"/>
                <w:sz w:val="23"/>
              </w:rPr>
              <w:t xml:space="preserve">4.4.1.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w w:val="101.57046940015711"/>
                <w:rFonts w:ascii="CIDFont+F1" w:hAnsi="CIDFont+F1" w:eastAsia="CIDFont+F1"/>
                <w:b w:val="0"/>
                <w:i w:val="0"/>
                <w:color w:val="144080"/>
                <w:sz w:val="23"/>
              </w:rPr>
              <w:t xml:space="preserve">Integración ampliada del modelo </w:t>
            </w:r>
          </w:p>
        </w:tc>
      </w:tr>
    </w:tbl>
    <w:p>
      <w:pPr>
        <w:autoSpaceDN w:val="0"/>
        <w:autoSpaceDE w:val="0"/>
        <w:widowControl/>
        <w:spacing w:line="296" w:lineRule="exact" w:before="36" w:after="0"/>
        <w:ind w:left="78" w:right="0" w:firstLine="0"/>
        <w:jc w:val="left"/>
      </w:pP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funcional – Foran </w:t>
      </w:r>
      <w:r>
        <w:rPr>
          <w:w w:val="101.57046940015711"/>
          <w:rFonts w:ascii="CIDFont+F3" w:hAnsi="CIDFont+F3" w:eastAsia="CIDFont+F3"/>
          <w:b w:val="0"/>
          <w:i w:val="0"/>
          <w:color w:val="144080"/>
          <w:sz w:val="23"/>
        </w:rPr>
        <w:t>&lt;-&gt;</w:t>
      </w:r>
      <w:r>
        <w:rPr>
          <w:w w:val="101.57046940015711"/>
          <w:rFonts w:ascii="CIDFont+F1" w:hAnsi="CIDFont+F1" w:eastAsia="CIDFont+F1"/>
          <w:b w:val="0"/>
          <w:i w:val="0"/>
          <w:color w:val="144080"/>
          <w:sz w:val="23"/>
        </w:rPr>
        <w:t xml:space="preserve"> Windchill &lt;-&gt; SAP </w:t>
      </w:r>
    </w:p>
    <w:p>
      <w:pPr>
        <w:autoSpaceDN w:val="0"/>
        <w:autoSpaceDE w:val="0"/>
        <w:widowControl/>
        <w:spacing w:line="234" w:lineRule="exact" w:before="406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Dentro del modelo operativo ampliado para entornos de Ingeniería, se ha establecido una arquitectura </w:t>
      </w:r>
    </w:p>
    <w:p>
      <w:pPr>
        <w:autoSpaceDN w:val="0"/>
        <w:autoSpaceDE w:val="0"/>
        <w:widowControl/>
        <w:spacing w:line="236" w:lineRule="exact" w:before="5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integración funcional entre los sistemas Foran, Windchill y SAP. Esta arquitectura automatiza la </w:t>
      </w:r>
    </w:p>
    <w:p>
      <w:pPr>
        <w:autoSpaceDN w:val="0"/>
        <w:autoSpaceDE w:val="0"/>
        <w:widowControl/>
        <w:spacing w:line="236" w:lineRule="exact" w:before="6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conversión, vinculación y sincronización de las estructuras de producto (EBOM/MBOM), documentos </w:t>
      </w:r>
    </w:p>
    <w:p>
      <w:pPr>
        <w:autoSpaceDN w:val="0"/>
        <w:autoSpaceDE w:val="0"/>
        <w:widowControl/>
        <w:spacing w:line="234" w:lineRule="exact" w:before="6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técnicos y órdenes planificadas, facilitando la trazabilidad y coherencia en todo el ciclo de vida del </w:t>
      </w:r>
    </w:p>
    <w:p>
      <w:pPr>
        <w:autoSpaceDN w:val="0"/>
        <w:autoSpaceDE w:val="0"/>
        <w:widowControl/>
        <w:spacing w:line="236" w:lineRule="exact" w:before="5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producto. </w:t>
      </w:r>
    </w:p>
    <w:p>
      <w:pPr>
        <w:autoSpaceDN w:val="0"/>
        <w:autoSpaceDE w:val="0"/>
        <w:widowControl/>
        <w:spacing w:line="234" w:lineRule="exact" w:before="326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flujo se articula en torno a los siguientes conceptos clave: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8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EBOM (Design View) y MBOM (Manufacturing View):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Generadas desde los módulos de Foran </w:t>
      </w:r>
    </w:p>
    <w:p>
      <w:pPr>
        <w:autoSpaceDN w:val="0"/>
        <w:autoSpaceDE w:val="0"/>
        <w:widowControl/>
        <w:spacing w:line="236" w:lineRule="exact" w:before="6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(FBUILDS, FDESIGN, FSYSD, FNEST), representan respectivamente la estructura de diseño y </w:t>
      </w:r>
    </w:p>
    <w:p>
      <w:pPr>
        <w:autoSpaceDN w:val="0"/>
        <w:autoSpaceDE w:val="0"/>
        <w:widowControl/>
        <w:spacing w:line="234" w:lineRule="exact" w:before="6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fabricación del producto.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Documentos IDD/IP: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Creación, gestión y aprobación dentro de Windchill, con trazabilidad </w:t>
      </w:r>
    </w:p>
    <w:p>
      <w:pPr>
        <w:autoSpaceDN w:val="0"/>
        <w:autoSpaceDE w:val="0"/>
        <w:widowControl/>
        <w:spacing w:line="234" w:lineRule="exact" w:before="60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detallada de revisiones y estados.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Publicación y vinculación automática: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Los materiales y documentos se publican desde Foran </w:t>
      </w:r>
    </w:p>
    <w:p>
      <w:pPr>
        <w:autoSpaceDN w:val="0"/>
        <w:autoSpaceDE w:val="0"/>
        <w:widowControl/>
        <w:spacing w:line="236" w:lineRule="exact" w:before="6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hacia Windchill, y posteriormente se sincronizan con SAP, garantizando la consistencia de la </w:t>
      </w:r>
    </w:p>
    <w:p>
      <w:pPr>
        <w:autoSpaceDN w:val="0"/>
        <w:autoSpaceDE w:val="0"/>
        <w:widowControl/>
        <w:spacing w:line="234" w:lineRule="exact" w:before="58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información.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Estructuras de planificación y órdenes previsionales: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Se transfieren a SAP (etapas OPrev1, </w:t>
      </w:r>
    </w:p>
    <w:p>
      <w:pPr>
        <w:autoSpaceDN w:val="0"/>
        <w:autoSpaceDE w:val="0"/>
        <w:widowControl/>
        <w:spacing w:line="234" w:lineRule="exact" w:before="60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OPrev2, OP1–OP6) para su ejecución y control en planta. </w:t>
      </w:r>
    </w:p>
    <w:p>
      <w:pPr>
        <w:autoSpaceDN w:val="0"/>
        <w:autoSpaceDE w:val="0"/>
        <w:widowControl/>
        <w:spacing w:line="236" w:lineRule="exact" w:before="324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Además, el modelo incluye: </w:t>
      </w:r>
    </w:p>
    <w:p>
      <w:pPr>
        <w:autoSpaceDN w:val="0"/>
        <w:autoSpaceDE w:val="0"/>
        <w:widowControl/>
        <w:spacing w:line="236" w:lineRule="exact" w:before="1056" w:after="0"/>
        <w:ind w:left="0" w:right="191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28 </w:t>
      </w:r>
    </w:p>
    <w:p>
      <w:pPr>
        <w:sectPr>
          <w:pgSz w:w="11906" w:h="16838"/>
          <w:pgMar w:top="1008" w:right="540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100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648"/>
        <w:ind w:left="0" w:right="1112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3"/>
        <w:gridCol w:w="5183"/>
      </w:tblGrid>
      <w:tr>
        <w:trPr>
          <w:trHeight w:hRule="exact" w:val="696"/>
        </w:trPr>
        <w:tc>
          <w:tcPr>
            <w:tcW w:type="dxa" w:w="64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2" w:after="0"/>
              <w:ind w:left="0" w:right="118" w:firstLine="0"/>
              <w:jc w:val="right"/>
            </w:pP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970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14" w:after="0"/>
              <w:ind w:left="136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Reglas de conversión: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Adaptadas a cada producto y tipo documental, para asegurar la correcta </w:t>
            </w:r>
          </w:p>
        </w:tc>
      </w:tr>
    </w:tbl>
    <w:p>
      <w:pPr>
        <w:autoSpaceDN w:val="0"/>
        <w:autoSpaceDE w:val="0"/>
        <w:widowControl/>
        <w:spacing w:line="234" w:lineRule="exact" w:before="14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transformación y mapeo entre sistemas.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Mecanismos de verificación: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Procesos ESI y MRP integrados en el momento de la sincronización </w:t>
      </w:r>
    </w:p>
    <w:p>
      <w:pPr>
        <w:autoSpaceDN w:val="0"/>
        <w:autoSpaceDE w:val="0"/>
        <w:widowControl/>
        <w:spacing w:line="234" w:lineRule="exact" w:before="62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 SAP, que validan la viabilidad técnica y de planificación.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Integración avanzada: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Control económico, subcontratación y gestión del cambio gestionados </w:t>
      </w:r>
    </w:p>
    <w:p>
      <w:pPr>
        <w:autoSpaceDN w:val="0"/>
        <w:autoSpaceDE w:val="0"/>
        <w:widowControl/>
        <w:spacing w:line="236" w:lineRule="exact" w:before="60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desde Windchill mediante ProjectLink, que asegura la coherencia administrativa y técnica. </w:t>
      </w:r>
    </w:p>
    <w:p>
      <w:pPr>
        <w:autoSpaceDN w:val="0"/>
        <w:autoSpaceDE w:val="0"/>
        <w:widowControl/>
        <w:spacing w:line="234" w:lineRule="exact" w:before="324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Este flujo representa el marco general para la automatización documental y de ingeniería, y es </w:t>
      </w:r>
    </w:p>
    <w:p>
      <w:pPr>
        <w:autoSpaceDN w:val="0"/>
        <w:autoSpaceDE w:val="0"/>
        <w:widowControl/>
        <w:spacing w:line="236" w:lineRule="exact" w:before="6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fundamental para comprender los orígenes, destinos y relaciones de la información técnica que alimenta </w:t>
      </w:r>
    </w:p>
    <w:p>
      <w:pPr>
        <w:autoSpaceDN w:val="0"/>
        <w:autoSpaceDE w:val="0"/>
        <w:widowControl/>
        <w:spacing w:line="234" w:lineRule="exact" w:before="60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ecosistema de bases de datos y reporting. </w:t>
      </w:r>
    </w:p>
    <w:p>
      <w:pPr>
        <w:autoSpaceDN w:val="0"/>
        <w:autoSpaceDE w:val="0"/>
        <w:widowControl/>
        <w:spacing w:line="240" w:lineRule="auto" w:before="212" w:after="1514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94450" cy="255142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5514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55"/>
        <w:gridCol w:w="3455"/>
        <w:gridCol w:w="3455"/>
      </w:tblGrid>
      <w:tr>
        <w:trPr>
          <w:trHeight w:hRule="exact" w:val="49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0" w:after="0"/>
              <w:ind w:left="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>4.5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62" w:after="0"/>
              <w:ind w:left="0" w:right="226" w:firstLine="0"/>
              <w:jc w:val="right"/>
            </w:pPr>
            <w:r>
              <w:rPr>
                <w:rFonts w:ascii="CIDFont+F6" w:hAnsi="CIDFont+F6" w:eastAsia="CIDFont+F6"/>
                <w:b w:val="0"/>
                <w:i w:val="0"/>
                <w:color w:val="0095A4"/>
                <w:sz w:val="31"/>
              </w:rPr>
              <w:t xml:space="preserve">4.5.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0" w:after="0"/>
              <w:ind w:left="23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Validación de calidad y revisión </w:t>
            </w:r>
          </w:p>
        </w:tc>
      </w:tr>
    </w:tbl>
    <w:p>
      <w:pPr>
        <w:autoSpaceDN w:val="0"/>
        <w:autoSpaceDE w:val="0"/>
        <w:widowControl/>
        <w:spacing w:line="236" w:lineRule="exact" w:before="196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>La arquitectura incorpora mecanismos explícitos de revisión, como el nodo “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Revisar calidad de datos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” </w:t>
      </w:r>
    </w:p>
    <w:p>
      <w:pPr>
        <w:autoSpaceDN w:val="0"/>
        <w:autoSpaceDE w:val="0"/>
        <w:widowControl/>
        <w:spacing w:line="236" w:lineRule="exact" w:before="116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que opera tras las primeras interfaces (HOST_AWD_PEC). Esto incluye: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34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Comparaciones CRC (control de redundancia cíclica) </w:t>
      </w:r>
    </w:p>
    <w:p>
      <w:pPr>
        <w:autoSpaceDN w:val="0"/>
        <w:autoSpaceDE w:val="0"/>
        <w:widowControl/>
        <w:spacing w:line="236" w:lineRule="exact" w:before="780" w:after="0"/>
        <w:ind w:left="0" w:right="1790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29 </w:t>
      </w:r>
    </w:p>
    <w:p>
      <w:pPr>
        <w:sectPr>
          <w:pgSz w:w="11906" w:h="16838"/>
          <w:pgMar w:top="1008" w:right="662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100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648"/>
        <w:ind w:left="0" w:right="1112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3"/>
        <w:gridCol w:w="5183"/>
      </w:tblGrid>
      <w:tr>
        <w:trPr>
          <w:trHeight w:hRule="exact" w:val="726"/>
        </w:trPr>
        <w:tc>
          <w:tcPr>
            <w:tcW w:type="dxa" w:w="64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2" w:after="0"/>
              <w:ind w:left="0" w:right="118" w:firstLine="0"/>
              <w:jc w:val="right"/>
            </w:pP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823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14" w:after="0"/>
              <w:ind w:left="136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Revisión de integridad relacional </w:t>
            </w:r>
          </w:p>
        </w:tc>
      </w:tr>
    </w:tbl>
    <w:p>
      <w:pPr>
        <w:autoSpaceDN w:val="0"/>
        <w:tabs>
          <w:tab w:pos="778" w:val="left"/>
        </w:tabs>
        <w:autoSpaceDE w:val="0"/>
        <w:widowControl/>
        <w:spacing w:line="234" w:lineRule="exact" w:before="10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Chequeo de campos obligatorios y reglas específicas por cliente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Logs de control y excepciones </w:t>
      </w:r>
    </w:p>
    <w:p>
      <w:pPr>
        <w:autoSpaceDN w:val="0"/>
        <w:tabs>
          <w:tab w:pos="2602" w:val="left"/>
          <w:tab w:pos="3596" w:val="left"/>
        </w:tabs>
        <w:autoSpaceDE w:val="0"/>
        <w:widowControl/>
        <w:spacing w:line="378" w:lineRule="exact" w:before="932" w:after="0"/>
        <w:ind w:left="78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4.6 </w:t>
      </w:r>
      <w:r>
        <w:tab/>
      </w:r>
      <w:r>
        <w:rPr>
          <w:rFonts w:ascii="CIDFont+F6" w:hAnsi="CIDFont+F6" w:eastAsia="CIDFont+F6"/>
          <w:b w:val="0"/>
          <w:i w:val="0"/>
          <w:color w:val="0095A4"/>
          <w:sz w:val="31"/>
        </w:rPr>
        <w:t xml:space="preserve">4.6. </w:t>
      </w: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Escenarios operativos </w:t>
      </w:r>
    </w:p>
    <w:p>
      <w:pPr>
        <w:autoSpaceDN w:val="0"/>
        <w:autoSpaceDE w:val="0"/>
        <w:widowControl/>
        <w:spacing w:line="236" w:lineRule="exact" w:before="254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Se contemplan dos tipos de ejecución: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Carga completa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aplicada en escenarios iniciales o de reestructuración completa de obras.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Carga incremental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basada en cambios detectados (timestamp, flags lógicos, triggers en </w:t>
      </w:r>
    </w:p>
    <w:p>
      <w:pPr>
        <w:autoSpaceDN w:val="0"/>
        <w:autoSpaceDE w:val="0"/>
        <w:widowControl/>
        <w:spacing w:line="236" w:lineRule="exact" w:before="128" w:after="1514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origen), activando solo las rutas necesarias.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3455"/>
        <w:gridCol w:w="3455"/>
        <w:gridCol w:w="3455"/>
      </w:tblGrid>
      <w:tr>
        <w:trPr>
          <w:trHeight w:hRule="exact" w:val="49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0" w:after="0"/>
              <w:ind w:left="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>4.7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62" w:after="0"/>
              <w:ind w:left="0" w:right="202" w:firstLine="0"/>
              <w:jc w:val="right"/>
            </w:pPr>
            <w:r>
              <w:rPr>
                <w:rFonts w:ascii="CIDFont+F6" w:hAnsi="CIDFont+F6" w:eastAsia="CIDFont+F6"/>
                <w:b w:val="0"/>
                <w:i w:val="0"/>
                <w:color w:val="0095A4"/>
                <w:sz w:val="31"/>
              </w:rPr>
              <w:t xml:space="preserve">4.7. 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0" w:after="0"/>
              <w:ind w:left="2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Supervisión operativa y alertado </w:t>
            </w:r>
          </w:p>
        </w:tc>
      </w:tr>
    </w:tbl>
    <w:p>
      <w:pPr>
        <w:autoSpaceDN w:val="0"/>
        <w:autoSpaceDE w:val="0"/>
        <w:widowControl/>
        <w:spacing w:line="236" w:lineRule="exact" w:before="86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En este entorno se ha establecido un modelo de trabajo dual: por un lado, la gestión y explotación </w:t>
      </w:r>
    </w:p>
    <w:p>
      <w:pPr>
        <w:autoSpaceDN w:val="0"/>
        <w:autoSpaceDE w:val="0"/>
        <w:widowControl/>
        <w:spacing w:line="234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interna de los datos AWD; y por otro, la preparación de flujos estructurados hacia instancias remotas </w:t>
      </w:r>
    </w:p>
    <w:p>
      <w:pPr>
        <w:autoSpaceDN w:val="0"/>
        <w:autoSpaceDE w:val="0"/>
        <w:widowControl/>
        <w:spacing w:line="236" w:lineRule="exact" w:before="12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(SQLTURK y SQLNORWAY) a través del objeto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PDB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. Este objeto actúa como “puente lógico” entre los </w:t>
      </w:r>
    </w:p>
    <w:p>
      <w:pPr>
        <w:autoSpaceDN w:val="0"/>
        <w:autoSpaceDE w:val="0"/>
        <w:widowControl/>
        <w:spacing w:line="236" w:lineRule="exact" w:before="118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entornos locales y los clientes internacionales, asegurando la consistencia estructural y minimizando el </w:t>
      </w:r>
    </w:p>
    <w:p>
      <w:pPr>
        <w:autoSpaceDN w:val="0"/>
        <w:autoSpaceDE w:val="0"/>
        <w:widowControl/>
        <w:spacing w:line="234" w:lineRule="exact" w:before="12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acoplamiento entre esquemas. </w:t>
      </w:r>
    </w:p>
    <w:p>
      <w:pPr>
        <w:autoSpaceDN w:val="0"/>
        <w:autoSpaceDE w:val="0"/>
        <w:widowControl/>
        <w:spacing w:line="236" w:lineRule="exact" w:before="2878" w:after="0"/>
        <w:ind w:left="0" w:right="1790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30 </w:t>
      </w:r>
    </w:p>
    <w:p>
      <w:pPr>
        <w:sectPr>
          <w:pgSz w:w="11906" w:h="16838"/>
          <w:pgMar w:top="1008" w:right="662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1078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648"/>
        <w:ind w:left="0" w:right="1182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18"/>
        <w:gridCol w:w="5218"/>
      </w:tblGrid>
      <w:tr>
        <w:trPr>
          <w:trHeight w:hRule="exact" w:val="864"/>
        </w:trPr>
        <w:tc>
          <w:tcPr>
            <w:tcW w:type="dxa" w:w="174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2" w:after="0"/>
              <w:ind w:left="7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>4.8</w:t>
            </w:r>
          </w:p>
        </w:tc>
        <w:tc>
          <w:tcPr>
            <w:tcW w:type="dxa" w:w="713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12" w:after="0"/>
              <w:ind w:left="1192" w:right="0" w:firstLine="0"/>
              <w:jc w:val="left"/>
            </w:pPr>
            <w:r>
              <w:rPr>
                <w:rFonts w:ascii="CIDFont+F6" w:hAnsi="CIDFont+F6" w:eastAsia="CIDFont+F6"/>
                <w:b w:val="0"/>
                <w:i w:val="0"/>
                <w:color w:val="0095A4"/>
                <w:sz w:val="31"/>
              </w:rPr>
              <w:t xml:space="preserve">4.8. </w:t>
            </w:r>
            <w:r>
              <w:rPr>
                <w:rFonts w:ascii="CIDFont+F1" w:hAnsi="CIDFont+F1" w:eastAsia="CIDFont+F1"/>
                <w:b w:val="0"/>
                <w:i w:val="0"/>
                <w:color w:val="0095A4"/>
                <w:sz w:val="31"/>
              </w:rPr>
              <w:t xml:space="preserve">Consideraciones de mejora </w:t>
            </w:r>
          </w:p>
        </w:tc>
      </w:tr>
    </w:tbl>
    <w:p>
      <w:pPr>
        <w:autoSpaceDN w:val="0"/>
        <w:autoSpaceDE w:val="0"/>
        <w:widowControl/>
        <w:spacing w:line="236" w:lineRule="exact" w:before="176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La arquitectura actual ha demostrado ser robusta y funcional, pero pueden abordarse mejoras para </w:t>
      </w:r>
    </w:p>
    <w:p>
      <w:pPr>
        <w:autoSpaceDN w:val="0"/>
        <w:autoSpaceDE w:val="0"/>
        <w:widowControl/>
        <w:spacing w:line="234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simplificar la trazabilidad y mantenimiento: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35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Consolidar los puntos de aplicación de reglas de negocio en un único motor o repositorio.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Unificar nomenclatura de interfaces y vistas entre instancias.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Automatizar validaciones en origen antes de ejecutar cargas (previa a Job 21).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17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Documentar un protocolo de fallback ante errores en fases críticas del flujo (job fallido, validación </w:t>
      </w:r>
    </w:p>
    <w:p>
      <w:pPr>
        <w:autoSpaceDN w:val="0"/>
        <w:autoSpaceDE w:val="0"/>
        <w:widowControl/>
        <w:spacing w:line="234" w:lineRule="exact" w:before="128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fallida). </w:t>
      </w:r>
    </w:p>
    <w:p>
      <w:pPr>
        <w:autoSpaceDN w:val="0"/>
        <w:autoSpaceDE w:val="0"/>
        <w:widowControl/>
        <w:spacing w:line="566" w:lineRule="exact" w:before="696" w:after="0"/>
        <w:ind w:left="90" w:right="0" w:firstLine="0"/>
        <w:jc w:val="left"/>
      </w:pPr>
      <w:r>
        <w:rPr>
          <w:rFonts w:ascii="CIDFont+F1" w:hAnsi="CIDFont+F1" w:eastAsia="CIDFont+F1"/>
          <w:b w:val="0"/>
          <w:i w:val="0"/>
          <w:color w:val="144080"/>
          <w:sz w:val="47"/>
        </w:rPr>
        <w:t>5</w:t>
      </w:r>
      <w:r>
        <w:rPr>
          <w:rFonts w:ascii="CIDFont+F1" w:hAnsi="CIDFont+F1" w:eastAsia="CIDFont+F1"/>
          <w:b w:val="0"/>
          <w:i w:val="0"/>
          <w:color w:val="144080"/>
          <w:sz w:val="47"/>
        </w:rPr>
        <w:t xml:space="preserve">5. Calidad y riesgos actuales </w:t>
      </w:r>
    </w:p>
    <w:p>
      <w:pPr>
        <w:autoSpaceDN w:val="0"/>
        <w:autoSpaceDE w:val="0"/>
        <w:widowControl/>
        <w:spacing w:line="236" w:lineRule="exact" w:before="324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sistema actual presenta un estado de operación estable, con mejoras sustanciales de rendimiento </w:t>
      </w:r>
    </w:p>
    <w:p>
      <w:pPr>
        <w:autoSpaceDN w:val="0"/>
        <w:autoSpaceDE w:val="0"/>
        <w:widowControl/>
        <w:spacing w:line="234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tras la consolidación de datos en instancias SQL Server modernas (2017–2022) y la reestructuración </w:t>
      </w:r>
    </w:p>
    <w:p>
      <w:pPr>
        <w:autoSpaceDN w:val="0"/>
        <w:autoSpaceDE w:val="0"/>
        <w:widowControl/>
        <w:spacing w:line="236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de vistas e índices. No obstante, existen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riesgos operativos y técnicos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que deben ser considerados: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34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Heterogeneidad tecnológica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conviven versiones desde SQL Server 2008 R2 hasta 2022, lo </w:t>
      </w:r>
    </w:p>
    <w:p>
      <w:pPr>
        <w:autoSpaceDN w:val="0"/>
        <w:autoSpaceDE w:val="0"/>
        <w:widowControl/>
        <w:spacing w:line="234" w:lineRule="exact" w:before="128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que dificulta la unificación de estrategias de mantenimiento, backup y seguridad.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24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Instancias con soporte expirado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(MAHOST, SQL20142): aunque en modo sólo-lectura, siguen </w:t>
      </w:r>
    </w:p>
    <w:p>
      <w:pPr>
        <w:autoSpaceDN w:val="0"/>
        <w:autoSpaceDE w:val="0"/>
        <w:widowControl/>
        <w:spacing w:line="234" w:lineRule="exact" w:before="128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presentes en el entorno y requieren control hasta su decommission.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24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Riesgos de obsolescencia funcional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ciertas dependencias en Necor@V6, ECADA o interfaces </w:t>
      </w:r>
    </w:p>
    <w:p>
      <w:pPr>
        <w:autoSpaceDN w:val="0"/>
        <w:autoSpaceDE w:val="0"/>
        <w:widowControl/>
        <w:spacing w:line="236" w:lineRule="exact" w:before="130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PEC siguen ancladas a estructuras heredadas, dificultando la modernización.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3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Puntos críticos sin HA (alta disponibilidad)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algunas instancias claves no disponen de réplica </w:t>
      </w:r>
    </w:p>
    <w:p>
      <w:pPr>
        <w:autoSpaceDN w:val="0"/>
        <w:autoSpaceDE w:val="0"/>
        <w:widowControl/>
        <w:spacing w:line="236" w:lineRule="exact" w:before="126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 failover automático, lo que incrementa la exposición ante caídas no planificadas.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3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Dependencias manuales en flujos ETL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aunque automatizados, los flujos de Turquía y Noruega </w:t>
      </w:r>
    </w:p>
    <w:p>
      <w:pPr>
        <w:autoSpaceDN w:val="0"/>
        <w:autoSpaceDE w:val="0"/>
        <w:widowControl/>
        <w:spacing w:line="234" w:lineRule="exact" w:before="128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aún dependen de comprobaciones visuales en ciertas etapas. </w:t>
      </w:r>
    </w:p>
    <w:p>
      <w:pPr>
        <w:autoSpaceDN w:val="0"/>
        <w:autoSpaceDE w:val="0"/>
        <w:widowControl/>
        <w:spacing w:line="236" w:lineRule="exact" w:before="1018" w:after="0"/>
        <w:ind w:left="0" w:right="1860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31 </w:t>
      </w:r>
    </w:p>
    <w:p>
      <w:pPr>
        <w:sectPr>
          <w:pgSz w:w="11906" w:h="16838"/>
          <w:pgMar w:top="1008" w:right="592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0"/>
        <w:ind w:left="5934" w:right="1008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354" w:lineRule="exact" w:before="972" w:after="0"/>
        <w:ind w:left="92" w:right="200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En cuanto a calidad, las mejoras en índices, sinónimos y vistas funcionales han permitido reducir los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tiempos de respuesta entre un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30 % y 50 %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en procedimientos críticos. Se han implantado controles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CRC y logs que aseguran trazabilidad, pero aún no existe una cobertura total de pruebas automatizadas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ni de alertas proactivas de rendimiento. Se recomienda avanzar en esas áreas como parte del plan de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evolución técnica. </w:t>
      </w:r>
    </w:p>
    <w:p>
      <w:pPr>
        <w:autoSpaceDN w:val="0"/>
        <w:autoSpaceDE w:val="0"/>
        <w:widowControl/>
        <w:spacing w:line="568" w:lineRule="exact" w:before="1408" w:after="0"/>
        <w:ind w:left="90" w:right="0" w:firstLine="0"/>
        <w:jc w:val="left"/>
      </w:pPr>
      <w:r>
        <w:rPr>
          <w:rFonts w:ascii="CIDFont+F1" w:hAnsi="CIDFont+F1" w:eastAsia="CIDFont+F1"/>
          <w:b w:val="0"/>
          <w:i w:val="0"/>
          <w:color w:val="144080"/>
          <w:sz w:val="47"/>
        </w:rPr>
        <w:t>6</w:t>
      </w:r>
      <w:r>
        <w:rPr>
          <w:rFonts w:ascii="CIDFont+F1" w:hAnsi="CIDFont+F1" w:eastAsia="CIDFont+F1"/>
          <w:b w:val="0"/>
          <w:i w:val="0"/>
          <w:color w:val="144080"/>
          <w:sz w:val="47"/>
        </w:rPr>
        <w:t xml:space="preserve">6. Próximos pasos recomendados </w:t>
      </w:r>
    </w:p>
    <w:p>
      <w:pPr>
        <w:autoSpaceDN w:val="0"/>
        <w:autoSpaceDE w:val="0"/>
        <w:widowControl/>
        <w:spacing w:line="354" w:lineRule="exact" w:before="206" w:after="0"/>
        <w:ind w:left="92" w:right="208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El principal hito pendiente identificado a corto-medio plazo es la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migración completa de las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instancias actuales en MA SQL20142 (tanto SQL20142 como NECORANET) hacia una nueva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instancia consolidada MA SQL20222 basada en SQL Server 2022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. Esta acción, alineada con las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políticas de modernización tecnológica y soporte de plataforma, implicará una revisión exhaustiva de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todo el entorno actual. </w:t>
      </w:r>
    </w:p>
    <w:p>
      <w:pPr>
        <w:autoSpaceDN w:val="0"/>
        <w:autoSpaceDE w:val="0"/>
        <w:widowControl/>
        <w:spacing w:line="236" w:lineRule="exact" w:before="392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Dicha revisión debe incluir: </w:t>
      </w:r>
    </w:p>
    <w:p>
      <w:pPr>
        <w:autoSpaceDN w:val="0"/>
        <w:tabs>
          <w:tab w:pos="778" w:val="left"/>
        </w:tabs>
        <w:autoSpaceDE w:val="0"/>
        <w:widowControl/>
        <w:spacing w:line="404" w:lineRule="exact" w:before="22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Análisis y validación de compatibilidad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de procedimientos almacenados, funciones, vistas y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sinónimos actualmente en uso. </w:t>
      </w:r>
    </w:p>
    <w:p>
      <w:pPr>
        <w:autoSpaceDN w:val="0"/>
        <w:tabs>
          <w:tab w:pos="778" w:val="left"/>
        </w:tabs>
        <w:autoSpaceDE w:val="0"/>
        <w:widowControl/>
        <w:spacing w:line="408" w:lineRule="exact" w:before="6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Revisión de flujos ETL, enlaces de servidor y servicios asociados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(como Reporting Services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y Power BI). </w:t>
      </w:r>
    </w:p>
    <w:p>
      <w:pPr>
        <w:autoSpaceDN w:val="0"/>
        <w:tabs>
          <w:tab w:pos="778" w:val="left"/>
        </w:tabs>
        <w:autoSpaceDE w:val="0"/>
        <w:widowControl/>
        <w:spacing w:line="406" w:lineRule="exact" w:before="6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Evaluación de vistas funcionales y refactorización de estructuras heredadas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con el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objetivo de simplificar lógicas innecesarias y mejorar el rendimiento global. </w:t>
      </w:r>
    </w:p>
    <w:p>
      <w:pPr>
        <w:autoSpaceDN w:val="0"/>
        <w:tabs>
          <w:tab w:pos="778" w:val="left"/>
        </w:tabs>
        <w:autoSpaceDE w:val="0"/>
        <w:widowControl/>
        <w:spacing w:line="404" w:lineRule="exact" w:before="7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Homologación de estándares técnicos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: nombres de objetos, collation, agrupación de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esquemas por rol funcional, etc. </w:t>
      </w:r>
    </w:p>
    <w:p>
      <w:pPr>
        <w:autoSpaceDN w:val="0"/>
        <w:autoSpaceDE w:val="0"/>
        <w:widowControl/>
        <w:spacing w:line="236" w:lineRule="exact" w:before="1706" w:after="0"/>
        <w:ind w:left="0" w:right="1860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32 </w:t>
      </w:r>
    </w:p>
    <w:p>
      <w:pPr>
        <w:sectPr>
          <w:pgSz w:w="11906" w:h="16838"/>
          <w:pgMar w:top="1008" w:right="592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1152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87"/>
        <w:gridCol w:w="5287"/>
      </w:tblGrid>
      <w:tr>
        <w:trPr>
          <w:trHeight w:hRule="exact" w:val="722"/>
        </w:trPr>
        <w:tc>
          <w:tcPr>
            <w:tcW w:type="dxa" w:w="64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0" w:after="0"/>
              <w:ind w:left="0" w:right="118" w:firstLine="0"/>
              <w:jc w:val="right"/>
            </w:pPr>
            <w:r>
              <w:rPr>
                <w:w w:val="102.05151407342208"/>
                <w:rFonts w:ascii="CIDFont+F13" w:hAnsi="CIDFont+F13" w:eastAsia="CIDFont+F13"/>
                <w:b w:val="0"/>
                <w:i w:val="0"/>
                <w:color w:val="000000"/>
                <w:sz w:val="19"/>
              </w:rPr>
              <w:t>•</w:t>
            </w:r>
          </w:p>
        </w:tc>
        <w:tc>
          <w:tcPr>
            <w:tcW w:type="dxa" w:w="9800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1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Prueba completa de rendimiento comparado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, para asegurar que la nueva instancia mantiene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778" w:right="144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 mejora los tiempos actuales, especialmente en vistas _V, índices aplicados y llamadas desde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Necor@. </w:t>
      </w:r>
    </w:p>
    <w:p>
      <w:pPr>
        <w:autoSpaceDN w:val="0"/>
        <w:autoSpaceDE w:val="0"/>
        <w:widowControl/>
        <w:spacing w:line="354" w:lineRule="exact" w:before="272" w:after="0"/>
        <w:ind w:left="92" w:right="346" w:firstLine="0"/>
        <w:jc w:val="both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Este proceso no solo permitirá abandonar entornos sin soporte y reducir riesgos operativos, sino que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abrirá la puerta a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implementar buenas prácticas y optimizaciones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 que en el estado actual están 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condicionadas por la necesidad de mantener compatibilidad hacia atrás. </w:t>
      </w:r>
    </w:p>
    <w:p>
      <w:pPr>
        <w:autoSpaceDN w:val="0"/>
        <w:autoSpaceDE w:val="0"/>
        <w:widowControl/>
        <w:spacing w:line="236" w:lineRule="exact" w:before="394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Adicionalmente, se recomienda: </w:t>
      </w:r>
    </w:p>
    <w:p>
      <w:pPr>
        <w:autoSpaceDN w:val="0"/>
        <w:tabs>
          <w:tab w:pos="778" w:val="left"/>
        </w:tabs>
        <w:autoSpaceDE w:val="0"/>
        <w:widowControl/>
        <w:spacing w:line="404" w:lineRule="exact" w:before="226" w:after="0"/>
        <w:ind w:left="428" w:right="144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Consolidar backups y planes de mantenimiento en entornos más robustos (Azure SQL Managed 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Instance en el medio plazo).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4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Ampliar los mecanismos de alertas y trazabilidad, especialmente en entornos internacionales. </w:t>
      </w:r>
    </w:p>
    <w:p>
      <w:pPr>
        <w:autoSpaceDN w:val="0"/>
        <w:autoSpaceDE w:val="0"/>
        <w:widowControl/>
        <w:spacing w:line="354" w:lineRule="exact" w:before="304" w:after="626"/>
        <w:ind w:left="92" w:right="144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Estas acciones permitirán avanzar hacia una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 xml:space="preserve">plataforma unificada, segura y preparada para </w:t>
      </w: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integraciones futuras</w:t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, cumpliendo con los requisitos operativos internos y externos de Navantia.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2115"/>
        <w:gridCol w:w="2115"/>
        <w:gridCol w:w="2115"/>
        <w:gridCol w:w="2115"/>
        <w:gridCol w:w="2115"/>
      </w:tblGrid>
      <w:tr>
        <w:trPr>
          <w:trHeight w:hRule="exact" w:val="68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8" w:lineRule="exact" w:before="60" w:after="0"/>
              <w:ind w:left="4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144080"/>
                <w:sz w:val="47"/>
              </w:rPr>
              <w:t>7</w:t>
            </w:r>
            <w:r>
              <w:rPr>
                <w:rFonts w:ascii="CIDFont+F1" w:hAnsi="CIDFont+F1" w:eastAsia="CIDFont+F1"/>
                <w:b w:val="0"/>
                <w:i w:val="0"/>
                <w:color w:val="144080"/>
                <w:sz w:val="47"/>
              </w:rPr>
              <w:t xml:space="preserve">7.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8" w:lineRule="exact" w:before="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144080"/>
                <w:sz w:val="47"/>
              </w:rPr>
              <w:t xml:space="preserve">Referencias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8" w:lineRule="exact" w:before="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144080"/>
                <w:sz w:val="47"/>
              </w:rPr>
              <w:t xml:space="preserve">internas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8" w:lineRule="exact" w:before="6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144080"/>
                <w:sz w:val="47"/>
              </w:rPr>
              <w:t xml:space="preserve">y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8" w:lineRule="exact" w:before="60" w:after="0"/>
              <w:ind w:left="24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144080"/>
                <w:sz w:val="47"/>
              </w:rPr>
              <w:t xml:space="preserve">fuentes </w:t>
            </w:r>
          </w:p>
        </w:tc>
      </w:tr>
    </w:tbl>
    <w:p>
      <w:pPr>
        <w:autoSpaceDN w:val="0"/>
        <w:autoSpaceDE w:val="0"/>
        <w:widowControl/>
        <w:spacing w:line="568" w:lineRule="exact" w:before="82" w:after="0"/>
        <w:ind w:left="90" w:right="0" w:firstLine="0"/>
        <w:jc w:val="left"/>
      </w:pPr>
      <w:r>
        <w:rPr>
          <w:rFonts w:ascii="CIDFont+F1" w:hAnsi="CIDFont+F1" w:eastAsia="CIDFont+F1"/>
          <w:b w:val="0"/>
          <w:i w:val="0"/>
          <w:color w:val="144080"/>
          <w:sz w:val="47"/>
        </w:rPr>
        <w:t xml:space="preserve">consultadas </w:t>
      </w:r>
    </w:p>
    <w:p>
      <w:pPr>
        <w:autoSpaceDN w:val="0"/>
        <w:autoSpaceDE w:val="0"/>
        <w:widowControl/>
        <w:spacing w:line="336" w:lineRule="exact" w:before="250" w:after="198"/>
        <w:ind w:left="86" w:right="134" w:firstLine="0"/>
        <w:jc w:val="both"/>
      </w:pP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A continuación se relacionan las principales fuentes documentales y registros corporativos consultados para la 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 xml:space="preserve">elaboración de este documento técnico. Estas referencias aportan el soporte técnico y funcional necesario para </w:t>
      </w:r>
      <w:r>
        <w:rPr>
          <w:w w:val="101.57046940015711"/>
          <w:rFonts w:ascii="CIDFont+F11" w:hAnsi="CIDFont+F11" w:eastAsia="CIDFont+F11"/>
          <w:b w:val="0"/>
          <w:i w:val="0"/>
          <w:color w:val="404040"/>
          <w:sz w:val="23"/>
        </w:rPr>
        <w:t>la trazabilidad y justificación de las decisiones reflejadas.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3525"/>
        <w:gridCol w:w="3525"/>
        <w:gridCol w:w="3525"/>
      </w:tblGrid>
      <w:tr>
        <w:trPr>
          <w:trHeight w:hRule="exact" w:val="768"/>
        </w:trPr>
        <w:tc>
          <w:tcPr>
            <w:tcW w:type="dxa" w:w="404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Nº</w:t>
            </w:r>
          </w:p>
        </w:tc>
        <w:tc>
          <w:tcPr>
            <w:tcW w:type="dxa" w:w="2854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Fuente interna</w:t>
            </w:r>
          </w:p>
        </w:tc>
        <w:tc>
          <w:tcPr>
            <w:tcW w:type="dxa" w:w="6800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Descripción y aportación</w:t>
            </w:r>
          </w:p>
        </w:tc>
      </w:tr>
    </w:tbl>
    <w:p>
      <w:pPr>
        <w:autoSpaceDN w:val="0"/>
        <w:autoSpaceDE w:val="0"/>
        <w:widowControl/>
        <w:spacing w:line="236" w:lineRule="exact" w:before="1938" w:after="0"/>
        <w:ind w:left="0" w:right="1998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33 </w:t>
      </w:r>
    </w:p>
    <w:p>
      <w:pPr>
        <w:sectPr>
          <w:pgSz w:w="11906" w:h="16838"/>
          <w:pgMar w:top="1008" w:right="454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1090"/>
        <w:ind w:left="5934" w:right="720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3401"/>
        <w:gridCol w:w="3401"/>
        <w:gridCol w:w="3401"/>
      </w:tblGrid>
      <w:tr>
        <w:trPr>
          <w:trHeight w:hRule="exact" w:val="1478"/>
        </w:trPr>
        <w:tc>
          <w:tcPr>
            <w:tcW w:type="dxa" w:w="40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R.1 </w:t>
            </w:r>
          </w:p>
        </w:tc>
        <w:tc>
          <w:tcPr>
            <w:tcW w:type="dxa" w:w="285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98" w:after="0"/>
              <w:ind w:left="406" w:right="288" w:hanging="406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R.1 Informe de dedicación –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Integración Materiales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(Altia) </w:t>
            </w:r>
          </w:p>
        </w:tc>
        <w:tc>
          <w:tcPr>
            <w:tcW w:type="dxa" w:w="68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6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Seguimiento detallado del proceso de sustitución de MANECNET por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MASERVF9. Incluye cronograma, validaciones técnicas y </w:t>
            </w:r>
            <w:r>
              <w:br/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coordinación con SAP PO. </w:t>
            </w:r>
          </w:p>
        </w:tc>
      </w:tr>
      <w:tr>
        <w:trPr>
          <w:trHeight w:hRule="exact" w:val="1120"/>
        </w:trPr>
        <w:tc>
          <w:tcPr>
            <w:tcW w:type="dxa" w:w="40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R.2 </w:t>
            </w:r>
          </w:p>
        </w:tc>
        <w:tc>
          <w:tcPr>
            <w:tcW w:type="dxa" w:w="285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6" w:val="left"/>
              </w:tabs>
              <w:autoSpaceDE w:val="0"/>
              <w:widowControl/>
              <w:spacing w:line="404" w:lineRule="exact" w:before="124" w:after="0"/>
              <w:ind w:left="0" w:right="432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R.2 GLPI #0849716 / </w:t>
            </w:r>
            <w:r>
              <w:br/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#0856409 / SD 857752 </w:t>
            </w:r>
          </w:p>
        </w:tc>
        <w:tc>
          <w:tcPr>
            <w:tcW w:type="dxa" w:w="68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6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Incidencias técnicas registradas durante la migración de servicios y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validación de conectividad entre MASERVF9 y HOSTDB2. </w:t>
            </w:r>
          </w:p>
        </w:tc>
      </w:tr>
      <w:tr>
        <w:trPr>
          <w:trHeight w:hRule="exact" w:val="1120"/>
        </w:trPr>
        <w:tc>
          <w:tcPr>
            <w:tcW w:type="dxa" w:w="404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R.3 </w:t>
            </w:r>
          </w:p>
        </w:tc>
        <w:tc>
          <w:tcPr>
            <w:tcW w:type="dxa" w:w="2854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2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Actas TEAMS – Integración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materiales SAP </w:t>
            </w:r>
          </w:p>
        </w:tc>
        <w:tc>
          <w:tcPr>
            <w:tcW w:type="dxa" w:w="6800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2" w:after="0"/>
              <w:ind w:left="0" w:right="576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Validación funcional conjunta con SAP y definición del modelo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operativo post-migración. </w:t>
            </w:r>
          </w:p>
        </w:tc>
      </w:tr>
      <w:tr>
        <w:trPr>
          <w:trHeight w:hRule="exact" w:val="1472"/>
        </w:trPr>
        <w:tc>
          <w:tcPr>
            <w:tcW w:type="dxa" w:w="404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R.4 </w:t>
            </w:r>
          </w:p>
        </w:tc>
        <w:tc>
          <w:tcPr>
            <w:tcW w:type="dxa" w:w="2854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72" w:after="0"/>
              <w:ind w:left="406" w:right="432" w:hanging="406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R.4 Reunión 30/04/2024 –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Seguimiento activos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históricos </w:t>
            </w:r>
          </w:p>
        </w:tc>
        <w:tc>
          <w:tcPr>
            <w:tcW w:type="dxa" w:w="6800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4" w:after="0"/>
              <w:ind w:left="0" w:right="28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Avance del piloto ETL Noruega y confirmación de la viabilidad del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modelo de carga a Power BI. </w:t>
            </w:r>
          </w:p>
        </w:tc>
      </w:tr>
      <w:tr>
        <w:trPr>
          <w:trHeight w:hRule="exact" w:val="1124"/>
        </w:trPr>
        <w:tc>
          <w:tcPr>
            <w:tcW w:type="dxa" w:w="40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R.5 </w:t>
            </w:r>
          </w:p>
        </w:tc>
        <w:tc>
          <w:tcPr>
            <w:tcW w:type="dxa" w:w="285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120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Optimización V6 – Tarea GLPI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#431672 </w:t>
            </w:r>
          </w:p>
        </w:tc>
        <w:tc>
          <w:tcPr>
            <w:tcW w:type="dxa" w:w="68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Reestructuración de vistas, sinónimos e índices en V6 y V6_2. </w:t>
            </w:r>
          </w:p>
          <w:p>
            <w:pPr>
              <w:autoSpaceDN w:val="0"/>
              <w:autoSpaceDE w:val="0"/>
              <w:widowControl/>
              <w:spacing w:line="234" w:lineRule="exact" w:before="176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Justificación técnica validada por Ingeniería. </w:t>
            </w:r>
          </w:p>
        </w:tc>
      </w:tr>
      <w:tr>
        <w:trPr>
          <w:trHeight w:hRule="exact" w:val="1218"/>
        </w:trPr>
        <w:tc>
          <w:tcPr>
            <w:tcW w:type="dxa" w:w="40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R.6 </w:t>
            </w:r>
          </w:p>
        </w:tc>
        <w:tc>
          <w:tcPr>
            <w:tcW w:type="dxa" w:w="285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6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Diseño técnico ETL Noruega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y </w:t>
            </w:r>
          </w:p>
          <w:p>
            <w:pPr>
              <w:autoSpaceDN w:val="0"/>
              <w:autoSpaceDE w:val="0"/>
              <w:widowControl/>
              <w:spacing w:line="236" w:lineRule="exact" w:before="174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Turquía </w:t>
            </w:r>
          </w:p>
        </w:tc>
        <w:tc>
          <w:tcPr>
            <w:tcW w:type="dxa" w:w="68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6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Documento funcional sobre flujos de carga diarios, validaciones CRC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y segmentación por país. </w:t>
            </w:r>
          </w:p>
        </w:tc>
      </w:tr>
      <w:tr>
        <w:trPr>
          <w:trHeight w:hRule="exact" w:val="1122"/>
        </w:trPr>
        <w:tc>
          <w:tcPr>
            <w:tcW w:type="dxa" w:w="40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R.7 </w:t>
            </w:r>
          </w:p>
        </w:tc>
        <w:tc>
          <w:tcPr>
            <w:tcW w:type="dxa" w:w="285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R.7 Extracción GLPI (csv) </w:t>
            </w:r>
          </w:p>
        </w:tc>
        <w:tc>
          <w:tcPr>
            <w:tcW w:type="dxa" w:w="68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72" w:after="0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Registro de tickets y acciones históricas sobre migraciones, refactors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y soporte asociado. </w:t>
            </w:r>
          </w:p>
        </w:tc>
      </w:tr>
      <w:tr>
        <w:trPr>
          <w:trHeight w:hRule="exact" w:val="1320"/>
        </w:trPr>
        <w:tc>
          <w:tcPr>
            <w:tcW w:type="dxa" w:w="40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24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R.8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4"/>
            </w:tblGrid>
            <w:tr>
              <w:trPr>
                <w:trHeight w:hRule="exact" w:val="738"/>
              </w:trPr>
              <w:tc>
                <w:tcPr>
                  <w:tcW w:type="dxa" w:w="396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94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Nº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5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24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Plantilla Base – Documento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54"/>
            </w:tblGrid>
            <w:tr>
              <w:trPr>
                <w:trHeight w:hRule="exact" w:val="738"/>
              </w:trPr>
              <w:tc>
                <w:tcPr>
                  <w:tcW w:type="dxa" w:w="2844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94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Fuente interna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24"/>
              <w:ind w:left="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Estructura corporativa empleada para estandarizar el presente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800"/>
            </w:tblGrid>
            <w:tr>
              <w:trPr>
                <w:trHeight w:hRule="exact" w:val="738"/>
              </w:trPr>
              <w:tc>
                <w:tcPr>
                  <w:tcW w:type="dxa" w:w="6788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94" w:after="0"/>
                    <w:ind w:left="0" w:right="1990" w:firstLine="0"/>
                    <w:jc w:val="right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Descripción y aportación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68"/>
        </w:trPr>
        <w:tc>
          <w:tcPr>
            <w:tcW w:type="dxa" w:w="40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54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6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Técnico Navantia </w:t>
            </w:r>
          </w:p>
        </w:tc>
        <w:tc>
          <w:tcPr>
            <w:tcW w:type="dxa" w:w="68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documento. </w:t>
            </w:r>
          </w:p>
        </w:tc>
      </w:tr>
    </w:tbl>
    <w:p>
      <w:pPr>
        <w:autoSpaceDN w:val="0"/>
        <w:autoSpaceDE w:val="0"/>
        <w:widowControl/>
        <w:spacing w:line="236" w:lineRule="exact" w:before="858" w:after="0"/>
        <w:ind w:left="0" w:right="1628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34 </w:t>
      </w:r>
    </w:p>
    <w:p>
      <w:pPr>
        <w:sectPr>
          <w:pgSz w:w="11906" w:h="16838"/>
          <w:pgMar w:top="1008" w:right="824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pStyle w:val="Heading1"/>
        <w:widowControl/>
        <w:spacing w:line="234" w:lineRule="exact" w:before="0" w:after="0"/>
        <w:ind w:left="0" w:right="1006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Estado actual plataforma BBDD</w:t>
      </w:r>
    </w:p>
    <w:p>
      <w:pPr>
        <w:autoSpaceDN w:val="0"/>
        <w:autoSpaceDE w:val="0"/>
        <w:pStyle w:val="Heading1"/>
        <w:widowControl/>
        <w:spacing w:line="236" w:lineRule="exact" w:before="0" w:after="0"/>
        <w:ind w:left="0" w:right="1110" w:firstLine="0"/>
        <w:jc w:val="righ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p>
      <w:pPr>
        <w:autoSpaceDN w:val="0"/>
        <w:autoSpaceDE w:val="0"/>
        <w:widowControl/>
        <w:spacing w:line="234" w:lineRule="exact" w:before="1092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Todas las fuentes están almacenadas en sistemas internos (Teams, GLPI, correo corporativo) y </w:t>
      </w:r>
    </w:p>
    <w:p>
      <w:pPr>
        <w:autoSpaceDN w:val="0"/>
        <w:autoSpaceDE w:val="0"/>
        <w:widowControl/>
        <w:spacing w:line="236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disponibles bajo petición para auditoría técnica o trazabilidad interna. </w:t>
      </w:r>
    </w:p>
    <w:p>
      <w:pPr>
        <w:autoSpaceDN w:val="0"/>
        <w:autoSpaceDE w:val="0"/>
        <w:pStyle w:val="Heading1"/>
        <w:widowControl/>
        <w:spacing w:line="236" w:lineRule="exact" w:before="390" w:after="0"/>
        <w:ind w:left="86" w:right="0" w:firstLine="0"/>
        <w:jc w:val="left"/>
      </w:pPr>
      <w:r>
        <w:rPr>
          <w:w w:val="102.05118279708059"/>
          <w:rFonts w:ascii="CIDFont+F7" w:hAnsi="CIDFont+F7" w:eastAsia="CIDFont+F7"/>
          <w:b/>
          <w:i w:val="0"/>
          <w:color w:val="404040"/>
          <w:sz w:val="19"/>
        </w:rPr>
        <w:t>Referencias documentales utilizadas en este informe: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354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Propuesta Técnica: «Mantenimiento de Sistemas Legacy de Navantia», Altia Consultores.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6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Documentos de planificación y ejecución del proyecto HOST (2019–2021). </w:t>
      </w:r>
    </w:p>
    <w:p>
      <w:pPr>
        <w:autoSpaceDN w:val="0"/>
        <w:tabs>
          <w:tab w:pos="778" w:val="left"/>
        </w:tabs>
        <w:autoSpaceDE w:val="0"/>
        <w:widowControl/>
        <w:spacing w:line="234" w:lineRule="exact" w:before="172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Herramientas de gestión de servicio empleadas durante el mantenimiento y migración (Helpdesk </w:t>
      </w:r>
    </w:p>
    <w:p>
      <w:pPr>
        <w:autoSpaceDN w:val="0"/>
        <w:autoSpaceDE w:val="0"/>
        <w:widowControl/>
        <w:spacing w:line="236" w:lineRule="exact" w:before="128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Navantia).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38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Acuerdos de Nivel de Servicio (SLA) establecidos con indicadores de tiempo de respuesta y </w:t>
      </w:r>
    </w:p>
    <w:p>
      <w:pPr>
        <w:autoSpaceDN w:val="0"/>
        <w:autoSpaceDE w:val="0"/>
        <w:widowControl/>
        <w:spacing w:line="236" w:lineRule="exact" w:before="126" w:after="0"/>
        <w:ind w:left="778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resolución. </w:t>
      </w:r>
    </w:p>
    <w:p>
      <w:pPr>
        <w:autoSpaceDN w:val="0"/>
        <w:tabs>
          <w:tab w:pos="778" w:val="left"/>
        </w:tabs>
        <w:autoSpaceDE w:val="0"/>
        <w:widowControl/>
        <w:spacing w:line="236" w:lineRule="exact" w:before="240" w:after="0"/>
        <w:ind w:left="428" w:right="0" w:firstLine="0"/>
        <w:jc w:val="left"/>
      </w:pPr>
      <w:r>
        <w:rPr>
          <w:w w:val="102.05151407342208"/>
          <w:rFonts w:ascii="CIDFont+F13" w:hAnsi="CIDFont+F13" w:eastAsia="CIDFont+F13"/>
          <w:b w:val="0"/>
          <w:i w:val="0"/>
          <w:color w:val="000000"/>
          <w:sz w:val="19"/>
        </w:rPr>
        <w:t>•</w:t>
      </w:r>
      <w:r>
        <w:tab/>
      </w: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Metodologías empleadas: ITIL, ISO/IEC 20000, Métrica v3. </w:t>
      </w:r>
    </w:p>
    <w:p>
      <w:pPr>
        <w:autoSpaceDN w:val="0"/>
        <w:tabs>
          <w:tab w:pos="1494" w:val="left"/>
        </w:tabs>
        <w:autoSpaceDE w:val="0"/>
        <w:widowControl/>
        <w:spacing w:line="378" w:lineRule="exact" w:before="444" w:after="0"/>
        <w:ind w:left="694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 xml:space="preserve">7.1 </w:t>
      </w:r>
      <w:r>
        <w:tab/>
      </w:r>
      <w:r>
        <w:rPr>
          <w:w w:val="102.3449943179176"/>
          <w:rFonts w:ascii="CIDFont+F1" w:hAnsi="CIDFont+F1" w:eastAsia="CIDFont+F1"/>
          <w:b w:val="0"/>
          <w:i w:val="0"/>
          <w:color w:val="0095A4"/>
          <w:sz w:val="21"/>
        </w:rPr>
        <w:t>Anexo técnico – Inventario actual de bases de datos por instancia</w:t>
      </w:r>
    </w:p>
    <w:p>
      <w:pPr>
        <w:autoSpaceDN w:val="0"/>
        <w:autoSpaceDE w:val="0"/>
        <w:widowControl/>
        <w:spacing w:line="236" w:lineRule="exact" w:before="44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A continuación se documenta el inventario actualizado de bases de datos existentes en las principales </w:t>
      </w:r>
    </w:p>
    <w:p>
      <w:pPr>
        <w:autoSpaceDN w:val="0"/>
        <w:autoSpaceDE w:val="0"/>
        <w:widowControl/>
        <w:spacing w:line="236" w:lineRule="exact" w:before="62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instancias activas de la plataforma, según revisión interna a fecha de actualización (última revisión: </w:t>
      </w:r>
    </w:p>
    <w:p>
      <w:pPr>
        <w:autoSpaceDN w:val="0"/>
        <w:autoSpaceDE w:val="0"/>
        <w:widowControl/>
        <w:spacing w:line="234" w:lineRule="exact" w:before="62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hace 3 días). Se incluyen observaciones de revisión o validación pendiente para facilitar su trazabilidad </w:t>
      </w:r>
    </w:p>
    <w:p>
      <w:pPr>
        <w:autoSpaceDN w:val="0"/>
        <w:autoSpaceDE w:val="0"/>
        <w:widowControl/>
        <w:spacing w:line="236" w:lineRule="exact" w:before="58" w:after="364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operativa.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2.0" w:type="dxa"/>
      </w:tblPr>
      <w:tblGrid>
        <w:gridCol w:w="5182"/>
        <w:gridCol w:w="5182"/>
      </w:tblGrid>
      <w:tr>
        <w:trPr>
          <w:trHeight w:hRule="exact" w:val="31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124" w:firstLine="0"/>
              <w:jc w:val="righ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126" w:right="0" w:firstLine="0"/>
              <w:jc w:val="lef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404040"/>
                <w:sz w:val="18"/>
              </w:rPr>
              <w:t>Instancia: MASQL20142\NECORANET</w:t>
            </w:r>
          </w:p>
        </w:tc>
      </w:tr>
    </w:tbl>
    <w:p>
      <w:pPr>
        <w:autoSpaceDN w:val="0"/>
        <w:autoSpaceDE w:val="0"/>
        <w:widowControl/>
        <w:spacing w:line="3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5182"/>
        <w:gridCol w:w="5182"/>
      </w:tblGrid>
      <w:tr>
        <w:trPr>
          <w:trHeight w:hRule="exact" w:val="772"/>
        </w:trPr>
        <w:tc>
          <w:tcPr>
            <w:tcW w:type="dxa" w:w="3736"/>
            <w:tcBorders>
              <w:start w:sz="4.0" w:val="single" w:color="#5B9AD4"/>
              <w:end w:sz="3.2000000000000455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Base de datos</w:t>
            </w:r>
          </w:p>
        </w:tc>
        <w:tc>
          <w:tcPr>
            <w:tcW w:type="dxa" w:w="6322"/>
            <w:tcBorders>
              <w:start w:sz="3.2000000000000455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2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Estado / Observación</w:t>
            </w:r>
          </w:p>
        </w:tc>
      </w:tr>
      <w:tr>
        <w:trPr>
          <w:trHeight w:hRule="exact" w:val="1122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BD_Auxiliar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4" w:after="0"/>
              <w:ind w:left="12" w:right="288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Obsoleta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tablas VB6; exportar y eliminar Q4-2025 (plan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obsolescencia) 0adce6d2-706d-4681-8949… </w:t>
            </w:r>
          </w:p>
        </w:tc>
      </w:tr>
      <w:tr>
        <w:trPr>
          <w:trHeight w:hRule="exact" w:val="1124"/>
        </w:trPr>
        <w:tc>
          <w:tcPr>
            <w:tcW w:type="dxa" w:w="3736"/>
            <w:tcBorders>
              <w:start w:sz="4.0" w:val="single" w:color="#5B9AD4"/>
              <w:top w:sz="3.199999999999818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Coral </w:t>
            </w:r>
          </w:p>
        </w:tc>
        <w:tc>
          <w:tcPr>
            <w:tcW w:type="dxa" w:w="6322"/>
            <w:tcBorders>
              <w:start w:sz="3.2000000000000455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126" w:after="0"/>
              <w:ind w:left="12" w:right="288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Activa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módulo Corales PDB; migrar a SQL 2022 junto con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Necora* </w:t>
            </w:r>
          </w:p>
        </w:tc>
      </w:tr>
    </w:tbl>
    <w:p>
      <w:pPr>
        <w:autoSpaceDN w:val="0"/>
        <w:autoSpaceDE w:val="0"/>
        <w:widowControl/>
        <w:spacing w:line="236" w:lineRule="exact" w:before="666" w:after="0"/>
        <w:ind w:left="0" w:right="1788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35 </w:t>
      </w:r>
    </w:p>
    <w:p>
      <w:pPr>
        <w:sectPr>
          <w:pgSz w:w="11906" w:h="16838"/>
          <w:pgMar w:top="1008" w:right="664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1090"/>
        <w:ind w:left="5934" w:right="720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5092"/>
        <w:gridCol w:w="5092"/>
      </w:tblGrid>
      <w:tr>
        <w:trPr>
          <w:trHeight w:hRule="exact" w:val="1120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InterfacesAWD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22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Activa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staging de cargas AWD; revisar tamaño de log (&gt; 45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GB) </w:t>
            </w:r>
          </w:p>
        </w:tc>
      </w:tr>
      <w:tr>
        <w:trPr>
          <w:trHeight w:hRule="exact" w:val="1124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InterfacesAWD_PEC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6" w:after="0"/>
              <w:ind w:left="12" w:right="144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Activa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mismo esquema que InterfacesAWD; consolidar en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una sola BD </w:t>
            </w:r>
          </w:p>
        </w:tc>
      </w:tr>
      <w:tr>
        <w:trPr>
          <w:trHeight w:hRule="exact" w:val="1120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InterfacesDWH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70" w:after="0"/>
              <w:ind w:left="12" w:right="144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Sólo-lectura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origen Power BI; última actualización 17may-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2025 </w:t>
            </w:r>
          </w:p>
        </w:tc>
      </w:tr>
      <w:tr>
        <w:trPr>
          <w:trHeight w:hRule="exact" w:val="766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NAILInterfacesAWD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Pendiente validación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sin conexiones registradas en 90 días</w:t>
            </w:r>
          </w:p>
        </w:tc>
      </w:tr>
      <w:tr>
        <w:trPr>
          <w:trHeight w:hRule="exact" w:val="768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Nautilus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Obsoleta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sustituida por módulo RADAR Nautilus; </w:t>
            </w:r>
          </w:p>
        </w:tc>
      </w:tr>
      <w:tr>
        <w:trPr>
          <w:trHeight w:hRule="exact" w:val="768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NecoraAWD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núcleo histórico Necor@ </w:t>
            </w:r>
          </w:p>
        </w:tc>
      </w:tr>
      <w:tr>
        <w:trPr>
          <w:trHeight w:hRule="exact" w:val="1324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26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NecoraDocAWD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36"/>
            </w:tblGrid>
            <w:tr>
              <w:trPr>
                <w:trHeight w:hRule="exact" w:val="738"/>
              </w:trPr>
              <w:tc>
                <w:tcPr>
                  <w:tcW w:type="dxa" w:w="3176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94" w:after="0"/>
                    <w:ind w:left="0" w:right="550" w:firstLine="0"/>
                    <w:jc w:val="right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Base de datos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0" w:val="left"/>
              </w:tabs>
              <w:autoSpaceDE w:val="0"/>
              <w:widowControl/>
              <w:spacing w:line="544" w:lineRule="exact" w:before="0" w:after="0"/>
              <w:ind w:left="12" w:right="144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Activa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documentos DWG; alto growth de FILESTREAM (4,3 </w:t>
            </w:r>
            <w:r>
              <w:tab/>
            </w: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Estado / Observación</w:t>
            </w:r>
          </w:p>
        </w:tc>
      </w:tr>
      <w:tr>
        <w:trPr>
          <w:trHeight w:hRule="exact" w:val="768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TB) </w:t>
            </w:r>
          </w:p>
        </w:tc>
      </w:tr>
      <w:tr>
        <w:trPr>
          <w:trHeight w:hRule="exact" w:val="1120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NecoraHistoric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8" w:after="0"/>
              <w:ind w:left="12" w:right="144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Archivada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modo READ_ONLY desde 01-mar-2025 (ahorro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backup) </w:t>
            </w:r>
          </w:p>
        </w:tc>
      </w:tr>
      <w:tr>
        <w:trPr>
          <w:trHeight w:hRule="exact" w:val="768"/>
        </w:trPr>
        <w:tc>
          <w:tcPr>
            <w:tcW w:type="dxa" w:w="3736"/>
            <w:tcBorders>
              <w:start w:sz="4.0" w:val="single" w:color="#5B9AD4"/>
              <w:top w:sz="3.199999999999818" w:val="single" w:color="#5B9AD4"/>
              <w:end w:sz="3.2000000000000455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NecoraNet_BI </w:t>
            </w:r>
          </w:p>
        </w:tc>
        <w:tc>
          <w:tcPr>
            <w:tcW w:type="dxa" w:w="6322"/>
            <w:tcBorders>
              <w:start w:sz="3.2000000000000455" w:val="single" w:color="#5B9AD4"/>
              <w:top w:sz="3.199999999999818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Sólo-lectura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cubos SSAS; refresco nocturno 03:00 h </w:t>
            </w:r>
          </w:p>
        </w:tc>
      </w:tr>
      <w:tr>
        <w:trPr>
          <w:trHeight w:hRule="exact" w:val="768"/>
        </w:trPr>
        <w:tc>
          <w:tcPr>
            <w:tcW w:type="dxa" w:w="3736"/>
            <w:tcBorders>
              <w:start w:sz="4.0" w:val="single" w:color="#5B9AD4"/>
              <w:top w:sz="3.199999999999818" w:val="single" w:color="#5B9AD4"/>
              <w:end w:sz="3.2000000000000455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NecoraReplicationControlAWD </w:t>
            </w:r>
          </w:p>
        </w:tc>
        <w:tc>
          <w:tcPr>
            <w:tcW w:type="dxa" w:w="6322"/>
            <w:tcBorders>
              <w:start w:sz="3.2000000000000455" w:val="single" w:color="#5B9AD4"/>
              <w:top w:sz="3.199999999999818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Sistema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metadatos de réplica Merge; no tocar </w:t>
            </w:r>
          </w:p>
        </w:tc>
      </w:tr>
    </w:tbl>
    <w:p>
      <w:pPr>
        <w:autoSpaceDN w:val="0"/>
        <w:autoSpaceDE w:val="0"/>
        <w:widowControl/>
        <w:spacing w:line="236" w:lineRule="exact" w:before="1184" w:after="0"/>
        <w:ind w:left="0" w:right="1608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36 </w:t>
      </w:r>
    </w:p>
    <w:p>
      <w:pPr>
        <w:sectPr>
          <w:pgSz w:w="11906" w:h="16838"/>
          <w:pgMar w:top="1008" w:right="844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3552"/>
        </w:trPr>
        <w:tc>
          <w:tcPr>
            <w:tcW w:type="dxa" w:w="152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280" w:after="0"/>
              <w:ind w:left="0" w:right="94" w:firstLine="0"/>
              <w:jc w:val="righ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735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280" w:after="0"/>
              <w:ind w:left="106" w:right="0" w:firstLine="0"/>
              <w:jc w:val="lef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404040"/>
                <w:sz w:val="18"/>
              </w:rPr>
              <w:t>Instancia: MASQL20142\SQL20142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5117"/>
        <w:gridCol w:w="5117"/>
      </w:tblGrid>
      <w:tr>
        <w:trPr>
          <w:trHeight w:hRule="exact" w:val="1120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79" cy="381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9" cy="3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6" w:lineRule="exact" w:before="262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RADAR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6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Pre-producción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módulo Taquillas 75 % completado; pilotaje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sept-2025 0adce6d2-706d-4681-8949… </w:t>
            </w:r>
          </w:p>
        </w:tc>
      </w:tr>
      <w:tr>
        <w:trPr>
          <w:trHeight w:hRule="exact" w:val="814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ReportServer$NECORANET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6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Sistema Reporting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SSRS; plan migración a nuevo servidor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BI </w:t>
            </w:r>
          </w:p>
        </w:tc>
      </w:tr>
      <w:tr>
        <w:trPr>
          <w:trHeight w:hRule="exact" w:val="766"/>
        </w:trPr>
        <w:tc>
          <w:tcPr>
            <w:tcW w:type="dxa" w:w="3736"/>
            <w:tcBorders>
              <w:start w:sz="4.0" w:val="single" w:color="#5B9AD4"/>
              <w:top w:sz="4.0" w:val="single" w:color="#5B9AD4"/>
              <w:end w:sz="3.2000000000000455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ReportServer$NECORANETTempDB </w:t>
            </w:r>
          </w:p>
        </w:tc>
        <w:tc>
          <w:tcPr>
            <w:tcW w:type="dxa" w:w="6322"/>
            <w:tcBorders>
              <w:start w:sz="3.2000000000000455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Sistema Reporting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temp de SSRS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5117"/>
        <w:gridCol w:w="5117"/>
      </w:tblGrid>
      <w:tr>
        <w:trPr>
          <w:trHeight w:hRule="exact" w:val="772"/>
        </w:trPr>
        <w:tc>
          <w:tcPr>
            <w:tcW w:type="dxa" w:w="3644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4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Base de datos</w:t>
            </w:r>
          </w:p>
        </w:tc>
        <w:tc>
          <w:tcPr>
            <w:tcW w:type="dxa" w:w="6414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04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Estado / Observación</w:t>
            </w:r>
          </w:p>
        </w:tc>
      </w:tr>
      <w:tr>
        <w:trPr>
          <w:trHeight w:hRule="exact" w:val="1124"/>
        </w:trPr>
        <w:tc>
          <w:tcPr>
            <w:tcW w:type="dxa" w:w="3644"/>
            <w:tcBorders>
              <w:start w:sz="4.0" w:val="single" w:color="#5B9AD4"/>
              <w:top w:sz="4.0" w:val="single" w:color="#5B9AD4"/>
              <w:end w:sz="4.0" w:val="single" w:color="#5B9AD4"/>
              <w:bottom w:sz="3.200000000000273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Necor@NC </w:t>
            </w:r>
          </w:p>
        </w:tc>
        <w:tc>
          <w:tcPr>
            <w:tcW w:type="dxa" w:w="6414"/>
            <w:tcBorders>
              <w:start w:sz="4.0" w:val="single" w:color="#5B9AD4"/>
              <w:top w:sz="4.0" w:val="single" w:color="#5B9AD4"/>
              <w:end w:sz="4.0" w:val="single" w:color="#5B9AD4"/>
              <w:bottom w:sz="3.200000000000273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120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 (cliente Noruega)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backups diarios; migración a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MASQL20222 en octubre-2025 </w:t>
            </w:r>
          </w:p>
        </w:tc>
      </w:tr>
      <w:tr>
        <w:trPr>
          <w:trHeight w:hRule="exact" w:val="1120"/>
        </w:trPr>
        <w:tc>
          <w:tcPr>
            <w:tcW w:type="dxa" w:w="3644"/>
            <w:tcBorders>
              <w:start w:sz="4.0" w:val="single" w:color="#5B9AD4"/>
              <w:top w:sz="3.200000000000273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NecoraAWD </w:t>
            </w:r>
          </w:p>
        </w:tc>
        <w:tc>
          <w:tcPr>
            <w:tcW w:type="dxa" w:w="6414"/>
            <w:tcBorders>
              <w:start w:sz="4.0" w:val="single" w:color="#5B9AD4"/>
              <w:top w:sz="3.200000000000273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70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Vacía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se creó para pruebas; eliminar tras validar que no hay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jobs dependientes </w:t>
            </w:r>
          </w:p>
        </w:tc>
      </w:tr>
      <w:tr>
        <w:trPr>
          <w:trHeight w:hRule="exact" w:val="768"/>
        </w:trPr>
        <w:tc>
          <w:tcPr>
            <w:tcW w:type="dxa" w:w="3644"/>
            <w:tcBorders>
              <w:start w:sz="4.0" w:val="single" w:color="#5B9AD4"/>
              <w:top w:sz="4.0" w:val="single" w:color="#5B9AD4"/>
              <w:end w:sz="4.0" w:val="single" w:color="#5B9AD4"/>
              <w:bottom w:sz="3.2000000000007276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ReportServer_ReportingTest </w:t>
            </w:r>
          </w:p>
        </w:tc>
        <w:tc>
          <w:tcPr>
            <w:tcW w:type="dxa" w:w="6414"/>
            <w:tcBorders>
              <w:start w:sz="4.0" w:val="single" w:color="#5B9AD4"/>
              <w:top w:sz="4.0" w:val="single" w:color="#5B9AD4"/>
              <w:end w:sz="4.0" w:val="single" w:color="#5B9AD4"/>
              <w:bottom w:sz="3.2000000000007276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Entorno TEST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migrar o eliminar con el nuevo portal BI </w:t>
            </w:r>
          </w:p>
        </w:tc>
      </w:tr>
      <w:tr>
        <w:trPr>
          <w:trHeight w:hRule="exact" w:val="768"/>
        </w:trPr>
        <w:tc>
          <w:tcPr>
            <w:tcW w:type="dxa" w:w="3644"/>
            <w:tcBorders>
              <w:start w:sz="4.0" w:val="single" w:color="#5B9AD4"/>
              <w:top w:sz="3.2000000000007276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>ReportServer_ReportingTestTempDB</w:t>
            </w: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 xml:space="preserve"> </w:t>
            </w:r>
          </w:p>
        </w:tc>
        <w:tc>
          <w:tcPr>
            <w:tcW w:type="dxa" w:w="6414"/>
            <w:tcBorders>
              <w:start w:sz="4.0" w:val="single" w:color="#5B9AD4"/>
              <w:top w:sz="3.2000000000007276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Entorno TEST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idem anterior 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2.0" w:type="dxa"/>
      </w:tblPr>
      <w:tblGrid>
        <w:gridCol w:w="5117"/>
        <w:gridCol w:w="5117"/>
      </w:tblGrid>
      <w:tr>
        <w:trPr>
          <w:trHeight w:hRule="exact" w:val="31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68" w:firstLine="0"/>
              <w:jc w:val="righ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000000"/>
                <w:sz w:val="18"/>
              </w:rPr>
              <w:t xml:space="preserve">III. 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86" w:right="0" w:firstLine="0"/>
              <w:jc w:val="lef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404040"/>
                <w:sz w:val="18"/>
              </w:rPr>
              <w:t>Instancia: MASQL20171\HOSTDB2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5117"/>
        <w:gridCol w:w="5117"/>
      </w:tblGrid>
      <w:tr>
        <w:trPr>
          <w:trHeight w:hRule="exact" w:val="772"/>
        </w:trPr>
        <w:tc>
          <w:tcPr>
            <w:tcW w:type="dxa" w:w="2612"/>
            <w:tcBorders>
              <w:start w:sz="4.0" w:val="single" w:color="#5B9AD4"/>
              <w:end w:sz="4.0" w:val="single" w:color="#5B9AD4"/>
              <w:bottom w:sz="3.199999999999818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4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Base de datos</w:t>
            </w:r>
          </w:p>
        </w:tc>
        <w:tc>
          <w:tcPr>
            <w:tcW w:type="dxa" w:w="7446"/>
            <w:tcBorders>
              <w:start w:sz="4.0" w:val="single" w:color="#5B9AD4"/>
              <w:end w:sz="4.0" w:val="single" w:color="#5B9AD4"/>
              <w:bottom w:sz="3.199999999999818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4" w:after="0"/>
              <w:ind w:left="0" w:right="0" w:firstLine="0"/>
              <w:jc w:val="center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Estado / Observación</w:t>
            </w:r>
          </w:p>
        </w:tc>
      </w:tr>
      <w:tr>
        <w:trPr>
          <w:trHeight w:hRule="exact" w:val="768"/>
        </w:trPr>
        <w:tc>
          <w:tcPr>
            <w:tcW w:type="dxa" w:w="2612"/>
            <w:tcBorders>
              <w:start w:sz="4.0" w:val="single" w:color="#5B9AD4"/>
              <w:top w:sz="3.199999999999818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Aceros </w:t>
            </w:r>
          </w:p>
        </w:tc>
        <w:tc>
          <w:tcPr>
            <w:tcW w:type="dxa" w:w="7446"/>
            <w:tcBorders>
              <w:start w:sz="4.0" w:val="single" w:color="#5B9AD4"/>
              <w:top w:sz="3.199999999999818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 baja frecuencia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consulta puntual por Programa F110 </w:t>
            </w:r>
          </w:p>
        </w:tc>
      </w:tr>
      <w:tr>
        <w:trPr>
          <w:trHeight w:hRule="exact" w:val="766"/>
        </w:trPr>
        <w:tc>
          <w:tcPr>
            <w:tcW w:type="dxa" w:w="2612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AcerosMPGS </w:t>
            </w:r>
          </w:p>
        </w:tc>
        <w:tc>
          <w:tcPr>
            <w:tcW w:type="dxa" w:w="744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Pendiente migrar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move-group lote 2 (plan WS 2012R2) </w:t>
            </w:r>
          </w:p>
        </w:tc>
      </w:tr>
    </w:tbl>
    <w:p>
      <w:pPr>
        <w:autoSpaceDN w:val="0"/>
        <w:autoSpaceDE w:val="0"/>
        <w:widowControl/>
        <w:spacing w:line="236" w:lineRule="exact" w:before="1072" w:after="0"/>
        <w:ind w:left="0" w:right="1658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37 </w:t>
      </w:r>
    </w:p>
    <w:p>
      <w:pPr>
        <w:sectPr>
          <w:pgSz w:w="11906" w:h="16838"/>
          <w:pgMar w:top="1008" w:right="794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1090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5121"/>
        <w:gridCol w:w="5121"/>
      </w:tblGrid>
      <w:tr>
        <w:trPr>
          <w:trHeight w:hRule="exact" w:val="766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AlmacenesIntermedios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Activa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interfaz SAP; índice IDX_AlmTrans con fragmentación 68 % </w:t>
            </w:r>
          </w:p>
        </w:tc>
      </w:tr>
      <w:tr>
        <w:trPr>
          <w:trHeight w:hRule="exact" w:val="768"/>
        </w:trPr>
        <w:tc>
          <w:tcPr>
            <w:tcW w:type="dxa" w:w="2612"/>
            <w:tcBorders>
              <w:start w:sz="4.0" w:val="single" w:color="#5B9AD4"/>
              <w:top w:sz="2.400000000000091" w:val="single" w:color="#5B9AD4"/>
              <w:end w:sz="4.0" w:val="single" w:color="#5B9AD4"/>
              <w:bottom w:sz="3.2000000000000455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8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BQ 206 </w:t>
            </w:r>
          </w:p>
        </w:tc>
        <w:tc>
          <w:tcPr>
            <w:tcW w:type="dxa" w:w="7446"/>
            <w:tcBorders>
              <w:start w:sz="4.0" w:val="single" w:color="#5B9AD4"/>
              <w:top w:sz="2.400000000000091" w:val="single" w:color="#5B9AD4"/>
              <w:end w:sz="4.0" w:val="single" w:color="#5B9AD4"/>
              <w:bottom w:sz="3.2000000000000455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8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Obsoleta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sin escrituras desde 2018; archivar </w:t>
            </w:r>
          </w:p>
        </w:tc>
      </w:tr>
      <w:tr>
        <w:trPr>
          <w:trHeight w:hRule="exact" w:val="812"/>
        </w:trPr>
        <w:tc>
          <w:tcPr>
            <w:tcW w:type="dxa" w:w="2612"/>
            <w:tcBorders>
              <w:start w:sz="4.0" w:val="single" w:color="#5B9AD4"/>
              <w:top w:sz="3.2000000000000455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ControlAsuntos </w:t>
            </w:r>
          </w:p>
        </w:tc>
        <w:tc>
          <w:tcPr>
            <w:tcW w:type="dxa" w:w="7446"/>
            <w:tcBorders>
              <w:start w:sz="4.0" w:val="single" w:color="#5B9AD4"/>
              <w:top w:sz="3.2000000000000455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8" w:after="0"/>
              <w:ind w:left="12" w:right="576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Activa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workflow VB6; riesgo .NET 3.5 legacy 345e8c4b-ef01-4600-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9dd7… </w:t>
            </w:r>
          </w:p>
        </w:tc>
      </w:tr>
      <w:tr>
        <w:trPr>
          <w:trHeight w:hRule="exact" w:val="768"/>
        </w:trPr>
        <w:tc>
          <w:tcPr>
            <w:tcW w:type="dxa" w:w="2612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ControlDoc </w:t>
            </w:r>
          </w:p>
        </w:tc>
        <w:tc>
          <w:tcPr>
            <w:tcW w:type="dxa" w:w="744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repositorio documentos internos </w:t>
            </w:r>
          </w:p>
        </w:tc>
      </w:tr>
      <w:tr>
        <w:trPr>
          <w:trHeight w:hRule="exact" w:val="766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CoralTest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Desarrollo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sandbox de Coral; limpiar cada trimestre </w:t>
            </w:r>
          </w:p>
        </w:tc>
      </w:tr>
      <w:tr>
        <w:trPr>
          <w:trHeight w:hRule="exact" w:val="766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DB2P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dados de Newport; requiere puerto estático 1456 </w:t>
            </w:r>
          </w:p>
        </w:tc>
      </w:tr>
      <w:tr>
        <w:trPr>
          <w:trHeight w:hRule="exact" w:val="768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3.200000000000273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DB2T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3.200000000000273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Test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restauración diaria de DB2P </w:t>
            </w:r>
          </w:p>
        </w:tc>
      </w:tr>
      <w:tr>
        <w:trPr>
          <w:trHeight w:hRule="exact" w:val="766"/>
        </w:trPr>
        <w:tc>
          <w:tcPr>
            <w:tcW w:type="dxa" w:w="2612"/>
            <w:tcBorders>
              <w:start w:sz="4.0" w:val="single" w:color="#5B9AD4"/>
              <w:top w:sz="3.200000000000273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GestionHerramental </w:t>
            </w:r>
          </w:p>
        </w:tc>
        <w:tc>
          <w:tcPr>
            <w:tcW w:type="dxa" w:w="7446"/>
            <w:tcBorders>
              <w:start w:sz="4.0" w:val="single" w:color="#5B9AD4"/>
              <w:top w:sz="3.200000000000273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migrar a RADAR (nov-2025) 0adce6d2-706d-4681-8949… </w:t>
            </w:r>
          </w:p>
        </w:tc>
      </w:tr>
      <w:tr>
        <w:trPr>
          <w:trHeight w:hRule="exact" w:val="770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LowCodeWorkOrders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PoC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app Power Apps; validar modelo de seguridad </w:t>
            </w:r>
          </w:p>
        </w:tc>
      </w:tr>
      <w:tr>
        <w:trPr>
          <w:trHeight w:hRule="exact" w:val="1120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Necor@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68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núcleo HOST; integrado con MASERVF9 TEAMS - Integración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mat… </w:t>
            </w:r>
          </w:p>
        </w:tc>
      </w:tr>
      <w:tr>
        <w:trPr>
          <w:trHeight w:hRule="exact" w:val="766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Ordenes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integración MES; alto I/O nocturno </w:t>
            </w:r>
          </w:p>
        </w:tc>
      </w:tr>
      <w:tr>
        <w:trPr>
          <w:trHeight w:hRule="exact" w:val="766"/>
        </w:trPr>
        <w:tc>
          <w:tcPr>
            <w:tcW w:type="dxa" w:w="2612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ReportServer_SI2 </w:t>
            </w:r>
          </w:p>
        </w:tc>
        <w:tc>
          <w:tcPr>
            <w:tcW w:type="dxa" w:w="744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Sistema Reporting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activo; pendiente renombrar estándar </w:t>
            </w:r>
          </w:p>
        </w:tc>
      </w:tr>
      <w:tr>
        <w:trPr>
          <w:trHeight w:hRule="exact" w:val="1324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26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>ReportServer_SI2TempDB</w:t>
            </w: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12"/>
            </w:tblGrid>
            <w:tr>
              <w:trPr>
                <w:trHeight w:hRule="exact" w:val="738"/>
              </w:trPr>
              <w:tc>
                <w:tcPr>
                  <w:tcW w:type="dxa" w:w="2602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96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Base de datos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6" w:after="26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Sistema Reporting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activo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446"/>
            </w:tblGrid>
            <w:tr>
              <w:trPr>
                <w:trHeight w:hRule="exact" w:val="738"/>
              </w:trPr>
              <w:tc>
                <w:tcPr>
                  <w:tcW w:type="dxa" w:w="7436"/>
                  <w:tcBorders/>
                  <w:shd w:fill="bcd6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96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7" w:hAnsi="CIDFont+F7" w:eastAsia="CIDFont+F7"/>
                      <w:b/>
                      <w:i w:val="0"/>
                      <w:color w:val="404040"/>
                      <w:sz w:val="19"/>
                    </w:rPr>
                    <w:t>Estado / Observación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6" w:lineRule="exact" w:before="672" w:after="0"/>
        <w:ind w:left="0" w:right="1666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38 </w:t>
      </w:r>
    </w:p>
    <w:p>
      <w:pPr>
        <w:sectPr>
          <w:pgSz w:w="11906" w:h="16838"/>
          <w:pgMar w:top="1008" w:right="786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1090"/>
        <w:ind w:left="5934" w:right="86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5182"/>
        <w:gridCol w:w="5182"/>
      </w:tblGrid>
      <w:tr>
        <w:trPr>
          <w:trHeight w:hRule="exact" w:val="768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70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SSISDB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Sistema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cat. SSIS; backup FULL semanal </w:t>
            </w:r>
          </w:p>
        </w:tc>
      </w:tr>
      <w:tr>
        <w:trPr>
          <w:trHeight w:hRule="exact" w:val="764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SubContratas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2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módulo contratos; revisar FK inconsistentes </w:t>
            </w:r>
          </w:p>
        </w:tc>
      </w:tr>
      <w:tr>
        <w:trPr>
          <w:trHeight w:hRule="exact" w:val="1222"/>
        </w:trPr>
        <w:tc>
          <w:tcPr>
            <w:tcW w:type="dxa" w:w="2612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6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V6 </w:t>
            </w:r>
          </w:p>
        </w:tc>
        <w:tc>
          <w:tcPr>
            <w:tcW w:type="dxa" w:w="744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7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Producción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destino flujo F100_MAT_SAP; monitorización proactiva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pendiente </w:t>
            </w:r>
          </w:p>
          <w:p>
            <w:pPr>
              <w:autoSpaceDN w:val="0"/>
              <w:autoSpaceDE w:val="0"/>
              <w:widowControl/>
              <w:spacing w:line="236" w:lineRule="exact" w:before="17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TEAMS - Integración mat… </w:t>
            </w:r>
          </w:p>
        </w:tc>
      </w:tr>
      <w:tr>
        <w:trPr>
          <w:trHeight w:hRule="exact" w:val="766"/>
        </w:trPr>
        <w:tc>
          <w:tcPr>
            <w:tcW w:type="dxa" w:w="2612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V6_2 </w:t>
            </w:r>
          </w:p>
        </w:tc>
        <w:tc>
          <w:tcPr>
            <w:tcW w:type="dxa" w:w="74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4" w:after="0"/>
              <w:ind w:left="12" w:right="0" w:firstLine="0"/>
              <w:jc w:val="left"/>
            </w:pPr>
            <w:r>
              <w:rPr>
                <w:w w:val="102.05118279708059"/>
                <w:rFonts w:ascii="CIDFont+F7" w:hAnsi="CIDFont+F7" w:eastAsia="CIDFont+F7"/>
                <w:b/>
                <w:i w:val="0"/>
                <w:color w:val="404040"/>
                <w:sz w:val="19"/>
              </w:rPr>
              <w:t>Calidad / pruebas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 – copia de V6; </w:t>
            </w:r>
          </w:p>
        </w:tc>
      </w:tr>
    </w:tbl>
    <w:p>
      <w:pPr>
        <w:autoSpaceDN w:val="0"/>
        <w:autoSpaceDE w:val="0"/>
        <w:widowControl/>
        <w:spacing w:line="236" w:lineRule="exact" w:before="160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Nota: en el caso de la instancia MASQL20171\HOSTDB2 no se han incluido las bases que comienzan por </w:t>
      </w:r>
    </w:p>
    <w:p>
      <w:pPr>
        <w:autoSpaceDN w:val="0"/>
        <w:autoSpaceDE w:val="0"/>
        <w:widowControl/>
        <w:spacing w:line="234" w:lineRule="exact" w:before="118" w:after="0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'T_' al considerarse entornos de prueba (TEST) de las anteriores. </w:t>
      </w:r>
    </w:p>
    <w:p>
      <w:pPr>
        <w:autoSpaceDN w:val="0"/>
        <w:autoSpaceDE w:val="0"/>
        <w:widowControl/>
        <w:spacing w:line="378" w:lineRule="exact" w:before="504" w:after="0"/>
        <w:ind w:left="2170" w:right="0" w:firstLine="0"/>
        <w:jc w:val="left"/>
      </w:pPr>
      <w:r>
        <w:rPr>
          <w:rFonts w:ascii="CIDFont+F1" w:hAnsi="CIDFont+F1" w:eastAsia="CIDFont+F1"/>
          <w:b w:val="0"/>
          <w:i w:val="0"/>
          <w:color w:val="0095A4"/>
          <w:sz w:val="31"/>
        </w:rPr>
        <w:t>7.2</w:t>
      </w:r>
      <w:r>
        <w:rPr>
          <w:w w:val="102.3449943179176"/>
          <w:rFonts w:ascii="CIDFont+F1" w:hAnsi="CIDFont+F1" w:eastAsia="CIDFont+F1"/>
          <w:b w:val="0"/>
          <w:i w:val="0"/>
          <w:color w:val="0095A4"/>
          <w:sz w:val="21"/>
        </w:rPr>
        <w:t>Anexo – Inventario de Jobs por instancia</w:t>
      </w:r>
    </w:p>
    <w:p>
      <w:pPr>
        <w:autoSpaceDN w:val="0"/>
        <w:autoSpaceDE w:val="0"/>
        <w:widowControl/>
        <w:spacing w:line="236" w:lineRule="exact" w:before="616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Este anexo recoge el inventario de trabajos (SQL Server Agent Jobs) habilitados en distintas instancias </w:t>
      </w:r>
    </w:p>
    <w:p>
      <w:pPr>
        <w:autoSpaceDN w:val="0"/>
        <w:autoSpaceDE w:val="0"/>
        <w:widowControl/>
        <w:spacing w:line="236" w:lineRule="exact" w:before="116" w:after="0"/>
        <w:ind w:left="0" w:right="0" w:firstLine="0"/>
        <w:jc w:val="center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SQL de Navantia, tal como aparecen configurados en el Job Activity Monitor. Para cada job se indica si </w:t>
      </w:r>
    </w:p>
    <w:p>
      <w:pPr>
        <w:autoSpaceDN w:val="0"/>
        <w:autoSpaceDE w:val="0"/>
        <w:widowControl/>
        <w:spacing w:line="236" w:lineRule="exact" w:before="120" w:after="648"/>
        <w:ind w:left="92" w:right="0" w:firstLine="0"/>
        <w:jc w:val="lef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está activo y la frecuencia estimada de ejecución-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2.0" w:type="dxa"/>
      </w:tblPr>
      <w:tblGrid>
        <w:gridCol w:w="5182"/>
        <w:gridCol w:w="5182"/>
      </w:tblGrid>
      <w:tr>
        <w:trPr>
          <w:trHeight w:hRule="exact" w:val="31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124" w:firstLine="0"/>
              <w:jc w:val="righ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000000"/>
                <w:sz w:val="18"/>
              </w:rPr>
              <w:t xml:space="preserve">I. 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126" w:right="0" w:firstLine="0"/>
              <w:jc w:val="lef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404040"/>
                <w:sz w:val="18"/>
              </w:rPr>
              <w:t>Instancia: MASQL20171\HOSTDB2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53.9999999999998" w:type="dxa"/>
      </w:tblPr>
      <w:tblGrid>
        <w:gridCol w:w="3455"/>
        <w:gridCol w:w="3455"/>
        <w:gridCol w:w="3455"/>
      </w:tblGrid>
      <w:tr>
        <w:trPr>
          <w:trHeight w:hRule="exact" w:val="802"/>
        </w:trPr>
        <w:tc>
          <w:tcPr>
            <w:tcW w:type="dxa" w:w="4410"/>
            <w:tcBorders>
              <w:start w:sz="2.3999999999999773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Nombre del Job </w:t>
            </w:r>
          </w:p>
        </w:tc>
        <w:tc>
          <w:tcPr>
            <w:tcW w:type="dxa" w:w="900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156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Activo </w:t>
            </w:r>
          </w:p>
        </w:tc>
        <w:tc>
          <w:tcPr>
            <w:tcW w:type="dxa" w:w="2246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4" w:after="0"/>
              <w:ind w:left="156" w:right="864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Frecuencia </w:t>
            </w:r>
            <w:r>
              <w:br/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estimada </w:t>
            </w:r>
          </w:p>
        </w:tc>
      </w:tr>
      <w:tr>
        <w:trPr>
          <w:trHeight w:hRule="exact" w:val="726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SAPInterfaces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Replication agents checkup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</w:tbl>
    <w:p>
      <w:pPr>
        <w:autoSpaceDN w:val="0"/>
        <w:autoSpaceDE w:val="0"/>
        <w:widowControl/>
        <w:spacing w:line="236" w:lineRule="exact" w:before="950" w:after="0"/>
        <w:ind w:left="0" w:right="1788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39 </w:t>
      </w:r>
    </w:p>
    <w:p>
      <w:pPr>
        <w:sectPr>
          <w:pgSz w:w="11906" w:h="16838"/>
          <w:pgMar w:top="1008" w:right="664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1090"/>
        <w:ind w:left="5934" w:right="14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3.9999999999998" w:type="dxa"/>
      </w:tblPr>
      <w:tblGrid>
        <w:gridCol w:w="3196"/>
        <w:gridCol w:w="3196"/>
        <w:gridCol w:w="3196"/>
      </w:tblGrid>
      <w:tr>
        <w:trPr>
          <w:trHeight w:hRule="exact" w:val="724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INTERFACES_NET_CARGA_MATERIAL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MaintenancePlan - Backup Full and Log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BATCH_NECORANET_BRAVOERI_AR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No programado </w:t>
            </w:r>
          </w:p>
        </w:tc>
      </w:tr>
      <w:tr>
        <w:trPr>
          <w:trHeight w:hRule="exact" w:val="724"/>
        </w:trPr>
        <w:tc>
          <w:tcPr>
            <w:tcW w:type="dxa" w:w="4410"/>
            <w:tcBorders>
              <w:start w:sz="2.3999999999999773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BATCH_NECORANET_BRAVROPE_PROD </w:t>
            </w:r>
          </w:p>
        </w:tc>
        <w:tc>
          <w:tcPr>
            <w:tcW w:type="dxa" w:w="900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No programado </w:t>
            </w:r>
          </w:p>
        </w:tc>
      </w:tr>
      <w:tr>
        <w:trPr>
          <w:trHeight w:hRule="exact" w:val="724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syspolicy_purge_history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INTERFACES_SAP_AUTOMATICOS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ShrinkLogDBProduction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4410"/>
            <w:tcBorders>
              <w:start w:sz="2.3999999999999773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SSIS Server Maintenance Job </w:t>
            </w:r>
          </w:p>
        </w:tc>
        <w:tc>
          <w:tcPr>
            <w:tcW w:type="dxa" w:w="900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6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MaintenancePlan - Shrink shrinkDataBase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53.9999999999998" w:type="dxa"/>
      </w:tblPr>
      <w:tblGrid>
        <w:gridCol w:w="3196"/>
        <w:gridCol w:w="3196"/>
        <w:gridCol w:w="3196"/>
      </w:tblGrid>
      <w:tr>
        <w:trPr>
          <w:trHeight w:hRule="exact" w:val="722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Borrado-planes-mantenimiento Subplan_8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98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0" w:after="0"/>
              <w:ind w:left="100" w:right="100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MaintenancePlan - Clean History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Subplan_1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ShrinkLogDBTest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4410"/>
            <w:tcBorders>
              <w:start w:sz="2.3999999999999773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DiarioDorado-BK Dorado-backups </w:t>
            </w:r>
          </w:p>
        </w:tc>
        <w:tc>
          <w:tcPr>
            <w:tcW w:type="dxa" w:w="900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4410"/>
            <w:tcBorders>
              <w:start w:sz="2.3999999999999773" w:val="single" w:color="#5B9AD4"/>
              <w:top w:sz="3.199999999999818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_ShrinkBKTTest </w:t>
            </w:r>
          </w:p>
        </w:tc>
        <w:tc>
          <w:tcPr>
            <w:tcW w:type="dxa" w:w="900"/>
            <w:tcBorders>
              <w:start w:sz="4.0" w:val="single" w:color="#5B9AD4"/>
              <w:top w:sz="3.199999999999818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6"/>
            <w:tcBorders>
              <w:start w:sz="4.0" w:val="single" w:color="#5B9AD4"/>
              <w:top w:sz="3.199999999999818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</w:tbl>
    <w:p>
      <w:pPr>
        <w:autoSpaceDN w:val="0"/>
        <w:autoSpaceDE w:val="0"/>
        <w:widowControl/>
        <w:spacing w:line="236" w:lineRule="exact" w:before="982" w:after="0"/>
        <w:ind w:left="0" w:right="101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40 </w:t>
      </w:r>
    </w:p>
    <w:p>
      <w:pPr>
        <w:sectPr>
          <w:pgSz w:w="11906" w:h="16838"/>
          <w:pgMar w:top="1008" w:right="1440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14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94"/>
        <w:gridCol w:w="4794"/>
      </w:tblGrid>
      <w:tr>
        <w:trPr>
          <w:trHeight w:hRule="exact" w:val="9602"/>
        </w:trPr>
        <w:tc>
          <w:tcPr>
            <w:tcW w:type="dxa" w:w="152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9330" w:after="0"/>
              <w:ind w:left="0" w:right="94" w:firstLine="0"/>
              <w:jc w:val="righ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000000"/>
                <w:sz w:val="18"/>
              </w:rPr>
              <w:t xml:space="preserve">II. </w:t>
            </w:r>
          </w:p>
        </w:tc>
        <w:tc>
          <w:tcPr>
            <w:tcW w:type="dxa" w:w="735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68.0000000000001" w:type="dxa"/>
            </w:tblPr>
            <w:tblGrid>
              <w:gridCol w:w="2451"/>
              <w:gridCol w:w="2451"/>
              <w:gridCol w:w="2451"/>
            </w:tblGrid>
            <w:tr>
              <w:trPr>
                <w:trHeight w:hRule="exact" w:val="724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TestingActiveScripting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Diario </w:t>
                  </w:r>
                </w:p>
              </w:tc>
            </w:tr>
            <w:tr>
              <w:trPr>
                <w:trHeight w:hRule="exact" w:val="722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Diario-Subplan_3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Semanal </w:t>
                  </w:r>
                </w:p>
              </w:tc>
            </w:tr>
            <w:tr>
              <w:trPr>
                <w:trHeight w:hRule="exact" w:val="798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262" w:after="0"/>
                    <w:ind w:left="100" w:right="432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MaintenancePlan - Rebuild Index And </w:t>
                  </w: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Stats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Semanal 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8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INTERFACES_NET_CARGA_CABECERAS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8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8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No programado </w:t>
                  </w:r>
                </w:p>
              </w:tc>
            </w:tr>
            <w:tr>
              <w:trPr>
                <w:trHeight w:hRule="exact" w:val="726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2" w:after="0"/>
                    <w:ind w:left="0" w:right="0" w:firstLine="0"/>
                    <w:jc w:val="center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INTERFACES_NET_CARGA_CABECERAS_2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2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2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No programado </w:t>
                  </w:r>
                </w:p>
              </w:tc>
            </w:tr>
            <w:tr>
              <w:trPr>
                <w:trHeight w:hRule="exact" w:val="724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3.200000000000273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BATCH_FICHEROS_PCACNEX_CARGA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200000000000273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200000000000273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No programado </w:t>
                  </w:r>
                </w:p>
              </w:tc>
            </w:tr>
            <w:tr>
              <w:trPr>
                <w:trHeight w:hRule="exact" w:val="724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3.200000000000273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78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SAPcompressionHistoryFiles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3.200000000000273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78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3.200000000000273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78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Mensual </w:t>
                  </w:r>
                </w:p>
              </w:tc>
            </w:tr>
            <w:tr>
              <w:trPr>
                <w:trHeight w:hRule="exact" w:val="722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6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Z_InformeGD_AWD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6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6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No programado 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BATCH_FICHEROS_HOJAS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No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0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No programado </w:t>
                  </w:r>
                </w:p>
              </w:tc>
            </w:tr>
            <w:tr>
              <w:trPr>
                <w:trHeight w:hRule="exact" w:val="726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3.199999999999818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4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BATCH_FICHEROS_SI2_NO_INMEDIATO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199999999999818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4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199999999999818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84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No programado </w:t>
                  </w:r>
                </w:p>
              </w:tc>
            </w:tr>
            <w:tr>
              <w:trPr>
                <w:trHeight w:hRule="exact" w:val="726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3.199999999999818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82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BATCH_FICHEROS_SI2_INMEDIATO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3.199999999999818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82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3.199999999999818" w:val="single" w:color="#5B9AD4"/>
                    <w:end w:sz="4.0" w:val="single" w:color="#5B9AD4"/>
                    <w:bottom w:sz="4.0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82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Ejecución reciente 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tcW w:type="dxa" w:w="4410"/>
                  <w:tcBorders>
                    <w:start w:sz="2.3999999999999773" w:val="single" w:color="#5B9AD4"/>
                    <w:top w:sz="4.0" w:val="single" w:color="#5B9AD4"/>
                    <w:end w:sz="4.0" w:val="single" w:color="#5B9AD4"/>
                    <w:bottom w:sz="3.2000000000007276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6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MaintenancePlan - Check DB Subplan_1 </w:t>
                  </w:r>
                </w:p>
              </w:tc>
              <w:tc>
                <w:tcPr>
                  <w:tcW w:type="dxa" w:w="900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2000000000007276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6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Sí </w:t>
                  </w:r>
                </w:p>
              </w:tc>
              <w:tc>
                <w:tcPr>
                  <w:tcW w:type="dxa" w:w="2246"/>
                  <w:tcBorders>
                    <w:start w:sz="4.0" w:val="single" w:color="#5B9AD4"/>
                    <w:top w:sz="4.0" w:val="single" w:color="#5B9AD4"/>
                    <w:end w:sz="4.0" w:val="single" w:color="#5B9AD4"/>
                    <w:bottom w:sz="3.2000000000007276" w:val="single" w:color="#5B9AD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76" w:after="0"/>
                    <w:ind w:left="100" w:right="0" w:firstLine="0"/>
                    <w:jc w:val="left"/>
                  </w:pPr>
                  <w:r>
                    <w:rPr>
                      <w:w w:val="102.05118279708059"/>
                      <w:rFonts w:ascii="CIDFont+F1" w:hAnsi="CIDFont+F1" w:eastAsia="CIDFont+F1"/>
                      <w:b w:val="0"/>
                      <w:i w:val="0"/>
                      <w:color w:val="404040"/>
                      <w:sz w:val="19"/>
                    </w:rPr>
                    <w:t xml:space="preserve">Diario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6" w:lineRule="exact" w:before="160" w:after="0"/>
              <w:ind w:left="106" w:right="0" w:firstLine="0"/>
              <w:jc w:val="lef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404040"/>
                <w:sz w:val="18"/>
              </w:rPr>
              <w:t>Instancia: MASQL20142\NECORANET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3196"/>
        <w:gridCol w:w="3196"/>
        <w:gridCol w:w="3196"/>
      </w:tblGrid>
      <w:tr>
        <w:trPr>
          <w:trHeight w:hRule="exact" w:val="728"/>
        </w:trPr>
        <w:tc>
          <w:tcPr>
            <w:tcW w:type="dxa" w:w="5098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Nombre del Job </w:t>
            </w:r>
          </w:p>
        </w:tc>
        <w:tc>
          <w:tcPr>
            <w:tcW w:type="dxa" w:w="816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>Activo</w:t>
            </w:r>
          </w:p>
        </w:tc>
        <w:tc>
          <w:tcPr>
            <w:tcW w:type="dxa" w:w="2240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>Frecuencia estimada</w:t>
            </w:r>
          </w:p>
        </w:tc>
      </w:tr>
      <w:tr>
        <w:trPr>
          <w:trHeight w:hRule="exact" w:val="724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3.2000000000007276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Nautilus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3.2000000000007276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3.2000000000007276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</w:tbl>
    <w:p>
      <w:pPr>
        <w:autoSpaceDN w:val="0"/>
        <w:autoSpaceDE w:val="0"/>
        <w:widowControl/>
        <w:spacing w:line="236" w:lineRule="exact" w:before="1022" w:after="0"/>
        <w:ind w:left="0" w:right="101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41 </w:t>
      </w:r>
    </w:p>
    <w:p>
      <w:pPr>
        <w:sectPr>
          <w:pgSz w:w="11906" w:h="16838"/>
          <w:pgMar w:top="1008" w:right="1440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1090"/>
        <w:ind w:left="5934" w:right="14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3196"/>
        <w:gridCol w:w="3196"/>
        <w:gridCol w:w="3196"/>
      </w:tblGrid>
      <w:tr>
        <w:trPr>
          <w:trHeight w:hRule="exact" w:val="724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Z7_Carga NAIL NC1XSQ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ActualizarEstadoCasillas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99_Correccion Codigo TDRevision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5098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Agent history clean up: distribution </w:t>
            </w:r>
          </w:p>
        </w:tc>
        <w:tc>
          <w:tcPr>
            <w:tcW w:type="dxa" w:w="816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78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Replication agents checkup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MaintenancePlan - Backup Full And TLogs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25_Carga NecoraNET - Materiales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2.400000000000091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5098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Distribucion delta </w:t>
            </w:r>
          </w:p>
        </w:tc>
        <w:tc>
          <w:tcPr>
            <w:tcW w:type="dxa" w:w="816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2.400000000000091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6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30_Carga NecoraNET - Carga completa + reglas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2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Plan CheckDB Subplan_1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6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Plan_Indices Reorganiza Subplan_1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Semanal </w:t>
            </w:r>
          </w:p>
        </w:tc>
      </w:tr>
      <w:tr>
        <w:trPr>
          <w:trHeight w:hRule="exact" w:val="722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78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22_Carga NAIL PEC - Carga Asuntos y Tareas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78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94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64" w:after="0"/>
              <w:ind w:left="102" w:right="864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22_Carga NAIL PEC - Carga completa +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materiales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5098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99_Correccion extensiones </w:t>
            </w:r>
          </w:p>
        </w:tc>
        <w:tc>
          <w:tcPr>
            <w:tcW w:type="dxa" w:w="81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0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5098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MaintenancePlan - Clean History Subplan_1 </w:t>
            </w:r>
          </w:p>
        </w:tc>
        <w:tc>
          <w:tcPr>
            <w:tcW w:type="dxa" w:w="81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40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</w:tbl>
    <w:p>
      <w:pPr>
        <w:autoSpaceDN w:val="0"/>
        <w:autoSpaceDE w:val="0"/>
        <w:widowControl/>
        <w:spacing w:line="236" w:lineRule="exact" w:before="678" w:after="0"/>
        <w:ind w:left="0" w:right="101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42 </w:t>
      </w:r>
    </w:p>
    <w:p>
      <w:pPr>
        <w:sectPr>
          <w:pgSz w:w="11906" w:h="16838"/>
          <w:pgMar w:top="1008" w:right="1440" w:bottom="710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</wp:posOffset>
            </wp:positionH>
            <wp:positionV relativeFrom="page">
              <wp:posOffset>970280</wp:posOffset>
            </wp:positionV>
            <wp:extent cx="6369049" cy="945678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049" cy="945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60" w:val="left"/>
        </w:tabs>
        <w:autoSpaceDE w:val="0"/>
        <w:pStyle w:val="Heading1"/>
        <w:widowControl/>
        <w:spacing w:line="234" w:lineRule="exact" w:before="0" w:after="648"/>
        <w:ind w:left="5934" w:right="144" w:firstLine="0"/>
        <w:jc w:val="left"/>
      </w:pP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 xml:space="preserve">Estado actual plataforma BBDD </w:t>
      </w:r>
      <w:r>
        <w:br/>
      </w:r>
      <w:r>
        <w:rPr>
          <w:w w:val="102.04989784642268"/>
          <w:rFonts w:ascii="CIDFont+F7" w:hAnsi="CIDFont+F7" w:eastAsia="CIDFont+F7"/>
          <w:b/>
          <w:i w:val="0"/>
          <w:color w:val="000000"/>
          <w:sz w:val="19"/>
        </w:rPr>
        <w:t>Ref Doc Tec 202505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94"/>
        <w:gridCol w:w="4794"/>
      </w:tblGrid>
      <w:tr>
        <w:trPr>
          <w:trHeight w:hRule="exact" w:val="2838"/>
        </w:trPr>
        <w:tc>
          <w:tcPr>
            <w:tcW w:type="dxa" w:w="154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68" w:after="0"/>
              <w:ind w:left="0" w:right="68" w:firstLine="0"/>
              <w:jc w:val="righ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000000"/>
                <w:sz w:val="18"/>
              </w:rPr>
              <w:t xml:space="preserve">III. </w:t>
            </w:r>
          </w:p>
        </w:tc>
        <w:tc>
          <w:tcPr>
            <w:tcW w:type="dxa" w:w="7332"/>
            <w:tcBorders>
              <w:top w:sz="12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68" w:after="0"/>
              <w:ind w:left="86" w:right="0" w:firstLine="0"/>
              <w:jc w:val="left"/>
            </w:pPr>
            <w:r>
              <w:rPr>
                <w:w w:val="97.33870824178061"/>
                <w:rFonts w:ascii="CIDFont+F9" w:hAnsi="CIDFont+F9" w:eastAsia="CIDFont+F9"/>
                <w:b/>
                <w:i w:val="0"/>
                <w:color w:val="404040"/>
                <w:sz w:val="18"/>
              </w:rPr>
              <w:t>Instancia: MASQL20221\SQLNORWAY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38.0" w:type="dxa"/>
      </w:tblPr>
      <w:tblGrid>
        <w:gridCol w:w="3196"/>
        <w:gridCol w:w="3196"/>
        <w:gridCol w:w="3196"/>
      </w:tblGrid>
      <w:tr>
        <w:trPr>
          <w:trHeight w:hRule="exact" w:val="802"/>
        </w:trPr>
        <w:tc>
          <w:tcPr>
            <w:tcW w:type="dxa" w:w="3920"/>
            <w:tcBorders>
              <w:start w:sz="4.0" w:val="single" w:color="#5B9AD4"/>
              <w:end w:sz="3.199999999999818" w:val="single" w:color="#5B9AD4"/>
              <w:bottom w:sz="3.199999999999818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Nombre del Job </w:t>
            </w:r>
          </w:p>
        </w:tc>
        <w:tc>
          <w:tcPr>
            <w:tcW w:type="dxa" w:w="824"/>
            <w:tcBorders>
              <w:start w:sz="3.199999999999818" w:val="single" w:color="#5B9AD4"/>
              <w:end w:sz="3.199999999999818" w:val="single" w:color="#5B9AD4"/>
              <w:bottom w:sz="3.199999999999818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90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>Activo</w:t>
            </w:r>
          </w:p>
        </w:tc>
        <w:tc>
          <w:tcPr>
            <w:tcW w:type="dxa" w:w="2238"/>
            <w:tcBorders>
              <w:start w:sz="3.199999999999818" w:val="single" w:color="#5B9AD4"/>
              <w:end w:sz="4.0" w:val="single" w:color="#5B9AD4"/>
              <w:bottom w:sz="3.199999999999818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4" w:after="0"/>
              <w:ind w:left="160" w:right="864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Frecuencia </w:t>
            </w:r>
            <w:r>
              <w:br/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estimada </w:t>
            </w:r>
          </w:p>
        </w:tc>
      </w:tr>
      <w:tr>
        <w:trPr>
          <w:trHeight w:hRule="exact" w:val="794"/>
        </w:trPr>
        <w:tc>
          <w:tcPr>
            <w:tcW w:type="dxa" w:w="3920"/>
            <w:tcBorders>
              <w:start w:sz="4.0" w:val="single" w:color="#5B9AD4"/>
              <w:top w:sz="3.199999999999818" w:val="single" w:color="#5B9AD4"/>
              <w:end w:sz="3.199999999999818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64" w:after="0"/>
              <w:ind w:left="104" w:right="28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MaintenancePlan - BackupFull And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Log </w:t>
            </w:r>
          </w:p>
        </w:tc>
        <w:tc>
          <w:tcPr>
            <w:tcW w:type="dxa" w:w="824"/>
            <w:tcBorders>
              <w:start w:sz="3.199999999999818" w:val="single" w:color="#5B9AD4"/>
              <w:top w:sz="3.199999999999818" w:val="single" w:color="#5B9AD4"/>
              <w:end w:sz="3.199999999999818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2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38"/>
            <w:tcBorders>
              <w:start w:sz="3.199999999999818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2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3920"/>
            <w:tcBorders>
              <w:start w:sz="4.0" w:val="single" w:color="#5B9AD4"/>
              <w:top w:sz="4.0" w:val="single" w:color="#5B9AD4"/>
              <w:end w:sz="3.199999999999818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2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01_Carga NORWAY </w:t>
            </w:r>
          </w:p>
        </w:tc>
        <w:tc>
          <w:tcPr>
            <w:tcW w:type="dxa" w:w="824"/>
            <w:tcBorders>
              <w:start w:sz="3.199999999999818" w:val="single" w:color="#5B9AD4"/>
              <w:top w:sz="4.0" w:val="single" w:color="#5B9AD4"/>
              <w:end w:sz="3.199999999999818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2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No </w:t>
            </w:r>
          </w:p>
        </w:tc>
        <w:tc>
          <w:tcPr>
            <w:tcW w:type="dxa" w:w="2238"/>
            <w:tcBorders>
              <w:start w:sz="3.199999999999818" w:val="single" w:color="#5B9AD4"/>
              <w:top w:sz="4.0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2" w:after="0"/>
              <w:ind w:left="104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</w:tbl>
    <w:p>
      <w:pPr>
        <w:autoSpaceDN w:val="0"/>
        <w:autoSpaceDE w:val="0"/>
        <w:pStyle w:val="Heading1"/>
        <w:widowControl/>
        <w:spacing w:line="196" w:lineRule="exact" w:before="164" w:after="18"/>
        <w:ind w:left="1232" w:right="0" w:firstLine="0"/>
        <w:jc w:val="left"/>
      </w:pPr>
      <w:r>
        <w:rPr>
          <w:w w:val="97.33870824178061"/>
          <w:rFonts w:ascii="CIDFont+F9" w:hAnsi="CIDFont+F9" w:eastAsia="CIDFont+F9"/>
          <w:b/>
          <w:i w:val="0"/>
          <w:color w:val="000000"/>
          <w:sz w:val="18"/>
        </w:rPr>
        <w:t xml:space="preserve">IV. </w:t>
      </w:r>
      <w:r>
        <w:rPr>
          <w:w w:val="97.33870824178061"/>
          <w:rFonts w:ascii="CIDFont+F9" w:hAnsi="CIDFont+F9" w:eastAsia="CIDFont+F9"/>
          <w:b/>
          <w:i w:val="0"/>
          <w:color w:val="404040"/>
          <w:sz w:val="18"/>
        </w:rPr>
        <w:t>Instancia: MASQL20221\SQLTURK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8.0" w:type="dxa"/>
      </w:tblPr>
      <w:tblGrid>
        <w:gridCol w:w="3196"/>
        <w:gridCol w:w="3196"/>
        <w:gridCol w:w="3196"/>
      </w:tblGrid>
      <w:tr>
        <w:trPr>
          <w:trHeight w:hRule="exact" w:val="798"/>
        </w:trPr>
        <w:tc>
          <w:tcPr>
            <w:tcW w:type="dxa" w:w="3986"/>
            <w:tcBorders>
              <w:start w:sz="4.0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8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Nombre del Job </w:t>
            </w:r>
          </w:p>
        </w:tc>
        <w:tc>
          <w:tcPr>
            <w:tcW w:type="dxa" w:w="824"/>
            <w:tcBorders>
              <w:start w:sz="4.0" w:val="single" w:color="#5B9AD4"/>
              <w:end w:sz="3.199999999999818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8" w:after="0"/>
              <w:ind w:left="0" w:right="0" w:firstLine="0"/>
              <w:jc w:val="center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>Activo</w:t>
            </w:r>
          </w:p>
        </w:tc>
        <w:tc>
          <w:tcPr>
            <w:tcW w:type="dxa" w:w="2236"/>
            <w:tcBorders>
              <w:start w:sz="3.199999999999818" w:val="single" w:color="#5B9AD4"/>
              <w:end w:sz="4.0" w:val="single" w:color="#5B9AD4"/>
              <w:bottom w:sz="4.0" w:val="single" w:color="#5B9AD4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0" w:after="0"/>
              <w:ind w:left="156" w:right="864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Frecuencia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estimada </w:t>
            </w:r>
          </w:p>
        </w:tc>
      </w:tr>
      <w:tr>
        <w:trPr>
          <w:trHeight w:hRule="exact" w:val="798"/>
        </w:trPr>
        <w:tc>
          <w:tcPr>
            <w:tcW w:type="dxa" w:w="3986"/>
            <w:tcBorders>
              <w:start w:sz="4.0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4" w:after="0"/>
              <w:ind w:left="100" w:right="288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MaintenancePlan - Backup Full And </w:t>
            </w: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Log </w:t>
            </w:r>
          </w:p>
        </w:tc>
        <w:tc>
          <w:tcPr>
            <w:tcW w:type="dxa" w:w="824"/>
            <w:tcBorders>
              <w:start w:sz="4.0" w:val="single" w:color="#5B9AD4"/>
              <w:top w:sz="4.0" w:val="single" w:color="#5B9AD4"/>
              <w:end w:sz="3.199999999999818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36"/>
            <w:tcBorders>
              <w:start w:sz="3.199999999999818" w:val="single" w:color="#5B9AD4"/>
              <w:top w:sz="4.0" w:val="single" w:color="#5B9AD4"/>
              <w:end w:sz="4.0" w:val="single" w:color="#5B9AD4"/>
              <w:bottom w:sz="3.199999999999818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2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Diario </w:t>
            </w:r>
          </w:p>
        </w:tc>
      </w:tr>
      <w:tr>
        <w:trPr>
          <w:trHeight w:hRule="exact" w:val="724"/>
        </w:trPr>
        <w:tc>
          <w:tcPr>
            <w:tcW w:type="dxa" w:w="3986"/>
            <w:tcBorders>
              <w:start w:sz="4.0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MaintenancePlan - Rebuild Index </w:t>
            </w:r>
          </w:p>
        </w:tc>
        <w:tc>
          <w:tcPr>
            <w:tcW w:type="dxa" w:w="824"/>
            <w:tcBorders>
              <w:start w:sz="4.0" w:val="single" w:color="#5B9AD4"/>
              <w:top w:sz="3.199999999999818" w:val="single" w:color="#5B9AD4"/>
              <w:end w:sz="3.199999999999818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0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Sí </w:t>
            </w:r>
          </w:p>
        </w:tc>
        <w:tc>
          <w:tcPr>
            <w:tcW w:type="dxa" w:w="2236"/>
            <w:tcBorders>
              <w:start w:sz="3.199999999999818" w:val="single" w:color="#5B9AD4"/>
              <w:top w:sz="3.199999999999818" w:val="single" w:color="#5B9AD4"/>
              <w:end w:sz="4.0" w:val="single" w:color="#5B9AD4"/>
              <w:bottom w:sz="4.0" w:val="single" w:color="#5B9AD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4" w:after="0"/>
              <w:ind w:left="102" w:right="0" w:firstLine="0"/>
              <w:jc w:val="left"/>
            </w:pPr>
            <w:r>
              <w:rPr>
                <w:w w:val="102.05118279708059"/>
                <w:rFonts w:ascii="CIDFont+F1" w:hAnsi="CIDFont+F1" w:eastAsia="CIDFont+F1"/>
                <w:b w:val="0"/>
                <w:i w:val="0"/>
                <w:color w:val="404040"/>
                <w:sz w:val="19"/>
              </w:rPr>
              <w:t xml:space="preserve">Semanal </w:t>
            </w:r>
          </w:p>
        </w:tc>
      </w:tr>
    </w:tbl>
    <w:p>
      <w:pPr>
        <w:autoSpaceDN w:val="0"/>
        <w:autoSpaceDE w:val="0"/>
        <w:widowControl/>
        <w:spacing w:line="236" w:lineRule="exact" w:before="4222" w:after="0"/>
        <w:ind w:left="0" w:right="1012" w:firstLine="0"/>
        <w:jc w:val="right"/>
      </w:pPr>
      <w:r>
        <w:rPr>
          <w:w w:val="102.05118279708059"/>
          <w:rFonts w:ascii="CIDFont+F1" w:hAnsi="CIDFont+F1" w:eastAsia="CIDFont+F1"/>
          <w:b w:val="0"/>
          <w:i w:val="0"/>
          <w:color w:val="404040"/>
          <w:sz w:val="19"/>
        </w:rPr>
        <w:t xml:space="preserve">43 </w:t>
      </w:r>
    </w:p>
    <w:sectPr w:rsidR="00FC693F" w:rsidRPr="0006063C" w:rsidSect="00034616">
      <w:pgSz w:w="11906" w:h="16838"/>
      <w:pgMar w:top="1008" w:right="1440" w:bottom="710" w:left="8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