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ptos" w:cs="Aptos" w:eastAsia="Aptos" w:hAnsi="Aptos"/>
          <w:b/>
          <w:bCs/>
          <w:color w:val="1F3B57"/>
          <w:sz w:val="40"/>
          <w:szCs w:val="40"/>
        </w:rPr>
        <w:t xml:space="preserve">Program Assurance Platform</w:t>
      </w:r>
    </w:p>
    <w:p>
      <w:pPr>
        <w:pBdr>
          <w:bottom w:val="single" w:color="1F3B57" w:sz="6" w:space="4"/>
        </w:pBdr>
        <w:spacing w:after="120"/>
      </w:pPr>
      <w:r>
        <w:rPr>
          <w:rFonts w:ascii="Aptos" w:cs="Aptos" w:eastAsia="Aptos" w:hAnsi="Aptos"/>
          <w:color w:val="5A6B7B"/>
          <w:sz w:val="19"/>
          <w:szCs w:val="19"/>
        </w:rPr>
        <w:t xml:space="preserve">The vision on a page  ·  v1.0  ·  August 12, 2026</w:t>
      </w:r>
    </w:p>
    <w:p>
      <w:pPr>
        <w:spacing w:after="40" w:before="160"/>
      </w:pPr>
      <w:r>
        <w:rPr>
          <w:rFonts w:ascii="Aptos" w:cs="Aptos" w:eastAsia="Aptos" w:hAnsi="Aptos"/>
          <w:b/>
          <w:bCs/>
          <w:caps/>
          <w:color w:val="1F3B57"/>
          <w:sz w:val="20"/>
          <w:szCs w:val="20"/>
        </w:rPr>
        <w:t xml:space="preserve">The problem</w:t>
      </w:r>
    </w:p>
    <w:p>
      <w:pPr>
        <w:spacing w:after="60" w:line="244" w:lineRule="auto"/>
      </w:pPr>
      <w:r>
        <w:rPr>
          <w:rFonts w:ascii="Aptos" w:cs="Aptos" w:eastAsia="Aptos" w:hAnsi="Aptos"/>
          <w:color w:val="222222"/>
          <w:sz w:val="19"/>
          <w:szCs w:val="19"/>
        </w:rPr>
        <w:t xml:space="preserve">Every program rebuilds the same security knowledge. Which controls apply, who owns which system, what has already been assessed, what evidence exists — today those answers live in per-program spreadsheets, inboxes, and people’s heads. Shared services are asked the same questions by every program that consumes them. The workbook is stale the day it ships, and the twentieth program costs as much as the first.</w:t>
      </w:r>
    </w:p>
    <w:p>
      <w:pPr>
        <w:spacing w:after="40" w:before="160"/>
      </w:pPr>
      <w:r>
        <w:rPr>
          <w:rFonts w:ascii="Aptos" w:cs="Aptos" w:eastAsia="Aptos" w:hAnsi="Aptos"/>
          <w:b/>
          <w:bCs/>
          <w:caps/>
          <w:color w:val="1F3B57"/>
          <w:sz w:val="20"/>
          <w:szCs w:val="20"/>
        </w:rPr>
        <w:t xml:space="preserve">The idea</w:t>
      </w:r>
    </w:p>
    <w:p>
      <w:pPr>
        <w:spacing w:after="60" w:line="244" w:lineRule="auto"/>
      </w:pPr>
      <w:r>
        <w:rPr>
          <w:rFonts w:ascii="Aptos" w:cs="Aptos" w:eastAsia="Aptos" w:hAnsi="Aptos"/>
          <w:color w:val="222222"/>
          <w:sz w:val="19"/>
          <w:szCs w:val="19"/>
        </w:rPr>
        <w:t xml:space="preserve">One living, versioned graph connecting the three questions the organization keeps answering separately: </w:t>
      </w:r>
      <w:r>
        <w:rPr>
          <w:rFonts w:ascii="Aptos" w:cs="Aptos" w:eastAsia="Aptos" w:hAnsi="Aptos"/>
          <w:b/>
          <w:bCs/>
          <w:color w:val="222222"/>
          <w:sz w:val="19"/>
          <w:szCs w:val="19"/>
        </w:rPr>
        <w:t xml:space="preserve">who is responsible</w:t>
      </w:r>
      <w:r>
        <w:rPr>
          <w:rFonts w:ascii="Aptos" w:cs="Aptos" w:eastAsia="Aptos" w:hAnsi="Aptos"/>
          <w:color w:val="222222"/>
          <w:sz w:val="19"/>
          <w:szCs w:val="19"/>
        </w:rPr>
        <w:t xml:space="preserve"> (organization units, owners, delegation), </w:t>
      </w:r>
      <w:r>
        <w:rPr>
          <w:rFonts w:ascii="Aptos" w:cs="Aptos" w:eastAsia="Aptos" w:hAnsi="Aptos"/>
          <w:b/>
          <w:bCs/>
          <w:color w:val="222222"/>
          <w:sz w:val="19"/>
          <w:szCs w:val="19"/>
        </w:rPr>
        <w:t xml:space="preserve">what exists</w:t>
      </w:r>
      <w:r>
        <w:rPr>
          <w:rFonts w:ascii="Aptos" w:cs="Aptos" w:eastAsia="Aptos" w:hAnsi="Aptos"/>
          <w:color w:val="222222"/>
          <w:sz w:val="19"/>
          <w:szCs w:val="19"/>
        </w:rPr>
        <w:t xml:space="preserve"> (assets, shared services, products, systems, components), and </w:t>
      </w:r>
      <w:r>
        <w:rPr>
          <w:rFonts w:ascii="Aptos" w:cs="Aptos" w:eastAsia="Aptos" w:hAnsi="Aptos"/>
          <w:b/>
          <w:bCs/>
          <w:color w:val="222222"/>
          <w:sz w:val="19"/>
          <w:szCs w:val="19"/>
        </w:rPr>
        <w:t xml:space="preserve">what must be true</w:t>
      </w:r>
      <w:r>
        <w:rPr>
          <w:rFonts w:ascii="Aptos" w:cs="Aptos" w:eastAsia="Aptos" w:hAnsi="Aptos"/>
          <w:color w:val="222222"/>
          <w:sz w:val="19"/>
          <w:szCs w:val="19"/>
        </w:rPr>
        <w:t xml:space="preserve"> (controls, requirements, assessments, evidence, findings). Assurance is established once, at the highest scope where it is valid, and reused everywhere it still applies — as a governed reference with conditions and provenance, never a copy. Missing knowledge is recorded as Unknown and becomes work; it is never silently marked satisfied.</w:t>
      </w:r>
    </w:p>
    <w:p>
      <w:pPr>
        <w:spacing w:after="40" w:before="160"/>
      </w:pPr>
      <w:r>
        <w:rPr>
          <w:rFonts w:ascii="Aptos" w:cs="Aptos" w:eastAsia="Aptos" w:hAnsi="Aptos"/>
          <w:b/>
          <w:bCs/>
          <w:caps/>
          <w:color w:val="1F3B57"/>
          <w:sz w:val="20"/>
          <w:szCs w:val="20"/>
        </w:rPr>
        <w:t xml:space="preserve">Where we start</w:t>
      </w:r>
    </w:p>
    <w:p>
      <w:pPr>
        <w:spacing w:after="60" w:line="244" w:lineRule="auto"/>
      </w:pPr>
      <w:r>
        <w:rPr>
          <w:rFonts w:ascii="Aptos" w:cs="Aptos" w:eastAsia="Aptos" w:hAnsi="Aptos"/>
          <w:b/>
          <w:bCs/>
          <w:color w:val="222222"/>
          <w:sz w:val="19"/>
          <w:szCs w:val="19"/>
        </w:rPr>
        <w:t xml:space="preserve">1. Catalog (R0). </w:t>
      </w:r>
      <w:r>
        <w:rPr>
          <w:rFonts w:ascii="Aptos" w:cs="Aptos" w:eastAsia="Aptos" w:hAnsi="Aptos"/>
          <w:color w:val="222222"/>
          <w:sz w:val="19"/>
          <w:szCs w:val="19"/>
        </w:rPr>
        <w:t xml:space="preserve">Model the organization units, owners, and assets that real work actually touches. No enterprise-cleanup prerequisite — the catalog grows through use.</w:t>
      </w:r>
    </w:p>
    <w:p>
      <w:pPr>
        <w:spacing w:after="60" w:line="244" w:lineRule="auto"/>
      </w:pPr>
      <w:r>
        <w:rPr>
          <w:rFonts w:ascii="Aptos" w:cs="Aptos" w:eastAsia="Aptos" w:hAnsi="Aptos"/>
          <w:b/>
          <w:bCs/>
          <w:color w:val="222222"/>
          <w:sz w:val="19"/>
          <w:szCs w:val="19"/>
        </w:rPr>
        <w:t xml:space="preserve">2. Controls (R1). </w:t>
      </w:r>
      <w:r>
        <w:rPr>
          <w:rFonts w:ascii="Aptos" w:cs="Aptos" w:eastAsia="Aptos" w:hAnsi="Aptos"/>
          <w:color w:val="222222"/>
          <w:sz w:val="19"/>
          <w:szCs w:val="19"/>
        </w:rPr>
        <w:t xml:space="preserve">Import authoritative NIST SP 800-53 controls and SP 800-53A assessment objectives (OSCAL-aligned). Layer organization profiles, tailoring, parameters, and customer requirements on top with full provenance; source text is never edited.</w:t>
      </w:r>
    </w:p>
    <w:p>
      <w:pPr>
        <w:spacing w:after="60" w:line="244" w:lineRule="auto"/>
      </w:pPr>
      <w:r>
        <w:rPr>
          <w:rFonts w:ascii="Aptos" w:cs="Aptos" w:eastAsia="Aptos" w:hAnsi="Aptos"/>
          <w:b/>
          <w:bCs/>
          <w:color w:val="222222"/>
          <w:sz w:val="19"/>
          <w:szCs w:val="19"/>
        </w:rPr>
        <w:t xml:space="preserve">3. SCTM (R2). </w:t>
      </w:r>
      <w:r>
        <w:rPr>
          <w:rFonts w:ascii="Aptos" w:cs="Aptos" w:eastAsia="Aptos" w:hAnsi="Aptos"/>
          <w:color w:val="222222"/>
          <w:sz w:val="19"/>
          <w:szCs w:val="19"/>
        </w:rPr>
        <w:t xml:space="preserve">Generate the Security Controls Traceability Matrix from the live graph: every obligation traced to its source, allocation, implementation, evidence, and current state. The workbook becomes an export, not a hand-maintained artifact.</w:t>
      </w:r>
    </w:p>
    <w:p>
      <w:pPr>
        <w:spacing w:after="40" w:before="160"/>
      </w:pPr>
      <w:r>
        <w:rPr>
          <w:rFonts w:ascii="Aptos" w:cs="Aptos" w:eastAsia="Aptos" w:hAnsi="Aptos"/>
          <w:b/>
          <w:bCs/>
          <w:caps/>
          <w:color w:val="1F3B57"/>
          <w:sz w:val="20"/>
          <w:szCs w:val="20"/>
        </w:rPr>
        <w:t xml:space="preserve">How it compounds</w:t>
      </w:r>
    </w:p>
    <w:p>
      <w:pPr>
        <w:spacing w:after="60" w:line="244" w:lineRule="auto"/>
      </w:pPr>
      <w:r>
        <w:rPr>
          <w:rFonts w:ascii="Aptos" w:cs="Aptos" w:eastAsia="Aptos" w:hAnsi="Aptos"/>
          <w:b/>
          <w:bCs/>
          <w:color w:val="222222"/>
          <w:sz w:val="19"/>
          <w:szCs w:val="19"/>
        </w:rPr>
        <w:t xml:space="preserve">4. Assessments (R3). </w:t>
      </w:r>
      <w:r>
        <w:rPr>
          <w:rFonts w:ascii="Aptos" w:cs="Aptos" w:eastAsia="Aptos" w:hAnsi="Aptos"/>
          <w:color w:val="222222"/>
          <w:sz w:val="19"/>
          <w:szCs w:val="19"/>
        </w:rPr>
        <w:t xml:space="preserve">Objectives become plain-language, delegated tasks routed to the people who actually know. Contributors respond; authorized reviewers determine. A “yes” is never automatic compliance.</w:t>
      </w:r>
    </w:p>
    <w:p>
      <w:pPr>
        <w:spacing w:after="60" w:line="244" w:lineRule="auto"/>
      </w:pPr>
      <w:r>
        <w:rPr>
          <w:rFonts w:ascii="Aptos" w:cs="Aptos" w:eastAsia="Aptos" w:hAnsi="Aptos"/>
          <w:b/>
          <w:bCs/>
          <w:color w:val="222222"/>
          <w:sz w:val="19"/>
          <w:szCs w:val="19"/>
        </w:rPr>
        <w:t xml:space="preserve">5. Inheritance (R4). </w:t>
      </w:r>
      <w:r>
        <w:rPr>
          <w:rFonts w:ascii="Aptos" w:cs="Aptos" w:eastAsia="Aptos" w:hAnsi="Aptos"/>
          <w:color w:val="222222"/>
          <w:sz w:val="19"/>
          <w:szCs w:val="19"/>
        </w:rPr>
        <w:t xml:space="preserve">Shared services publish Reusable Assurance Packages: what they cover, under what conditions, and what stays with the consumer. Programs inherit the valid portion and work only the residual — with remediation, risk, and POA&amp;M for what falls short.</w:t>
      </w:r>
    </w:p>
    <w:p>
      <w:pPr>
        <w:spacing w:after="60" w:line="244" w:lineRule="auto"/>
      </w:pPr>
      <w:r>
        <w:rPr>
          <w:rFonts w:ascii="Aptos" w:cs="Aptos" w:eastAsia="Aptos" w:hAnsi="Aptos"/>
          <w:b/>
          <w:bCs/>
          <w:color w:val="222222"/>
          <w:sz w:val="19"/>
          <w:szCs w:val="19"/>
        </w:rPr>
        <w:t xml:space="preserve">6. Learning (R5). </w:t>
      </w:r>
      <w:r>
        <w:rPr>
          <w:rFonts w:ascii="Aptos" w:cs="Aptos" w:eastAsia="Aptos" w:hAnsi="Aptos"/>
          <w:color w:val="222222"/>
          <w:sz w:val="19"/>
          <w:szCs w:val="19"/>
        </w:rPr>
        <w:t xml:space="preserve">Program discoveries are promoted upward into canonical knowledge. Any change traces to exactly the assurance it touches. Every cycle leaves the organization knowing more.</w:t>
      </w:r>
    </w:p>
    <w:p>
      <w:pPr>
        <w:spacing w:after="40" w:before="160"/>
      </w:pPr>
      <w:r>
        <w:rPr>
          <w:rFonts w:ascii="Aptos" w:cs="Aptos" w:eastAsia="Aptos" w:hAnsi="Aptos"/>
          <w:b/>
          <w:bCs/>
          <w:caps/>
          <w:color w:val="1F3B57"/>
          <w:sz w:val="20"/>
          <w:szCs w:val="20"/>
        </w:rPr>
        <w:t xml:space="preserve">What it is not</w:t>
      </w:r>
    </w:p>
    <w:p>
      <w:pPr>
        <w:spacing w:after="60" w:line="244" w:lineRule="auto"/>
      </w:pPr>
      <w:r>
        <w:rPr>
          <w:rFonts w:ascii="Aptos" w:cs="Aptos" w:eastAsia="Aptos" w:hAnsi="Aptos"/>
          <w:color w:val="222222"/>
          <w:sz w:val="19"/>
          <w:szCs w:val="19"/>
        </w:rPr>
        <w:t xml:space="preserve">No opaque “X% secure” score — dashboards show factual states. Not a CMDB, PLM, or project-management replacement — authoritative sources stay authoritative. No AI-made assurance decisions — automation proposes, accountable humans approve.</w:t>
      </w:r>
    </w:p>
    <w:p>
      <w:pPr>
        <w:spacing w:after="40" w:before="160"/>
      </w:pPr>
      <w:r>
        <w:rPr>
          <w:rFonts w:ascii="Aptos" w:cs="Aptos" w:eastAsia="Aptos" w:hAnsi="Aptos"/>
          <w:b/>
          <w:bCs/>
          <w:caps/>
          <w:color w:val="1F3B57"/>
          <w:sz w:val="20"/>
          <w:szCs w:val="20"/>
        </w:rPr>
        <w:t xml:space="preserve">The product, grouped</w:t>
      </w:r>
    </w:p>
    <w:p>
      <w:pPr>
        <w:spacing w:after="60" w:line="244" w:lineRule="auto"/>
      </w:pPr>
      <w:r>
        <w:rPr>
          <w:rFonts w:ascii="Aptos" w:cs="Aptos" w:eastAsia="Aptos" w:hAnsi="Aptos"/>
          <w:b/>
          <w:bCs/>
          <w:color w:val="222222"/>
          <w:sz w:val="19"/>
          <w:szCs w:val="19"/>
        </w:rPr>
        <w:t xml:space="preserve">Foundation: </w:t>
      </w:r>
      <w:r>
        <w:rPr>
          <w:rFonts w:ascii="Aptos" w:cs="Aptos" w:eastAsia="Aptos" w:hAnsi="Aptos"/>
          <w:color w:val="222222"/>
          <w:sz w:val="19"/>
          <w:szCs w:val="19"/>
        </w:rPr>
        <w:t xml:space="preserve">Home · Organization · Assets    </w:t>
      </w:r>
      <w:r>
        <w:rPr>
          <w:rFonts w:ascii="Aptos" w:cs="Aptos" w:eastAsia="Aptos" w:hAnsi="Aptos"/>
          <w:b/>
          <w:bCs/>
          <w:color w:val="222222"/>
          <w:sz w:val="19"/>
          <w:szCs w:val="19"/>
        </w:rPr>
        <w:t xml:space="preserve">Obligations: </w:t>
      </w:r>
      <w:r>
        <w:rPr>
          <w:rFonts w:ascii="Aptos" w:cs="Aptos" w:eastAsia="Aptos" w:hAnsi="Aptos"/>
          <w:color w:val="222222"/>
          <w:sz w:val="19"/>
          <w:szCs w:val="19"/>
        </w:rPr>
        <w:t xml:space="preserve">Library (controls, profiles, requirements, templates)    </w:t>
      </w:r>
      <w:r>
        <w:rPr>
          <w:rFonts w:ascii="Aptos" w:cs="Aptos" w:eastAsia="Aptos" w:hAnsi="Aptos"/>
          <w:b/>
          <w:bCs/>
          <w:color w:val="222222"/>
          <w:sz w:val="19"/>
          <w:szCs w:val="19"/>
        </w:rPr>
        <w:t xml:space="preserve">Delivery: </w:t>
      </w:r>
      <w:r>
        <w:rPr>
          <w:rFonts w:ascii="Aptos" w:cs="Aptos" w:eastAsia="Aptos" w:hAnsi="Aptos"/>
          <w:color w:val="222222"/>
          <w:sz w:val="19"/>
          <w:szCs w:val="19"/>
        </w:rPr>
        <w:t xml:space="preserve">Products &amp; Systems · Programs (SCTM)    </w:t>
      </w:r>
      <w:r>
        <w:rPr>
          <w:rFonts w:ascii="Aptos" w:cs="Aptos" w:eastAsia="Aptos" w:hAnsi="Aptos"/>
          <w:b/>
          <w:bCs/>
          <w:color w:val="222222"/>
          <w:sz w:val="19"/>
          <w:szCs w:val="19"/>
        </w:rPr>
        <w:t xml:space="preserve">Assurance work: </w:t>
      </w:r>
      <w:r>
        <w:rPr>
          <w:rFonts w:ascii="Aptos" w:cs="Aptos" w:eastAsia="Aptos" w:hAnsi="Aptos"/>
          <w:color w:val="222222"/>
          <w:sz w:val="19"/>
          <w:szCs w:val="19"/>
        </w:rPr>
        <w:t xml:space="preserve">Assessments · Findings · Risks &amp; POA&amp;M</w:t>
      </w:r>
    </w:p>
    <w:p>
      <w:pPr>
        <w:spacing w:after="40" w:before="160"/>
      </w:pPr>
      <w:r>
        <w:rPr>
          <w:rFonts w:ascii="Aptos" w:cs="Aptos" w:eastAsia="Aptos" w:hAnsi="Aptos"/>
          <w:b/>
          <w:bCs/>
          <w:caps/>
          <w:color w:val="1F3B57"/>
          <w:sz w:val="20"/>
          <w:szCs w:val="20"/>
        </w:rPr>
        <w:t xml:space="preserve">Success looks like</w:t>
      </w:r>
    </w:p>
    <w:p>
      <w:pPr>
        <w:spacing w:after="60" w:line="244" w:lineRule="auto"/>
      </w:pPr>
      <w:r>
        <w:rPr>
          <w:rFonts w:ascii="Aptos" w:cs="Aptos" w:eastAsia="Aptos" w:hAnsi="Aptos"/>
          <w:color w:val="222222"/>
          <w:sz w:val="19"/>
          <w:szCs w:val="19"/>
        </w:rPr>
        <w:t xml:space="preserve">The second assessment is cheaper than the first; the twentieth program starts ahead of the fifth. Any change shows its blast radius immediately. And on any obligation, anyone can ask “Why is this here?” and get a complete answer.</w:t>
      </w:r>
    </w:p>
    <w:p>
      <w:pPr>
        <w:pBdr>
          <w:top w:val="single" w:color="C9D4DE" w:sz="4" w:space="4"/>
        </w:pBdr>
        <w:spacing w:before="140"/>
      </w:pPr>
      <w:r>
        <w:rPr>
          <w:rFonts w:ascii="Aptos" w:cs="Aptos" w:eastAsia="Aptos" w:hAnsi="Aptos"/>
          <w:i/>
          <w:iCs/>
          <w:color w:val="5A6B7B"/>
          <w:sz w:val="17"/>
          <w:szCs w:val="17"/>
        </w:rPr>
        <w:t xml:space="preserve">Read next: PRD (why and what) → Product &amp; System Specification (operating model) → Domain &amp; Rules Specification (canonical semantics) → UX &amp; Workflow Specification (the experience).</w:t>
      </w:r>
    </w:p>
    <w:sectPr>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2026-08-13T03:20:46.304Z</dcterms:created>
  <dcterms:modified xsi:type="dcterms:W3CDTF">2026-08-13T03:20:46.304Z</dcterms:modified>
</cp:coreProperties>
</file>

<file path=docProps/custom.xml><?xml version="1.0" encoding="utf-8"?>
<Properties xmlns="http://schemas.openxmlformats.org/officeDocument/2006/custom-properties" xmlns:vt="http://schemas.openxmlformats.org/officeDocument/2006/docPropsVTypes"/>
</file>