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sz w:val="52"/>
        </w:rPr>
        <w:t>Program Assurance Platform</w:t>
      </w:r>
    </w:p>
    <w:p>
      <w:r>
        <w:rPr>
          <w:rFonts w:ascii="Aptos" w:hAnsi="Aptos"/>
          <w:b/>
          <w:sz w:val="19"/>
        </w:rPr>
        <w:t>Product Requirements Document</w:t>
      </w:r>
    </w:p>
    <w:p>
      <w:pPr>
        <w:pStyle w:val="Callout"/>
        <w:shd w:fill="EEF4F8"/>
        <w:pBdr>
          <w:left w:val="single" w:sz="18" w:space="8" w:color="2F75B5"/>
        </w:pBdr>
      </w:pPr>
      <w:r>
        <w:rPr>
          <w:rFonts w:ascii="Aptos" w:hAnsi="Aptos"/>
          <w:b/>
          <w:sz w:val="18"/>
        </w:rPr>
        <w:t>Product thesis</w:t>
      </w:r>
      <w:r>
        <w:rPr>
          <w:rFonts w:ascii="Aptos" w:hAnsi="Aptos"/>
          <w:sz w:val="18"/>
        </w:rPr>
        <w:t xml:space="preserve"> Assurance should be established at the highest valid scope and reused everywhere it still applies. The platform lets teams begin either from the organization or from a product/program. Both paths use the same assessment, asset, inheritance, findings, and assurance model so every cycle leaves behind reusable knowledge rather than another isolated workbook.</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736"/>
            <w:vAlign w:val="top"/>
            <w:tcMar>
              <w:top w:w="70" w:type="dxa"/>
              <w:start w:w="85" w:type="dxa"/>
              <w:bottom w:w="70" w:type="dxa"/>
              <w:end w:w="85" w:type="dxa"/>
            </w:tcMar>
            <w:shd w:fill="D9EAF7"/>
          </w:tcPr>
          <w:p>
            <w:pPr>
              <w:pStyle w:val="Compact"/>
            </w:pPr>
            <w:r>
              <w:rPr>
                <w:rFonts w:ascii="Aptos" w:hAnsi="Aptos"/>
                <w:b/>
                <w:color w:val="17365D"/>
                <w:sz w:val="16"/>
              </w:rPr>
              <w:t>Field</w:t>
            </w:r>
          </w:p>
        </w:tc>
        <w:tc>
          <w:tcPr>
            <w:tcW w:type="dxa" w:w="7984"/>
            <w:vAlign w:val="top"/>
            <w:tcMar>
              <w:top w:w="70" w:type="dxa"/>
              <w:start w:w="85" w:type="dxa"/>
              <w:bottom w:w="70" w:type="dxa"/>
              <w:end w:w="85" w:type="dxa"/>
            </w:tcMar>
            <w:shd w:fill="D9EAF7"/>
          </w:tcPr>
          <w:p>
            <w:pPr>
              <w:pStyle w:val="Compact"/>
            </w:pPr>
            <w:r>
              <w:rPr>
                <w:rFonts w:ascii="Aptos" w:hAnsi="Aptos"/>
                <w:b/>
                <w:color w:val="17365D"/>
                <w:sz w:val="16"/>
              </w:rPr>
              <w:t>Value</w:t>
            </w:r>
          </w:p>
        </w:tc>
      </w:tr>
      <w:tr>
        <w:tc>
          <w:tcPr>
            <w:tcW w:type="dxa" w:w="1736"/>
            <w:vAlign w:val="top"/>
            <w:tcMar>
              <w:top w:w="70" w:type="dxa"/>
              <w:start w:w="85" w:type="dxa"/>
              <w:bottom w:w="70" w:type="dxa"/>
              <w:end w:w="85" w:type="dxa"/>
            </w:tcMar>
          </w:tcPr>
          <w:p>
            <w:pPr>
              <w:pStyle w:val="Compact"/>
            </w:pPr>
            <w:r>
              <w:rPr>
                <w:rFonts w:ascii="Aptos" w:hAnsi="Aptos"/>
                <w:b/>
                <w:sz w:val="16"/>
              </w:rPr>
              <w:t>Status</w:t>
            </w:r>
          </w:p>
        </w:tc>
        <w:tc>
          <w:tcPr>
            <w:tcW w:type="dxa" w:w="7984"/>
            <w:vAlign w:val="top"/>
            <w:tcMar>
              <w:top w:w="70" w:type="dxa"/>
              <w:start w:w="85" w:type="dxa"/>
              <w:bottom w:w="70" w:type="dxa"/>
              <w:end w:w="85" w:type="dxa"/>
            </w:tcMar>
          </w:tcPr>
          <w:p>
            <w:pPr>
              <w:pStyle w:val="Compact"/>
            </w:pPr>
            <w:r>
              <w:rPr>
                <w:rFonts w:ascii="Aptos" w:hAnsi="Aptos"/>
                <w:sz w:val="16"/>
              </w:rPr>
              <w:t>Draft for product, security, design, and engineering review</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Version</w:t>
            </w:r>
          </w:p>
        </w:tc>
        <w:tc>
          <w:tcPr>
            <w:tcW w:type="dxa" w:w="7984"/>
            <w:vAlign w:val="top"/>
            <w:tcMar>
              <w:top w:w="70" w:type="dxa"/>
              <w:start w:w="85" w:type="dxa"/>
              <w:bottom w:w="70" w:type="dxa"/>
              <w:end w:w="85" w:type="dxa"/>
            </w:tcMar>
            <w:shd w:fill="FAFCFD"/>
          </w:tcPr>
          <w:p>
            <w:pPr>
              <w:pStyle w:val="Compact"/>
            </w:pPr>
            <w:r>
              <w:rPr>
                <w:rFonts w:ascii="Aptos" w:hAnsi="Aptos"/>
                <w:sz w:val="16"/>
              </w:rPr>
              <w:t>1.1 Draft</w:t>
            </w:r>
          </w:p>
        </w:tc>
      </w:tr>
      <w:tr>
        <w:tc>
          <w:tcPr>
            <w:tcW w:type="dxa" w:w="1736"/>
            <w:vAlign w:val="top"/>
            <w:tcMar>
              <w:top w:w="70" w:type="dxa"/>
              <w:start w:w="85" w:type="dxa"/>
              <w:bottom w:w="70" w:type="dxa"/>
              <w:end w:w="85" w:type="dxa"/>
            </w:tcMar>
          </w:tcPr>
          <w:p>
            <w:pPr>
              <w:pStyle w:val="Compact"/>
            </w:pPr>
            <w:r>
              <w:rPr>
                <w:rFonts w:ascii="Aptos" w:hAnsi="Aptos"/>
                <w:b/>
                <w:sz w:val="16"/>
              </w:rPr>
              <w:t>Date</w:t>
            </w:r>
          </w:p>
        </w:tc>
        <w:tc>
          <w:tcPr>
            <w:tcW w:type="dxa" w:w="7984"/>
            <w:vAlign w:val="top"/>
            <w:tcMar>
              <w:top w:w="70" w:type="dxa"/>
              <w:start w:w="85" w:type="dxa"/>
              <w:bottom w:w="70" w:type="dxa"/>
              <w:end w:w="85" w:type="dxa"/>
            </w:tcMar>
          </w:tcPr>
          <w:p>
            <w:pPr>
              <w:pStyle w:val="Compact"/>
            </w:pPr>
            <w:r>
              <w:rPr>
                <w:rFonts w:ascii="Aptos" w:hAnsi="Aptos"/>
                <w:sz w:val="16"/>
              </w:rPr>
              <w:t>August 12, 2026</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Audience</w:t>
            </w:r>
          </w:p>
        </w:tc>
        <w:tc>
          <w:tcPr>
            <w:tcW w:type="dxa" w:w="7984"/>
            <w:vAlign w:val="top"/>
            <w:tcMar>
              <w:top w:w="70" w:type="dxa"/>
              <w:start w:w="85" w:type="dxa"/>
              <w:bottom w:w="70" w:type="dxa"/>
              <w:end w:w="85" w:type="dxa"/>
            </w:tcMar>
            <w:shd w:fill="FAFCFD"/>
          </w:tcPr>
          <w:p>
            <w:pPr>
              <w:pStyle w:val="Compact"/>
            </w:pPr>
            <w:r>
              <w:rPr>
                <w:rFonts w:ascii="Aptos" w:hAnsi="Aptos"/>
                <w:sz w:val="16"/>
              </w:rPr>
              <w:t>Product, Systems Security Engineering, Security/GRC, System Engineering, HW/FW/SW Engineering, Assessment, Program Leadership</w:t>
            </w:r>
          </w:p>
        </w:tc>
      </w:tr>
      <w:tr>
        <w:tc>
          <w:tcPr>
            <w:tcW w:type="dxa" w:w="1736"/>
            <w:vAlign w:val="top"/>
            <w:tcMar>
              <w:top w:w="70" w:type="dxa"/>
              <w:start w:w="85" w:type="dxa"/>
              <w:bottom w:w="70" w:type="dxa"/>
              <w:end w:w="85" w:type="dxa"/>
            </w:tcMar>
          </w:tcPr>
          <w:p>
            <w:pPr>
              <w:pStyle w:val="Compact"/>
            </w:pPr>
            <w:r>
              <w:rPr>
                <w:rFonts w:ascii="Aptos" w:hAnsi="Aptos"/>
                <w:b/>
                <w:sz w:val="16"/>
              </w:rPr>
              <w:t>Document purpose</w:t>
            </w:r>
          </w:p>
        </w:tc>
        <w:tc>
          <w:tcPr>
            <w:tcW w:type="dxa" w:w="7984"/>
            <w:vAlign w:val="top"/>
            <w:tcMar>
              <w:top w:w="70" w:type="dxa"/>
              <w:start w:w="85" w:type="dxa"/>
              <w:bottom w:w="70" w:type="dxa"/>
              <w:end w:w="85" w:type="dxa"/>
            </w:tcMar>
          </w:tcPr>
          <w:p>
            <w:pPr>
              <w:pStyle w:val="Compact"/>
            </w:pPr>
            <w:r>
              <w:rPr>
                <w:rFonts w:ascii="Aptos" w:hAnsi="Aptos"/>
                <w:sz w:val="16"/>
              </w:rPr>
              <w:t>Define why the product exists, who it serves, the product principles, major user journeys, boundaries, MVP, outcomes, and product-level decisions. The companion documents go progressively deeper: the Vision One-Pager tells the story in a page; the Product &amp; System Specification defines the operating model; the Domain &amp; Rules Specification is the canonical semantic contract for entities, states, and rules; the UX &amp; Workflow Interaction Specification defines the experience. Where semantics conflict, the Domain &amp; Rules Specification governs.</w:t>
            </w:r>
          </w:p>
        </w:tc>
      </w:tr>
    </w:tbl>
    <w:p>
      <w:pPr>
        <w:spacing w:after="0"/>
      </w:pPr>
    </w:p>
    <w:p>
      <w:pPr>
        <w:pStyle w:val="Heading1"/>
      </w:pPr>
      <w:r>
        <w:rPr>
          <w:rFonts w:ascii="Aptos" w:hAnsi="Aptos"/>
          <w:sz w:val="32"/>
        </w:rPr>
        <w:t>Contents</w:t>
      </w:r>
    </w:p>
    <w:p>
      <w:pPr>
        <w:spacing w:after="40"/>
        <w:ind w:left="202" w:hanging="202"/>
      </w:pPr>
      <w:r>
        <w:rPr>
          <w:rFonts w:ascii="Aptos" w:hAnsi="Aptos"/>
          <w:sz w:val="18"/>
        </w:rPr>
        <w:t>1. Executive Summary</w:t>
      </w:r>
    </w:p>
    <w:p>
      <w:pPr>
        <w:spacing w:after="40"/>
        <w:ind w:left="202" w:hanging="202"/>
      </w:pPr>
      <w:r>
        <w:rPr>
          <w:rFonts w:ascii="Aptos" w:hAnsi="Aptos"/>
          <w:sz w:val="18"/>
        </w:rPr>
        <w:t>2. Why This Exists</w:t>
      </w:r>
    </w:p>
    <w:p>
      <w:pPr>
        <w:spacing w:after="40"/>
        <w:ind w:left="202" w:hanging="202"/>
      </w:pPr>
      <w:r>
        <w:rPr>
          <w:rFonts w:ascii="Aptos" w:hAnsi="Aptos"/>
          <w:sz w:val="18"/>
        </w:rPr>
        <w:t>3. Users and Jobs to Be Done</w:t>
      </w:r>
    </w:p>
    <w:p>
      <w:pPr>
        <w:spacing w:after="40"/>
        <w:ind w:left="202" w:hanging="202"/>
      </w:pPr>
      <w:r>
        <w:rPr>
          <w:rFonts w:ascii="Aptos" w:hAnsi="Aptos"/>
          <w:sz w:val="18"/>
        </w:rPr>
        <w:t>4. Product Principles</w:t>
      </w:r>
    </w:p>
    <w:p>
      <w:pPr>
        <w:spacing w:after="40"/>
        <w:ind w:left="202" w:hanging="202"/>
      </w:pPr>
      <w:r>
        <w:rPr>
          <w:rFonts w:ascii="Aptos" w:hAnsi="Aptos"/>
          <w:sz w:val="18"/>
        </w:rPr>
        <w:t>5. Product Model at a Glance</w:t>
      </w:r>
    </w:p>
    <w:p>
      <w:pPr>
        <w:spacing w:after="40"/>
        <w:ind w:left="202" w:hanging="202"/>
      </w:pPr>
      <w:r>
        <w:rPr>
          <w:rFonts w:ascii="Aptos" w:hAnsi="Aptos"/>
          <w:sz w:val="18"/>
        </w:rPr>
        <w:t>6. Primary Product Experience</w:t>
      </w:r>
    </w:p>
    <w:p>
      <w:pPr>
        <w:spacing w:after="40"/>
        <w:ind w:left="202" w:hanging="202"/>
      </w:pPr>
      <w:r>
        <w:rPr>
          <w:rFonts w:ascii="Aptos" w:hAnsi="Aptos"/>
          <w:sz w:val="18"/>
        </w:rPr>
        <w:t>7. Major User Journeys</w:t>
      </w:r>
    </w:p>
    <w:p>
      <w:pPr>
        <w:spacing w:after="40"/>
        <w:ind w:left="202" w:hanging="202"/>
      </w:pPr>
      <w:r>
        <w:rPr>
          <w:rFonts w:ascii="Aptos" w:hAnsi="Aptos"/>
          <w:sz w:val="18"/>
        </w:rPr>
        <w:t>8. Product Scope and Boundaries</w:t>
      </w:r>
    </w:p>
    <w:p>
      <w:pPr>
        <w:spacing w:after="40"/>
        <w:ind w:left="202" w:hanging="202"/>
      </w:pPr>
      <w:r>
        <w:rPr>
          <w:rFonts w:ascii="Aptos" w:hAnsi="Aptos"/>
          <w:sz w:val="18"/>
        </w:rPr>
        <w:t>9. MVP and Release Strategy</w:t>
      </w:r>
    </w:p>
    <w:p>
      <w:pPr>
        <w:spacing w:after="40"/>
        <w:ind w:left="202" w:hanging="202"/>
      </w:pPr>
      <w:r>
        <w:rPr>
          <w:rFonts w:ascii="Aptos" w:hAnsi="Aptos"/>
          <w:sz w:val="18"/>
        </w:rPr>
        <w:t>10. Outcomes and Metrics</w:t>
      </w:r>
    </w:p>
    <w:p>
      <w:pPr>
        <w:spacing w:after="40"/>
        <w:ind w:left="202" w:hanging="202"/>
      </w:pPr>
      <w:r>
        <w:rPr>
          <w:rFonts w:ascii="Aptos" w:hAnsi="Aptos"/>
          <w:sz w:val="18"/>
        </w:rPr>
        <w:t>11. Product Risks and Decisions</w:t>
      </w:r>
    </w:p>
    <w:p>
      <w:pPr>
        <w:spacing w:after="40"/>
        <w:ind w:left="202" w:hanging="202"/>
      </w:pPr>
      <w:r>
        <w:rPr>
          <w:rFonts w:ascii="Aptos" w:hAnsi="Aptos"/>
          <w:sz w:val="18"/>
        </w:rPr>
        <w:t>12. Open Product Questions</w:t>
      </w:r>
    </w:p>
    <w:p>
      <w:r>
        <w:rPr>
          <w:rFonts w:ascii="Aptos" w:hAnsi="Aptos"/>
          <w:sz w:val="19"/>
        </w:rPr>
        <w:t>Appendix A. Product Glossary</w:t>
      </w:r>
    </w:p>
    <w:p>
      <w:pPr>
        <w:pStyle w:val="Heading1"/>
      </w:pPr>
      <w:r>
        <w:rPr>
          <w:rFonts w:ascii="Aptos" w:hAnsi="Aptos"/>
          <w:sz w:val="32"/>
        </w:rPr>
        <w:t>1. Executive Summary</w:t>
      </w:r>
    </w:p>
    <w:p>
      <w:r>
        <w:rPr>
          <w:rFonts w:ascii="Aptos" w:hAnsi="Aptos"/>
          <w:sz w:val="19"/>
        </w:rPr>
        <w:t xml:space="preserve">The Program Assurance Platform is an internal </w:t>
      </w:r>
      <w:r>
        <w:rPr>
          <w:rFonts w:ascii="Aptos" w:hAnsi="Aptos"/>
          <w:b/>
          <w:sz w:val="19"/>
        </w:rPr>
        <w:t>assessment-and-inheritance operating system</w:t>
      </w:r>
      <w:r>
        <w:rPr>
          <w:rFonts w:ascii="Aptos" w:hAnsi="Aptos"/>
          <w:sz w:val="19"/>
        </w:rPr>
        <w:t xml:space="preserve"> for organizational and product assurance. It replaces a pattern where security knowledge is repeatedly reconstructed in program workbooks, questionnaires, meetings, spreadsheets, and individual expertise.</w:t>
      </w:r>
    </w:p>
    <w:p>
      <w:r>
        <w:rPr>
          <w:rFonts w:ascii="Aptos" w:hAnsi="Aptos"/>
          <w:sz w:val="19"/>
        </w:rPr>
        <w:t>The product supports two equally valid ways to begin:</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4860"/>
            <w:vAlign w:val="top"/>
            <w:tcMar>
              <w:top w:w="70" w:type="dxa"/>
              <w:start w:w="85" w:type="dxa"/>
              <w:bottom w:w="70" w:type="dxa"/>
              <w:end w:w="85" w:type="dxa"/>
            </w:tcMar>
            <w:shd w:fill="D9EAF7"/>
          </w:tcPr>
          <w:p>
            <w:pPr>
              <w:pStyle w:val="Compact"/>
            </w:pPr>
            <w:r>
              <w:rPr>
                <w:rFonts w:ascii="Aptos" w:hAnsi="Aptos"/>
                <w:b/>
                <w:color w:val="17365D"/>
                <w:sz w:val="16"/>
              </w:rPr>
              <w:t>Organization-first</w:t>
            </w:r>
          </w:p>
        </w:tc>
        <w:tc>
          <w:tcPr>
            <w:tcW w:type="dxa" w:w="4860"/>
            <w:vAlign w:val="top"/>
            <w:tcMar>
              <w:top w:w="70" w:type="dxa"/>
              <w:start w:w="85" w:type="dxa"/>
              <w:bottom w:w="70" w:type="dxa"/>
              <w:end w:w="85" w:type="dxa"/>
            </w:tcMar>
            <w:shd w:fill="D9EAF7"/>
          </w:tcPr>
          <w:p>
            <w:pPr>
              <w:pStyle w:val="Compact"/>
            </w:pPr>
            <w:r>
              <w:rPr>
                <w:rFonts w:ascii="Aptos" w:hAnsi="Aptos"/>
                <w:b/>
                <w:color w:val="17365D"/>
                <w:sz w:val="16"/>
              </w:rPr>
              <w:t>Product/program-first</w:t>
            </w:r>
          </w:p>
        </w:tc>
      </w:tr>
      <w:tr>
        <w:tc>
          <w:tcPr>
            <w:tcW w:type="dxa" w:w="4860"/>
            <w:vAlign w:val="top"/>
            <w:tcMar>
              <w:top w:w="70" w:type="dxa"/>
              <w:start w:w="85" w:type="dxa"/>
              <w:bottom w:w="70" w:type="dxa"/>
              <w:end w:w="85" w:type="dxa"/>
            </w:tcMar>
          </w:tcPr>
          <w:p>
            <w:pPr>
              <w:pStyle w:val="Compact"/>
            </w:pPr>
            <w:r>
              <w:rPr>
                <w:rFonts w:ascii="Aptos" w:hAnsi="Aptos"/>
                <w:sz w:val="16"/>
              </w:rPr>
              <w:t>Model only the organizational units needed for current work; catalog policies, procedures, shared services, and assets as they are encountered; run ad hoc or recurring assessments; delegate questions and evidence requests; publish reusable assurance at the highest valid scope.</w:t>
            </w:r>
          </w:p>
        </w:tc>
        <w:tc>
          <w:tcPr>
            <w:tcW w:type="dxa" w:w="4860"/>
            <w:vAlign w:val="top"/>
            <w:tcMar>
              <w:top w:w="70" w:type="dxa"/>
              <w:start w:w="85" w:type="dxa"/>
              <w:bottom w:w="70" w:type="dxa"/>
              <w:end w:w="85" w:type="dxa"/>
            </w:tcMar>
          </w:tcPr>
          <w:p>
            <w:pPr>
              <w:pStyle w:val="Compact"/>
            </w:pPr>
            <w:r>
              <w:rPr>
                <w:rFonts w:ascii="Aptos" w:hAnsi="Aptos"/>
                <w:sz w:val="16"/>
              </w:rPr>
              <w:t>Create a product, system, or program even when the organization catalog is incomplete; inherit any applicable organizational assurance and known product/system baseline; assess the delta and unknowns; delegate technical work; create findings and remediation; promote reusable discoveries upward.</w:t>
            </w:r>
          </w:p>
        </w:tc>
      </w:tr>
    </w:tbl>
    <w:p>
      <w:pPr>
        <w:spacing w:after="0"/>
      </w:pPr>
    </w:p>
    <w:p>
      <w:r>
        <w:rPr>
          <w:rFonts w:ascii="Aptos" w:hAnsi="Aptos"/>
          <w:sz w:val="19"/>
        </w:rPr>
        <w:t>Neither path requires the other to be finished. A team can begin with a single shared service assessment, a single physical product, or a single program under deadline. The platform becomes more complete through actual work.</w:t>
      </w:r>
    </w:p>
    <w:p>
      <w:r>
        <w:rPr>
          <w:rFonts w:ascii="Aptos" w:hAnsi="Aptos"/>
          <w:b/>
          <w:sz w:val="19"/>
        </w:rPr>
        <w:t xml:space="preserve">Where the build starts.</w:t>
      </w:r>
      <w:r>
        <w:rPr>
          <w:rFonts w:ascii="Aptos" w:hAnsi="Aptos"/>
          <w:sz w:val="19"/>
        </w:rPr>
        <w:t xml:space="preserve"> Delivery begins with the three layers every program already understands: the Catalog (who owns what, and what exists), Controls (authoritative NIST SP 800-53/53A content, profiles, and tailoring - OSCAL-aligned), and the SCTM (the Security Controls Traceability Matrix, generated from the live graph rather than handcrafted in a spreadsheet). The assessment engine, assurance inheritance, and the organizational learning loop then animate and compound that foundation.</w:t>
      </w:r>
    </w:p>
    <w:p>
      <w:r>
        <w:rPr>
          <w:rFonts w:ascii="Aptos" w:hAnsi="Aptos"/>
          <w:sz w:val="19"/>
        </w:rPr>
        <w:t>The product connects three models that are usually fragmented across GRC, asset, engineering, and program tools:</w:t>
      </w:r>
    </w:p>
    <w:p>
      <w:pPr>
        <w:spacing w:after="40"/>
        <w:ind w:left="202" w:hanging="202"/>
      </w:pPr>
      <w:r>
        <w:rPr>
          <w:rFonts w:ascii="Aptos" w:hAnsi="Aptos"/>
          <w:sz w:val="18"/>
        </w:rPr>
        <w:t xml:space="preserve">1. </w:t>
      </w:r>
      <w:r>
        <w:rPr>
          <w:rFonts w:ascii="Aptos" w:hAnsi="Aptos"/>
          <w:b/>
          <w:sz w:val="18"/>
        </w:rPr>
        <w:t>Responsibility model</w:t>
      </w:r>
      <w:r>
        <w:rPr>
          <w:rFonts w:ascii="Aptos" w:hAnsi="Aptos"/>
          <w:sz w:val="18"/>
        </w:rPr>
        <w:t xml:space="preserve"> - who owns, manages, reviews, or provides assurance.</w:t>
      </w:r>
    </w:p>
    <w:p>
      <w:pPr>
        <w:spacing w:after="40"/>
        <w:ind w:left="202" w:hanging="202"/>
      </w:pPr>
      <w:r>
        <w:rPr>
          <w:rFonts w:ascii="Aptos" w:hAnsi="Aptos"/>
          <w:sz w:val="18"/>
        </w:rPr>
        <w:t xml:space="preserve">2. </w:t>
      </w:r>
      <w:r>
        <w:rPr>
          <w:rFonts w:ascii="Aptos" w:hAnsi="Aptos"/>
          <w:b/>
          <w:sz w:val="18"/>
        </w:rPr>
        <w:t>Asset/system model</w:t>
      </w:r>
      <w:r>
        <w:rPr>
          <w:rFonts w:ascii="Aptos" w:hAnsi="Aptos"/>
          <w:sz w:val="18"/>
        </w:rPr>
        <w:t xml:space="preserve"> - what exists, how products/systems are composed, and where shared assets are consumed.</w:t>
      </w:r>
    </w:p>
    <w:p>
      <w:pPr>
        <w:spacing w:after="40"/>
        <w:ind w:left="202" w:hanging="202"/>
      </w:pPr>
      <w:r>
        <w:rPr>
          <w:rFonts w:ascii="Aptos" w:hAnsi="Aptos"/>
          <w:sz w:val="18"/>
        </w:rPr>
        <w:t xml:space="preserve">3. </w:t>
      </w:r>
      <w:r>
        <w:rPr>
          <w:rFonts w:ascii="Aptos" w:hAnsi="Aptos"/>
          <w:b/>
          <w:sz w:val="18"/>
        </w:rPr>
        <w:t>Assurance model</w:t>
      </w:r>
      <w:r>
        <w:rPr>
          <w:rFonts w:ascii="Aptos" w:hAnsi="Aptos"/>
          <w:sz w:val="18"/>
        </w:rPr>
        <w:t xml:space="preserve"> - what must be true, what has been assessed, what can be inherited, what remains unknown, and what gaps require action.</w:t>
      </w:r>
    </w:p>
    <w:p>
      <w:r>
        <w:rPr>
          <w:rFonts w:ascii="Aptos" w:hAnsi="Aptos"/>
          <w:sz w:val="19"/>
        </w:rPr>
        <w:t>Assessment is the primary workflow connecting these models. For NIST-based workflows, SP 800-53 supplies controls and SP 800-53A supplies canonical assessment objectives/procedures. Organization-authored assessment templates translate those objectives into practical questions, evidence requests, interviews, examinations, tests, attestations, and discovery tasks. Contributors provide information; authorized reviewers make determinations; gaps become findings; findings drive remediation, risk, and POA&amp;M work where required.</w:t>
      </w:r>
    </w:p>
    <w:p>
      <w:r>
        <w:rPr>
          <w:rFonts w:ascii="Aptos" w:hAnsi="Aptos"/>
          <w:sz w:val="19"/>
        </w:rPr>
        <w:t xml:space="preserve">A key product concept is the </w:t>
      </w:r>
      <w:r>
        <w:rPr>
          <w:rFonts w:ascii="Aptos" w:hAnsi="Aptos"/>
          <w:b/>
          <w:sz w:val="19"/>
        </w:rPr>
        <w:t>Reusable Assurance Package</w:t>
      </w:r>
      <w:r>
        <w:rPr>
          <w:rFonts w:ascii="Aptos" w:hAnsi="Aptos"/>
          <w:sz w:val="19"/>
        </w:rPr>
        <w:t>: a governed, versioned package published by an organizational unit, shared service, product, or system that states what assurance it provides, under what conditions, which evidence/results support it, what responsibilities remain with consumers, and when reassessment is required. This makes inheritance understandable to both humans and the system.</w:t>
      </w:r>
    </w:p>
    <w:p>
      <w:pPr>
        <w:pStyle w:val="Callout"/>
        <w:shd w:fill="EEF4F8"/>
        <w:pBdr>
          <w:left w:val="single" w:sz="18" w:space="8" w:color="2F75B5"/>
        </w:pBdr>
      </w:pPr>
      <w:r>
        <w:rPr>
          <w:rFonts w:ascii="Aptos" w:hAnsi="Aptos"/>
          <w:b/>
          <w:sz w:val="18"/>
        </w:rPr>
        <w:t>North-star outcome</w:t>
      </w:r>
      <w:r>
        <w:rPr>
          <w:rFonts w:ascii="Aptos" w:hAnsi="Aptos"/>
          <w:sz w:val="18"/>
        </w:rPr>
        <w:t xml:space="preserve"> At any organizational, product, system, or program scope, an authorized user should be able to answer: What obligations apply? What do we already know? What assurance can be inherited? What remains my responsibility? What is unknown? What must be assessed? Who owes information? What findings remain? What remediation threatens the deadline? And what newly validated knowledge should become reusable elsewhere?</w:t>
      </w:r>
    </w:p>
    <w:p>
      <w:pPr>
        <w:pStyle w:val="Heading1"/>
      </w:pPr>
      <w:r>
        <w:rPr>
          <w:rFonts w:ascii="Aptos" w:hAnsi="Aptos"/>
          <w:sz w:val="32"/>
        </w:rPr>
        <w:t>2. Why This Exists</w:t>
      </w:r>
    </w:p>
    <w:p>
      <w:pPr>
        <w:pStyle w:val="Heading2"/>
      </w:pPr>
      <w:r>
        <w:rPr>
          <w:rFonts w:ascii="Aptos" w:hAnsi="Aptos"/>
          <w:sz w:val="25"/>
        </w:rPr>
        <w:t>2.1 Current-state problem</w:t>
      </w:r>
    </w:p>
    <w:p>
      <w:r>
        <w:rPr>
          <w:rFonts w:ascii="Aptos" w:hAnsi="Aptos"/>
          <w:sz w:val="19"/>
        </w:rPr>
        <w:t>Assurance work is performed repeatedly because the organization lacks a shared model for reusable truth. Organizational policies, procedures, shared services, product architecture, customer requirements, assessment results, evidence, findings, and POA&amp;M items frequently live in separate artifacts and tools.</w:t>
      </w:r>
    </w:p>
    <w:p>
      <w:r>
        <w:rPr>
          <w:rFonts w:ascii="Aptos" w:hAnsi="Aptos"/>
          <w:sz w:val="19"/>
        </w:rPr>
        <w:t>At the organizational level, teams may already operate enterprise IAM, PKI, VPN, MDM, vulnerability management, firmware signing, incident response, or other shared capabilities. Those teams often have policies, procedures, architecture, evidence, and prior assessment work that should apply to many downstream systems. Yet each program may ask the same questions again because the assurance was never published in a reusable, scoped form.</w:t>
      </w:r>
    </w:p>
    <w:p>
      <w:r>
        <w:rPr>
          <w:rFonts w:ascii="Aptos" w:hAnsi="Aptos"/>
          <w:sz w:val="19"/>
        </w:rPr>
        <w:t>At the product/program level, System Security Engineers repeatedly determine applicability, reconstruct system architecture, identify owners, contact engineers, gather evidence, and document control implementation. Physical products are commonly variants of known baseline products, but program workbooks often act as though each delivery begins from zero.</w:t>
      </w:r>
    </w:p>
    <w:p>
      <w:pPr>
        <w:pStyle w:val="Heading2"/>
      </w:pPr>
      <w:r>
        <w:rPr>
          <w:rFonts w:ascii="Aptos" w:hAnsi="Aptos"/>
          <w:sz w:val="25"/>
        </w:rPr>
        <w:t>2.2 Failure modes to eliminate</w:t>
      </w:r>
    </w:p>
    <w:p>
      <w:pPr>
        <w:pStyle w:val="ListBullet"/>
        <w:spacing w:after="40"/>
      </w:pPr>
      <w:r>
        <w:rPr>
          <w:rFonts w:ascii="Aptos" w:hAnsi="Aptos"/>
          <w:sz w:val="18"/>
        </w:rPr>
        <w:t>Re-asking the same assessment question even when a valid higher-scope answer already exists.</w:t>
      </w:r>
    </w:p>
    <w:p>
      <w:pPr>
        <w:pStyle w:val="ListBullet"/>
        <w:spacing w:after="40"/>
      </w:pPr>
      <w:r>
        <w:rPr>
          <w:rFonts w:ascii="Aptos" w:hAnsi="Aptos"/>
          <w:sz w:val="18"/>
        </w:rPr>
        <w:t>Treating organizational policy or shared-service implementation as program-local knowledge.</w:t>
      </w:r>
    </w:p>
    <w:p>
      <w:pPr>
        <w:pStyle w:val="ListBullet"/>
        <w:spacing w:after="40"/>
      </w:pPr>
      <w:r>
        <w:rPr>
          <w:rFonts w:ascii="Aptos" w:hAnsi="Aptos"/>
          <w:sz w:val="18"/>
        </w:rPr>
        <w:t>Treating contributor answers as control satisfaction without reviewer determination.</w:t>
      </w:r>
    </w:p>
    <w:p>
      <w:pPr>
        <w:pStyle w:val="ListBullet"/>
        <w:spacing w:after="40"/>
      </w:pPr>
      <w:r>
        <w:rPr>
          <w:rFonts w:ascii="Aptos" w:hAnsi="Aptos"/>
          <w:sz w:val="18"/>
        </w:rPr>
        <w:t>Copying controls, evidence, or implementation statements into program workbooks and losing provenance/version history.</w:t>
      </w:r>
    </w:p>
    <w:p>
      <w:pPr>
        <w:pStyle w:val="ListBullet"/>
        <w:spacing w:after="40"/>
      </w:pPr>
      <w:r>
        <w:rPr>
          <w:rFonts w:ascii="Aptos" w:hAnsi="Aptos"/>
          <w:sz w:val="18"/>
        </w:rPr>
        <w:t>Requiring a complete enterprise asset inventory before useful assessment work can start.</w:t>
      </w:r>
    </w:p>
    <w:p>
      <w:pPr>
        <w:pStyle w:val="ListBullet"/>
        <w:spacing w:after="40"/>
      </w:pPr>
      <w:r>
        <w:rPr>
          <w:rFonts w:ascii="Aptos" w:hAnsi="Aptos"/>
          <w:sz w:val="18"/>
        </w:rPr>
        <w:t>Representing missing data as N/A or satisfied instead of Unknown.</w:t>
      </w:r>
    </w:p>
    <w:p>
      <w:pPr>
        <w:pStyle w:val="ListBullet"/>
        <w:spacing w:after="40"/>
      </w:pPr>
      <w:r>
        <w:rPr>
          <w:rFonts w:ascii="Aptos" w:hAnsi="Aptos"/>
          <w:sz w:val="18"/>
        </w:rPr>
        <w:t>Losing program discoveries because they never propagate to the organizational scope where they actually apply.</w:t>
      </w:r>
    </w:p>
    <w:p>
      <w:pPr>
        <w:pStyle w:val="ListBullet"/>
        <w:spacing w:after="40"/>
      </w:pPr>
      <w:r>
        <w:rPr>
          <w:rFonts w:ascii="Aptos" w:hAnsi="Aptos"/>
          <w:sz w:val="18"/>
        </w:rPr>
        <w:t>Reassessing an entire control family because one component changed instead of reopening only impacted objectives.</w:t>
      </w:r>
    </w:p>
    <w:p>
      <w:pPr>
        <w:pStyle w:val="ListBullet"/>
        <w:spacing w:after="40"/>
      </w:pPr>
      <w:r>
        <w:rPr>
          <w:rFonts w:ascii="Aptos" w:hAnsi="Aptos"/>
          <w:sz w:val="18"/>
        </w:rPr>
        <w:t>Hiding shared responsibilities when an enterprise service provides part of an implementation but the consuming system still has local duties.</w:t>
      </w:r>
    </w:p>
    <w:p>
      <w:pPr>
        <w:pStyle w:val="ListBullet"/>
        <w:spacing w:after="40"/>
      </w:pPr>
      <w:r>
        <w:rPr>
          <w:rFonts w:ascii="Aptos" w:hAnsi="Aptos"/>
          <w:sz w:val="18"/>
        </w:rPr>
        <w:t>Creating isolated findings that cannot be grouped into common remediation or traced into risk/POA&amp;M workflows.</w:t>
      </w:r>
    </w:p>
    <w:p>
      <w:pPr>
        <w:pStyle w:val="ListBullet"/>
        <w:spacing w:after="40"/>
      </w:pPr>
      <w:r>
        <w:rPr>
          <w:rFonts w:ascii="Aptos" w:hAnsi="Aptos"/>
          <w:sz w:val="18"/>
        </w:rPr>
        <w:t>Producing an opaque security percentage that masks whether work is unassessed, inherited, insufficiently evidenced, or actually Other Than Satisfied.</w:t>
      </w:r>
    </w:p>
    <w:p>
      <w:pPr>
        <w:pStyle w:val="Heading2"/>
      </w:pPr>
      <w:r>
        <w:rPr>
          <w:rFonts w:ascii="Aptos" w:hAnsi="Aptos"/>
          <w:sz w:val="25"/>
        </w:rPr>
        <w:t>2.3 Product problem statement</w:t>
      </w:r>
    </w:p>
    <w:p>
      <w:pPr>
        <w:pStyle w:val="Callout"/>
        <w:shd w:fill="EEF4F8"/>
        <w:pBdr>
          <w:left w:val="single" w:sz="18" w:space="8" w:color="2F75B5"/>
        </w:pBdr>
      </w:pPr>
      <w:r>
        <w:rPr>
          <w:rFonts w:ascii="Aptos" w:hAnsi="Aptos"/>
          <w:sz w:val="18"/>
        </w:rPr>
        <w:t>The organization needs a shared assurance model and workflow engine that can assess any relevant scope, reuse trusted work across organizational and product/system boundaries, delegate information gathering to the people who know the answer, preserve human assessment authority, convert gaps into actionable findings/remediation/risk work, and continuously turn validated local discoveries into reusable organizational knowledge.</w:t>
      </w:r>
    </w:p>
    <w:p>
      <w:pPr>
        <w:pStyle w:val="Heading2"/>
      </w:pPr>
      <w:r>
        <w:rPr>
          <w:rFonts w:ascii="Aptos" w:hAnsi="Aptos"/>
          <w:sz w:val="25"/>
        </w:rPr>
        <w:t>2.4 Why now</w:t>
      </w:r>
    </w:p>
    <w:p>
      <w:r>
        <w:rPr>
          <w:rFonts w:ascii="Aptos" w:hAnsi="Aptos"/>
          <w:sz w:val="19"/>
        </w:rPr>
        <w:t>The platform creates leverage only if assurance work compounds. Without a shared graph, every new product variation, customer requirement, organizational assessment, or program deadline produces more documents but not more reusable organizational knowledge. The product should make the second assessment cheaper than the first, the twentieth program easier than the fifth, and the impact of an upstream change immediately visible to every dependent consumer.</w:t>
      </w:r>
    </w:p>
    <w:p>
      <w:pPr>
        <w:pStyle w:val="Heading1"/>
      </w:pPr>
      <w:r>
        <w:rPr>
          <w:rFonts w:ascii="Aptos" w:hAnsi="Aptos"/>
          <w:sz w:val="32"/>
        </w:rPr>
        <w:t>3. Users and Jobs to Be Done</w:t>
      </w:r>
    </w:p>
    <w:p>
      <w:pPr>
        <w:pStyle w:val="Heading2"/>
      </w:pPr>
      <w:r>
        <w:rPr>
          <w:rFonts w:ascii="Aptos" w:hAnsi="Aptos"/>
          <w:sz w:val="25"/>
        </w:rPr>
        <w:t>3.1 Primary users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3798"/>
            <w:vAlign w:val="top"/>
            <w:tcMar>
              <w:top w:w="70" w:type="dxa"/>
              <w:start w:w="85" w:type="dxa"/>
              <w:bottom w:w="70" w:type="dxa"/>
              <w:end w:w="85" w:type="dxa"/>
            </w:tcMar>
            <w:shd w:fill="D9EAF7"/>
          </w:tcPr>
          <w:p>
            <w:pPr>
              <w:pStyle w:val="Compact"/>
            </w:pPr>
            <w:r>
              <w:rPr>
                <w:rFonts w:ascii="Aptos" w:hAnsi="Aptos"/>
                <w:b/>
                <w:color w:val="17365D"/>
                <w:sz w:val="16"/>
              </w:rPr>
              <w:t>User</w:t>
            </w:r>
          </w:p>
        </w:tc>
        <w:tc>
          <w:tcPr>
            <w:tcW w:type="dxa" w:w="5922"/>
            <w:vAlign w:val="top"/>
            <w:tcMar>
              <w:top w:w="70" w:type="dxa"/>
              <w:start w:w="85" w:type="dxa"/>
              <w:bottom w:w="70" w:type="dxa"/>
              <w:end w:w="85" w:type="dxa"/>
            </w:tcMar>
            <w:shd w:fill="D9EAF7"/>
          </w:tcPr>
          <w:p>
            <w:pPr>
              <w:pStyle w:val="Compact"/>
            </w:pPr>
            <w:r>
              <w:rPr>
                <w:rFonts w:ascii="Aptos" w:hAnsi="Aptos"/>
                <w:b/>
                <w:color w:val="17365D"/>
                <w:sz w:val="16"/>
              </w:rPr>
              <w:t>Primary job</w:t>
            </w:r>
          </w:p>
        </w:tc>
      </w:tr>
      <w:tr>
        <w:tc>
          <w:tcPr>
            <w:tcW w:type="dxa" w:w="3798"/>
            <w:vAlign w:val="top"/>
            <w:tcMar>
              <w:top w:w="70" w:type="dxa"/>
              <w:start w:w="85" w:type="dxa"/>
              <w:bottom w:w="70" w:type="dxa"/>
              <w:end w:w="85" w:type="dxa"/>
            </w:tcMar>
          </w:tcPr>
          <w:p>
            <w:pPr>
              <w:pStyle w:val="Compact"/>
            </w:pPr>
            <w:r>
              <w:rPr>
                <w:rFonts w:ascii="Aptos" w:hAnsi="Aptos"/>
                <w:b/>
                <w:sz w:val="16"/>
              </w:rPr>
              <w:t>Organizational Assurance / Security-GRC Lead</w:t>
            </w:r>
          </w:p>
        </w:tc>
        <w:tc>
          <w:tcPr>
            <w:tcW w:type="dxa" w:w="5922"/>
            <w:vAlign w:val="top"/>
            <w:tcMar>
              <w:top w:w="70" w:type="dxa"/>
              <w:start w:w="85" w:type="dxa"/>
              <w:bottom w:w="70" w:type="dxa"/>
              <w:end w:w="85" w:type="dxa"/>
            </w:tcMar>
          </w:tcPr>
          <w:p>
            <w:pPr>
              <w:pStyle w:val="Compact"/>
            </w:pPr>
            <w:r>
              <w:rPr>
                <w:rFonts w:ascii="Aptos" w:hAnsi="Aptos"/>
                <w:sz w:val="16"/>
              </w:rPr>
              <w:t>Model the portion of the organization needed for assurance, launch assessments, establish reusable policies/procedures/implementations, understand findings across units, and govern inheritance.</w:t>
            </w:r>
          </w:p>
        </w:tc>
      </w:tr>
      <w:tr>
        <w:tc>
          <w:tcPr>
            <w:tcW w:type="dxa" w:w="3798"/>
            <w:vAlign w:val="top"/>
            <w:tcMar>
              <w:top w:w="70" w:type="dxa"/>
              <w:start w:w="85" w:type="dxa"/>
              <w:bottom w:w="70" w:type="dxa"/>
              <w:end w:w="85" w:type="dxa"/>
            </w:tcMar>
            <w:shd w:fill="FAFCFD"/>
          </w:tcPr>
          <w:p>
            <w:pPr>
              <w:pStyle w:val="Compact"/>
            </w:pPr>
            <w:r>
              <w:rPr>
                <w:rFonts w:ascii="Aptos" w:hAnsi="Aptos"/>
                <w:b/>
                <w:sz w:val="16"/>
              </w:rPr>
              <w:t>Organizational Unit Owner</w:t>
            </w:r>
          </w:p>
        </w:tc>
        <w:tc>
          <w:tcPr>
            <w:tcW w:type="dxa" w:w="5922"/>
            <w:vAlign w:val="top"/>
            <w:tcMar>
              <w:top w:w="70" w:type="dxa"/>
              <w:start w:w="85" w:type="dxa"/>
              <w:bottom w:w="70" w:type="dxa"/>
              <w:end w:w="85" w:type="dxa"/>
            </w:tcMar>
            <w:shd w:fill="FAFCFD"/>
          </w:tcPr>
          <w:p>
            <w:pPr>
              <w:pStyle w:val="Compact"/>
            </w:pPr>
            <w:r>
              <w:rPr>
                <w:rFonts w:ascii="Aptos" w:hAnsi="Aptos"/>
                <w:sz w:val="16"/>
              </w:rPr>
              <w:t>Own unit-scoped assurance; answer or delegate assessment work; publish reusable policy, procedure, service, implementation, evidence, and assessment knowledge.</w:t>
            </w:r>
          </w:p>
        </w:tc>
      </w:tr>
      <w:tr>
        <w:tc>
          <w:tcPr>
            <w:tcW w:type="dxa" w:w="3798"/>
            <w:vAlign w:val="top"/>
            <w:tcMar>
              <w:top w:w="70" w:type="dxa"/>
              <w:start w:w="85" w:type="dxa"/>
              <w:bottom w:w="70" w:type="dxa"/>
              <w:end w:w="85" w:type="dxa"/>
            </w:tcMar>
          </w:tcPr>
          <w:p>
            <w:pPr>
              <w:pStyle w:val="Compact"/>
            </w:pPr>
            <w:r>
              <w:rPr>
                <w:rFonts w:ascii="Aptos" w:hAnsi="Aptos"/>
                <w:b/>
                <w:sz w:val="16"/>
              </w:rPr>
              <w:t>System Security Engineer / Program Security Lead</w:t>
            </w:r>
          </w:p>
        </w:tc>
        <w:tc>
          <w:tcPr>
            <w:tcW w:type="dxa" w:w="5922"/>
            <w:vAlign w:val="top"/>
            <w:tcMar>
              <w:top w:w="70" w:type="dxa"/>
              <w:start w:w="85" w:type="dxa"/>
              <w:bottom w:w="70" w:type="dxa"/>
              <w:end w:w="85" w:type="dxa"/>
            </w:tcMar>
          </w:tcPr>
          <w:p>
            <w:pPr>
              <w:pStyle w:val="Compact"/>
            </w:pPr>
            <w:r>
              <w:rPr>
                <w:rFonts w:ascii="Aptos" w:hAnsi="Aptos"/>
                <w:sz w:val="16"/>
              </w:rPr>
              <w:t>Establish program context and obligations, inherit existing assurance, identify product/system delta and unknowns, route work, adjudicate responses, and drive readiness to a deadline.</w:t>
            </w:r>
          </w:p>
        </w:tc>
      </w:tr>
      <w:tr>
        <w:tc>
          <w:tcPr>
            <w:tcW w:type="dxa" w:w="3798"/>
            <w:vAlign w:val="top"/>
            <w:tcMar>
              <w:top w:w="70" w:type="dxa"/>
              <w:start w:w="85" w:type="dxa"/>
              <w:bottom w:w="70" w:type="dxa"/>
              <w:end w:w="85" w:type="dxa"/>
            </w:tcMar>
            <w:shd w:fill="FAFCFD"/>
          </w:tcPr>
          <w:p>
            <w:pPr>
              <w:pStyle w:val="Compact"/>
            </w:pPr>
            <w:r>
              <w:rPr>
                <w:rFonts w:ascii="Aptos" w:hAnsi="Aptos"/>
                <w:b/>
                <w:sz w:val="16"/>
              </w:rPr>
              <w:t>Product/System Security Lead</w:t>
            </w:r>
          </w:p>
        </w:tc>
        <w:tc>
          <w:tcPr>
            <w:tcW w:type="dxa" w:w="5922"/>
            <w:vAlign w:val="top"/>
            <w:tcMar>
              <w:top w:w="70" w:type="dxa"/>
              <w:start w:w="85" w:type="dxa"/>
              <w:bottom w:w="70" w:type="dxa"/>
              <w:end w:w="85" w:type="dxa"/>
            </w:tcMar>
            <w:shd w:fill="FAFCFD"/>
          </w:tcPr>
          <w:p>
            <w:pPr>
              <w:pStyle w:val="Compact"/>
            </w:pPr>
            <w:r>
              <w:rPr>
                <w:rFonts w:ascii="Aptos" w:hAnsi="Aptos"/>
                <w:sz w:val="16"/>
              </w:rPr>
              <w:t>Establish reusable product/system baseline knowledge so variants start from what is already known.</w:t>
            </w:r>
          </w:p>
        </w:tc>
      </w:tr>
      <w:tr>
        <w:tc>
          <w:tcPr>
            <w:tcW w:type="dxa" w:w="3798"/>
            <w:vAlign w:val="top"/>
            <w:tcMar>
              <w:top w:w="70" w:type="dxa"/>
              <w:start w:w="85" w:type="dxa"/>
              <w:bottom w:w="70" w:type="dxa"/>
              <w:end w:w="85" w:type="dxa"/>
            </w:tcMar>
          </w:tcPr>
          <w:p>
            <w:pPr>
              <w:pStyle w:val="Compact"/>
            </w:pPr>
            <w:r>
              <w:rPr>
                <w:rFonts w:ascii="Aptos" w:hAnsi="Aptos"/>
                <w:b/>
                <w:sz w:val="16"/>
              </w:rPr>
              <w:t>System Architect / HW/FW/SW Engineer</w:t>
            </w:r>
          </w:p>
        </w:tc>
        <w:tc>
          <w:tcPr>
            <w:tcW w:type="dxa" w:w="5922"/>
            <w:vAlign w:val="top"/>
            <w:tcMar>
              <w:top w:w="70" w:type="dxa"/>
              <w:start w:w="85" w:type="dxa"/>
              <w:bottom w:w="70" w:type="dxa"/>
              <w:end w:w="85" w:type="dxa"/>
            </w:tcMar>
          </w:tcPr>
          <w:p>
            <w:pPr>
              <w:pStyle w:val="Compact"/>
            </w:pPr>
            <w:r>
              <w:rPr>
                <w:rFonts w:ascii="Aptos" w:hAnsi="Aptos"/>
                <w:sz w:val="16"/>
              </w:rPr>
              <w:t>Receive narrow technical questions or evidence requests, answer or delegate them, and expose actual architecture/configuration without having to understand the full control framework.</w:t>
            </w:r>
          </w:p>
        </w:tc>
      </w:tr>
      <w:tr>
        <w:tc>
          <w:tcPr>
            <w:tcW w:type="dxa" w:w="3798"/>
            <w:vAlign w:val="top"/>
            <w:tcMar>
              <w:top w:w="70" w:type="dxa"/>
              <w:start w:w="85" w:type="dxa"/>
              <w:bottom w:w="70" w:type="dxa"/>
              <w:end w:w="85" w:type="dxa"/>
            </w:tcMar>
            <w:shd w:fill="FAFCFD"/>
          </w:tcPr>
          <w:p>
            <w:pPr>
              <w:pStyle w:val="Compact"/>
            </w:pPr>
            <w:r>
              <w:rPr>
                <w:rFonts w:ascii="Aptos" w:hAnsi="Aptos"/>
                <w:b/>
                <w:sz w:val="16"/>
              </w:rPr>
              <w:t>Shared-Service / Asset Owner</w:t>
            </w:r>
          </w:p>
        </w:tc>
        <w:tc>
          <w:tcPr>
            <w:tcW w:type="dxa" w:w="5922"/>
            <w:vAlign w:val="top"/>
            <w:tcMar>
              <w:top w:w="70" w:type="dxa"/>
              <w:start w:w="85" w:type="dxa"/>
              <w:bottom w:w="70" w:type="dxa"/>
              <w:end w:w="85" w:type="dxa"/>
            </w:tcMar>
            <w:shd w:fill="FAFCFD"/>
          </w:tcPr>
          <w:p>
            <w:pPr>
              <w:pStyle w:val="Compact"/>
            </w:pPr>
            <w:r>
              <w:rPr>
                <w:rFonts w:ascii="Aptos" w:hAnsi="Aptos"/>
                <w:sz w:val="16"/>
              </w:rPr>
              <w:t>Maintain canonical shared-asset identity, implementation, evidence, validity, assessment state, and provider responsibilities.</w:t>
            </w:r>
          </w:p>
        </w:tc>
      </w:tr>
      <w:tr>
        <w:tc>
          <w:tcPr>
            <w:tcW w:type="dxa" w:w="3798"/>
            <w:vAlign w:val="top"/>
            <w:tcMar>
              <w:top w:w="70" w:type="dxa"/>
              <w:start w:w="85" w:type="dxa"/>
              <w:bottom w:w="70" w:type="dxa"/>
              <w:end w:w="85" w:type="dxa"/>
            </w:tcMar>
          </w:tcPr>
          <w:p>
            <w:pPr>
              <w:pStyle w:val="Compact"/>
            </w:pPr>
            <w:r>
              <w:rPr>
                <w:rFonts w:ascii="Aptos" w:hAnsi="Aptos"/>
                <w:b/>
                <w:sz w:val="16"/>
              </w:rPr>
              <w:t>Assessor / Reviewer</w:t>
            </w:r>
          </w:p>
        </w:tc>
        <w:tc>
          <w:tcPr>
            <w:tcW w:type="dxa" w:w="5922"/>
            <w:vAlign w:val="top"/>
            <w:tcMar>
              <w:top w:w="70" w:type="dxa"/>
              <w:start w:w="85" w:type="dxa"/>
              <w:bottom w:w="70" w:type="dxa"/>
              <w:end w:w="85" w:type="dxa"/>
            </w:tcMar>
          </w:tcPr>
          <w:p>
            <w:pPr>
              <w:pStyle w:val="Compact"/>
            </w:pPr>
            <w:r>
              <w:rPr>
                <w:rFonts w:ascii="Aptos" w:hAnsi="Aptos"/>
                <w:sz w:val="16"/>
              </w:rPr>
              <w:t>Review observations/evidence, execute assessment methods, make determinations within authority, create findings, and preserve provenance.</w:t>
            </w:r>
          </w:p>
        </w:tc>
      </w:tr>
      <w:tr>
        <w:tc>
          <w:tcPr>
            <w:tcW w:type="dxa" w:w="3798"/>
            <w:vAlign w:val="top"/>
            <w:tcMar>
              <w:top w:w="70" w:type="dxa"/>
              <w:start w:w="85" w:type="dxa"/>
              <w:bottom w:w="70" w:type="dxa"/>
              <w:end w:w="85" w:type="dxa"/>
            </w:tcMar>
            <w:shd w:fill="FAFCFD"/>
          </w:tcPr>
          <w:p>
            <w:pPr>
              <w:pStyle w:val="Compact"/>
            </w:pPr>
            <w:r>
              <w:rPr>
                <w:rFonts w:ascii="Aptos" w:hAnsi="Aptos"/>
                <w:b/>
                <w:sz w:val="16"/>
              </w:rPr>
              <w:t>Finding / Remediation / Risk Owner</w:t>
            </w:r>
          </w:p>
        </w:tc>
        <w:tc>
          <w:tcPr>
            <w:tcW w:type="dxa" w:w="5922"/>
            <w:vAlign w:val="top"/>
            <w:tcMar>
              <w:top w:w="70" w:type="dxa"/>
              <w:start w:w="85" w:type="dxa"/>
              <w:bottom w:w="70" w:type="dxa"/>
              <w:end w:w="85" w:type="dxa"/>
            </w:tcMar>
            <w:shd w:fill="FAFCFD"/>
          </w:tcPr>
          <w:p>
            <w:pPr>
              <w:pStyle w:val="Compact"/>
            </w:pPr>
            <w:r>
              <w:rPr>
                <w:rFonts w:ascii="Aptos" w:hAnsi="Aptos"/>
                <w:sz w:val="16"/>
              </w:rPr>
              <w:t>Consolidate related findings, create remediation initiatives and milestones, manage risk/POA&amp;M obligations, and provide closure evidence.</w:t>
            </w:r>
          </w:p>
        </w:tc>
      </w:tr>
      <w:tr>
        <w:tc>
          <w:tcPr>
            <w:tcW w:type="dxa" w:w="3798"/>
            <w:vAlign w:val="top"/>
            <w:tcMar>
              <w:top w:w="70" w:type="dxa"/>
              <w:start w:w="85" w:type="dxa"/>
              <w:bottom w:w="70" w:type="dxa"/>
              <w:end w:w="85" w:type="dxa"/>
            </w:tcMar>
          </w:tcPr>
          <w:p>
            <w:pPr>
              <w:pStyle w:val="Compact"/>
            </w:pPr>
            <w:r>
              <w:rPr>
                <w:rFonts w:ascii="Aptos" w:hAnsi="Aptos"/>
                <w:b/>
                <w:sz w:val="16"/>
              </w:rPr>
              <w:t>Program / Security Leadership</w:t>
            </w:r>
          </w:p>
        </w:tc>
        <w:tc>
          <w:tcPr>
            <w:tcW w:type="dxa" w:w="5922"/>
            <w:vAlign w:val="top"/>
            <w:tcMar>
              <w:top w:w="70" w:type="dxa"/>
              <w:start w:w="85" w:type="dxa"/>
              <w:bottom w:w="70" w:type="dxa"/>
              <w:end w:w="85" w:type="dxa"/>
            </w:tcMar>
          </w:tcPr>
          <w:p>
            <w:pPr>
              <w:pStyle w:val="Compact"/>
            </w:pPr>
            <w:r>
              <w:rPr>
                <w:rFonts w:ascii="Aptos" w:hAnsi="Aptos"/>
                <w:sz w:val="16"/>
              </w:rPr>
              <w:t>Understand factual readiness, unresolved work, systemic findings, critical dependencies, remediation exposure, and deadline risk.</w:t>
            </w:r>
          </w:p>
        </w:tc>
      </w:tr>
    </w:tbl>
    <w:p>
      <w:pPr>
        <w:spacing w:after="0"/>
      </w:pPr>
    </w:p>
    <w:p>
      <w:pPr>
        <w:pStyle w:val="Heading2"/>
      </w:pPr>
      <w:r>
        <w:rPr>
          <w:rFonts w:ascii="Aptos" w:hAnsi="Aptos"/>
          <w:sz w:val="25"/>
        </w:rPr>
        <w:t>3.2 Contributor design principle</w:t>
      </w:r>
    </w:p>
    <w:p>
      <w:r>
        <w:rPr>
          <w:rFonts w:ascii="Aptos" w:hAnsi="Aptos"/>
          <w:sz w:val="19"/>
        </w:rPr>
        <w:t>Most contributors should never need to navigate NIST control identifiers. They should receive a human request such as:</w:t>
      </w:r>
    </w:p>
    <w:p>
      <w:pPr>
        <w:pStyle w:val="Callout"/>
        <w:shd w:fill="EEF4F8"/>
        <w:pBdr>
          <w:left w:val="single" w:sz="18" w:space="8" w:color="2F75B5"/>
        </w:pBdr>
      </w:pPr>
      <w:r>
        <w:rPr>
          <w:rFonts w:ascii="Aptos" w:hAnsi="Aptos"/>
          <w:sz w:val="18"/>
        </w:rPr>
        <w:t>“Describe how privileged account requests are approved for the Tactical Management Controller and link the current procedure.”</w:t>
      </w:r>
    </w:p>
    <w:p>
      <w:r>
        <w:rPr>
          <w:rFonts w:ascii="Aptos" w:hAnsi="Aptos"/>
          <w:sz w:val="19"/>
        </w:rPr>
        <w:t>The platform preserves the control/objective trace behind that task. The contributor supplies information; the assessor retains determination authority.</w:t>
      </w:r>
    </w:p>
    <w:p>
      <w:pPr>
        <w:pStyle w:val="Heading2"/>
      </w:pPr>
      <w:r>
        <w:rPr>
          <w:rFonts w:ascii="Aptos" w:hAnsi="Aptos"/>
          <w:sz w:val="25"/>
        </w:rPr>
        <w:t>3.3 Ownership principle</w:t>
      </w:r>
    </w:p>
    <w:p>
      <w:r>
        <w:rPr>
          <w:rFonts w:ascii="Aptos" w:hAnsi="Aptos"/>
          <w:sz w:val="19"/>
        </w:rPr>
        <w:t>Ownership belongs to objects and scopes, not only to job titles. A shared service can be owned by Enterprise IAM, a baseline by Product Security, an assessment by an Assessment Lead, and a finding by Firmware Engineering. Delegation transfers responsibility to provide an input; it does not automatically transfer assessment authority.</w:t>
      </w:r>
    </w:p>
    <w:p>
      <w:pPr>
        <w:pStyle w:val="Heading1"/>
      </w:pPr>
      <w:r>
        <w:rPr>
          <w:rFonts w:ascii="Aptos" w:hAnsi="Aptos"/>
          <w:sz w:val="32"/>
        </w:rPr>
        <w:t>4. Product Principles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4060"/>
            <w:vAlign w:val="top"/>
            <w:tcMar>
              <w:top w:w="70" w:type="dxa"/>
              <w:start w:w="85" w:type="dxa"/>
              <w:bottom w:w="70" w:type="dxa"/>
              <w:end w:w="85" w:type="dxa"/>
            </w:tcMar>
            <w:shd w:fill="D9EAF7"/>
          </w:tcPr>
          <w:p>
            <w:pPr>
              <w:pStyle w:val="Compact"/>
            </w:pPr>
            <w:r>
              <w:rPr>
                <w:rFonts w:ascii="Aptos" w:hAnsi="Aptos"/>
                <w:b/>
                <w:color w:val="17365D"/>
                <w:sz w:val="16"/>
              </w:rPr>
              <w:t>Principle</w:t>
            </w:r>
          </w:p>
        </w:tc>
        <w:tc>
          <w:tcPr>
            <w:tcW w:type="dxa" w:w="5660"/>
            <w:vAlign w:val="top"/>
            <w:tcMar>
              <w:top w:w="70" w:type="dxa"/>
              <w:start w:w="85" w:type="dxa"/>
              <w:bottom w:w="70" w:type="dxa"/>
              <w:end w:w="85" w:type="dxa"/>
            </w:tcMar>
            <w:shd w:fill="D9EAF7"/>
          </w:tcPr>
          <w:p>
            <w:pPr>
              <w:pStyle w:val="Compact"/>
            </w:pPr>
            <w:r>
              <w:rPr>
                <w:rFonts w:ascii="Aptos" w:hAnsi="Aptos"/>
                <w:b/>
                <w:color w:val="17365D"/>
                <w:sz w:val="16"/>
              </w:rPr>
              <w:t>Meaning</w:t>
            </w:r>
          </w:p>
        </w:tc>
      </w:tr>
      <w:tr>
        <w:tc>
          <w:tcPr>
            <w:tcW w:type="dxa" w:w="4060"/>
            <w:vAlign w:val="top"/>
            <w:tcMar>
              <w:top w:w="70" w:type="dxa"/>
              <w:start w:w="85" w:type="dxa"/>
              <w:bottom w:w="70" w:type="dxa"/>
              <w:end w:w="85" w:type="dxa"/>
            </w:tcMar>
          </w:tcPr>
          <w:p>
            <w:pPr>
              <w:pStyle w:val="Compact"/>
            </w:pPr>
            <w:r>
              <w:rPr>
                <w:rFonts w:ascii="Aptos" w:hAnsi="Aptos"/>
                <w:b/>
                <w:sz w:val="16"/>
              </w:rPr>
              <w:t>Two entry paths, one graph</w:t>
            </w:r>
          </w:p>
        </w:tc>
        <w:tc>
          <w:tcPr>
            <w:tcW w:type="dxa" w:w="5660"/>
            <w:vAlign w:val="top"/>
            <w:tcMar>
              <w:top w:w="70" w:type="dxa"/>
              <w:start w:w="85" w:type="dxa"/>
              <w:bottom w:w="70" w:type="dxa"/>
              <w:end w:w="85" w:type="dxa"/>
            </w:tcMar>
          </w:tcPr>
          <w:p>
            <w:pPr>
              <w:pStyle w:val="Compact"/>
            </w:pPr>
            <w:r>
              <w:rPr>
                <w:rFonts w:ascii="Aptos" w:hAnsi="Aptos"/>
                <w:sz w:val="16"/>
              </w:rPr>
              <w:t>Organization-first and product/program-first work create and consume the same canonical objects.</w:t>
            </w:r>
          </w:p>
        </w:tc>
      </w:tr>
      <w:tr>
        <w:tc>
          <w:tcPr>
            <w:tcW w:type="dxa" w:w="4060"/>
            <w:vAlign w:val="top"/>
            <w:tcMar>
              <w:top w:w="70" w:type="dxa"/>
              <w:start w:w="85" w:type="dxa"/>
              <w:bottom w:w="70" w:type="dxa"/>
              <w:end w:w="85" w:type="dxa"/>
            </w:tcMar>
            <w:shd w:fill="FAFCFD"/>
          </w:tcPr>
          <w:p>
            <w:pPr>
              <w:pStyle w:val="Compact"/>
            </w:pPr>
            <w:r>
              <w:rPr>
                <w:rFonts w:ascii="Aptos" w:hAnsi="Aptos"/>
                <w:b/>
                <w:sz w:val="16"/>
              </w:rPr>
              <w:t>Assess anywhere, reuse everywhere valid</w:t>
            </w:r>
          </w:p>
        </w:tc>
        <w:tc>
          <w:tcPr>
            <w:tcW w:type="dxa" w:w="5660"/>
            <w:vAlign w:val="top"/>
            <w:tcMar>
              <w:top w:w="70" w:type="dxa"/>
              <w:start w:w="85" w:type="dxa"/>
              <w:bottom w:w="70" w:type="dxa"/>
              <w:end w:w="85" w:type="dxa"/>
            </w:tcMar>
            <w:shd w:fill="FAFCFD"/>
          </w:tcPr>
          <w:p>
            <w:pPr>
              <w:pStyle w:val="Compact"/>
            </w:pPr>
            <w:r>
              <w:rPr>
                <w:rFonts w:ascii="Aptos" w:hAnsi="Aptos"/>
                <w:sz w:val="16"/>
              </w:rPr>
              <w:t>Any authorized unit, asset owner, product team, or program can initiate assessment work; validated results are reusable only where applicability is demonstrated.</w:t>
            </w:r>
          </w:p>
        </w:tc>
      </w:tr>
      <w:tr>
        <w:tc>
          <w:tcPr>
            <w:tcW w:type="dxa" w:w="4060"/>
            <w:vAlign w:val="top"/>
            <w:tcMar>
              <w:top w:w="70" w:type="dxa"/>
              <w:start w:w="85" w:type="dxa"/>
              <w:bottom w:w="70" w:type="dxa"/>
              <w:end w:w="85" w:type="dxa"/>
            </w:tcMar>
          </w:tcPr>
          <w:p>
            <w:pPr>
              <w:pStyle w:val="Compact"/>
            </w:pPr>
            <w:r>
              <w:rPr>
                <w:rFonts w:ascii="Aptos" w:hAnsi="Aptos"/>
                <w:b/>
                <w:sz w:val="16"/>
              </w:rPr>
              <w:t>Establish assurance at the highest valid scope</w:t>
            </w:r>
          </w:p>
        </w:tc>
        <w:tc>
          <w:tcPr>
            <w:tcW w:type="dxa" w:w="5660"/>
            <w:vAlign w:val="top"/>
            <w:tcMar>
              <w:top w:w="70" w:type="dxa"/>
              <w:start w:w="85" w:type="dxa"/>
              <w:bottom w:w="70" w:type="dxa"/>
              <w:end w:w="85" w:type="dxa"/>
            </w:tcMar>
          </w:tcPr>
          <w:p>
            <w:pPr>
              <w:pStyle w:val="Compact"/>
            </w:pPr>
            <w:r>
              <w:rPr>
                <w:rFonts w:ascii="Aptos" w:hAnsi="Aptos"/>
                <w:sz w:val="16"/>
              </w:rPr>
              <w:t>Organization-wide or unit-wide policy, service, implementation, evidence, and results should not be recreated inside every program.</w:t>
            </w:r>
          </w:p>
        </w:tc>
      </w:tr>
      <w:tr>
        <w:tc>
          <w:tcPr>
            <w:tcW w:type="dxa" w:w="4060"/>
            <w:vAlign w:val="top"/>
            <w:tcMar>
              <w:top w:w="70" w:type="dxa"/>
              <w:start w:w="85" w:type="dxa"/>
              <w:bottom w:w="70" w:type="dxa"/>
              <w:end w:w="85" w:type="dxa"/>
            </w:tcMar>
            <w:shd w:fill="FAFCFD"/>
          </w:tcPr>
          <w:p>
            <w:pPr>
              <w:pStyle w:val="Compact"/>
            </w:pPr>
            <w:r>
              <w:rPr>
                <w:rFonts w:ascii="Aptos" w:hAnsi="Aptos"/>
                <w:b/>
                <w:sz w:val="16"/>
              </w:rPr>
              <w:t>Local first, promote later</w:t>
            </w:r>
          </w:p>
        </w:tc>
        <w:tc>
          <w:tcPr>
            <w:tcW w:type="dxa" w:w="5660"/>
            <w:vAlign w:val="top"/>
            <w:tcMar>
              <w:top w:w="70" w:type="dxa"/>
              <w:start w:w="85" w:type="dxa"/>
              <w:bottom w:w="70" w:type="dxa"/>
              <w:end w:w="85" w:type="dxa"/>
            </w:tcMar>
            <w:shd w:fill="FAFCFD"/>
          </w:tcPr>
          <w:p>
            <w:pPr>
              <w:pStyle w:val="Compact"/>
            </w:pPr>
            <w:r>
              <w:rPr>
                <w:rFonts w:ascii="Aptos" w:hAnsi="Aptos"/>
                <w:sz w:val="16"/>
              </w:rPr>
              <w:t>Missing assets or knowledge can be created immediately within current work; broader reuse requires governed promotion and ownership.</w:t>
            </w:r>
          </w:p>
        </w:tc>
      </w:tr>
      <w:tr>
        <w:tc>
          <w:tcPr>
            <w:tcW w:type="dxa" w:w="4060"/>
            <w:vAlign w:val="top"/>
            <w:tcMar>
              <w:top w:w="70" w:type="dxa"/>
              <w:start w:w="85" w:type="dxa"/>
              <w:bottom w:w="70" w:type="dxa"/>
              <w:end w:w="85" w:type="dxa"/>
            </w:tcMar>
          </w:tcPr>
          <w:p>
            <w:pPr>
              <w:pStyle w:val="Compact"/>
            </w:pPr>
            <w:r>
              <w:rPr>
                <w:rFonts w:ascii="Aptos" w:hAnsi="Aptos"/>
                <w:b/>
                <w:sz w:val="16"/>
              </w:rPr>
              <w:t>Inheritance is a claim, not a copy</w:t>
            </w:r>
          </w:p>
        </w:tc>
        <w:tc>
          <w:tcPr>
            <w:tcW w:type="dxa" w:w="5660"/>
            <w:vAlign w:val="top"/>
            <w:tcMar>
              <w:top w:w="70" w:type="dxa"/>
              <w:start w:w="85" w:type="dxa"/>
              <w:bottom w:w="70" w:type="dxa"/>
              <w:end w:w="85" w:type="dxa"/>
            </w:tcMar>
          </w:tcPr>
          <w:p>
            <w:pPr>
              <w:pStyle w:val="Compact"/>
            </w:pPr>
            <w:r>
              <w:rPr>
                <w:rFonts w:ascii="Aptos" w:hAnsi="Aptos"/>
                <w:sz w:val="16"/>
              </w:rPr>
              <w:t>Inherited assurance retains source, version, conditions, responsibilities, evidence/result lineage, and invalidation rules.</w:t>
            </w:r>
          </w:p>
        </w:tc>
      </w:tr>
      <w:tr>
        <w:tc>
          <w:tcPr>
            <w:tcW w:type="dxa" w:w="4060"/>
            <w:vAlign w:val="top"/>
            <w:tcMar>
              <w:top w:w="70" w:type="dxa"/>
              <w:start w:w="85" w:type="dxa"/>
              <w:bottom w:w="70" w:type="dxa"/>
              <w:end w:w="85" w:type="dxa"/>
            </w:tcMar>
            <w:shd w:fill="FAFCFD"/>
          </w:tcPr>
          <w:p>
            <w:pPr>
              <w:pStyle w:val="Compact"/>
            </w:pPr>
            <w:r>
              <w:rPr>
                <w:rFonts w:ascii="Aptos" w:hAnsi="Aptos"/>
                <w:b/>
                <w:sz w:val="16"/>
              </w:rPr>
              <w:t>Provider and consumer responsibilities remain explicit</w:t>
            </w:r>
          </w:p>
        </w:tc>
        <w:tc>
          <w:tcPr>
            <w:tcW w:type="dxa" w:w="5660"/>
            <w:vAlign w:val="top"/>
            <w:tcMar>
              <w:top w:w="70" w:type="dxa"/>
              <w:start w:w="85" w:type="dxa"/>
              <w:bottom w:w="70" w:type="dxa"/>
              <w:end w:w="85" w:type="dxa"/>
            </w:tcMar>
            <w:shd w:fill="FAFCFD"/>
          </w:tcPr>
          <w:p>
            <w:pPr>
              <w:pStyle w:val="Compact"/>
            </w:pPr>
            <w:r>
              <w:rPr>
                <w:rFonts w:ascii="Aptos" w:hAnsi="Aptos"/>
                <w:sz w:val="16"/>
              </w:rPr>
              <w:t>A shared service can satisfy part of an objective while the consuming system retains local duties.</w:t>
            </w:r>
          </w:p>
        </w:tc>
      </w:tr>
      <w:tr>
        <w:tc>
          <w:tcPr>
            <w:tcW w:type="dxa" w:w="4060"/>
            <w:vAlign w:val="top"/>
            <w:tcMar>
              <w:top w:w="70" w:type="dxa"/>
              <w:start w:w="85" w:type="dxa"/>
              <w:bottom w:w="70" w:type="dxa"/>
              <w:end w:w="85" w:type="dxa"/>
            </w:tcMar>
          </w:tcPr>
          <w:p>
            <w:pPr>
              <w:pStyle w:val="Compact"/>
            </w:pPr>
            <w:r>
              <w:rPr>
                <w:rFonts w:ascii="Aptos" w:hAnsi="Aptos"/>
                <w:b/>
                <w:sz w:val="16"/>
              </w:rPr>
              <w:t>Response != determination</w:t>
            </w:r>
          </w:p>
        </w:tc>
        <w:tc>
          <w:tcPr>
            <w:tcW w:type="dxa" w:w="5660"/>
            <w:vAlign w:val="top"/>
            <w:tcMar>
              <w:top w:w="70" w:type="dxa"/>
              <w:start w:w="85" w:type="dxa"/>
              <w:bottom w:w="70" w:type="dxa"/>
              <w:end w:w="85" w:type="dxa"/>
            </w:tcMar>
          </w:tcPr>
          <w:p>
            <w:pPr>
              <w:pStyle w:val="Compact"/>
            </w:pPr>
            <w:r>
              <w:rPr>
                <w:rFonts w:ascii="Aptos" w:hAnsi="Aptos"/>
                <w:sz w:val="16"/>
              </w:rPr>
              <w:t>Contributor answers are inputs. Authorized reviewers determine whether assessment objectives are satisfied.</w:t>
            </w:r>
          </w:p>
        </w:tc>
      </w:tr>
      <w:tr>
        <w:tc>
          <w:tcPr>
            <w:tcW w:type="dxa" w:w="4060"/>
            <w:vAlign w:val="top"/>
            <w:tcMar>
              <w:top w:w="70" w:type="dxa"/>
              <w:start w:w="85" w:type="dxa"/>
              <w:bottom w:w="70" w:type="dxa"/>
              <w:end w:w="85" w:type="dxa"/>
            </w:tcMar>
            <w:shd w:fill="FAFCFD"/>
          </w:tcPr>
          <w:p>
            <w:pPr>
              <w:pStyle w:val="Compact"/>
            </w:pPr>
            <w:r>
              <w:rPr>
                <w:rFonts w:ascii="Aptos" w:hAnsi="Aptos"/>
                <w:b/>
                <w:sz w:val="16"/>
              </w:rPr>
              <w:t>Unknown is first-class truth</w:t>
            </w:r>
          </w:p>
        </w:tc>
        <w:tc>
          <w:tcPr>
            <w:tcW w:type="dxa" w:w="5660"/>
            <w:vAlign w:val="top"/>
            <w:tcMar>
              <w:top w:w="70" w:type="dxa"/>
              <w:start w:w="85" w:type="dxa"/>
              <w:bottom w:w="70" w:type="dxa"/>
              <w:end w:w="85" w:type="dxa"/>
            </w:tcMar>
            <w:shd w:fill="FAFCFD"/>
          </w:tcPr>
          <w:p>
            <w:pPr>
              <w:pStyle w:val="Compact"/>
            </w:pPr>
            <w:r>
              <w:rPr>
                <w:rFonts w:ascii="Aptos" w:hAnsi="Aptos"/>
                <w:sz w:val="16"/>
              </w:rPr>
              <w:t>Missing architecture, ownership, applicability, implementation, or evidence creates work rather than false N/A/satisfaction.</w:t>
            </w:r>
          </w:p>
        </w:tc>
      </w:tr>
      <w:tr>
        <w:tc>
          <w:tcPr>
            <w:tcW w:type="dxa" w:w="4060"/>
            <w:vAlign w:val="top"/>
            <w:tcMar>
              <w:top w:w="70" w:type="dxa"/>
              <w:start w:w="85" w:type="dxa"/>
              <w:bottom w:w="70" w:type="dxa"/>
              <w:end w:w="85" w:type="dxa"/>
            </w:tcMar>
          </w:tcPr>
          <w:p>
            <w:pPr>
              <w:pStyle w:val="Compact"/>
            </w:pPr>
            <w:r>
              <w:rPr>
                <w:rFonts w:ascii="Aptos" w:hAnsi="Aptos"/>
                <w:b/>
                <w:sz w:val="16"/>
              </w:rPr>
              <w:t>Delta over repetition</w:t>
            </w:r>
          </w:p>
        </w:tc>
        <w:tc>
          <w:tcPr>
            <w:tcW w:type="dxa" w:w="5660"/>
            <w:vAlign w:val="top"/>
            <w:tcMar>
              <w:top w:w="70" w:type="dxa"/>
              <w:start w:w="85" w:type="dxa"/>
              <w:bottom w:w="70" w:type="dxa"/>
              <w:end w:w="85" w:type="dxa"/>
            </w:tcMar>
          </w:tcPr>
          <w:p>
            <w:pPr>
              <w:pStyle w:val="Compact"/>
            </w:pPr>
            <w:r>
              <w:rPr>
                <w:rFonts w:ascii="Aptos" w:hAnsi="Aptos"/>
                <w:sz w:val="16"/>
              </w:rPr>
              <w:t>Known baselines focus work on changes, unknowns, stale evidence, unsupported responsibilities, and new obligations.</w:t>
            </w:r>
          </w:p>
        </w:tc>
      </w:tr>
      <w:tr>
        <w:tc>
          <w:tcPr>
            <w:tcW w:type="dxa" w:w="4060"/>
            <w:vAlign w:val="top"/>
            <w:tcMar>
              <w:top w:w="70" w:type="dxa"/>
              <w:start w:w="85" w:type="dxa"/>
              <w:bottom w:w="70" w:type="dxa"/>
              <w:end w:w="85" w:type="dxa"/>
            </w:tcMar>
            <w:shd w:fill="FAFCFD"/>
          </w:tcPr>
          <w:p>
            <w:pPr>
              <w:pStyle w:val="Compact"/>
            </w:pPr>
            <w:r>
              <w:rPr>
                <w:rFonts w:ascii="Aptos" w:hAnsi="Aptos"/>
                <w:b/>
                <w:sz w:val="16"/>
              </w:rPr>
              <w:t>Evidence is structured assurance</w:t>
            </w:r>
          </w:p>
        </w:tc>
        <w:tc>
          <w:tcPr>
            <w:tcW w:type="dxa" w:w="5660"/>
            <w:vAlign w:val="top"/>
            <w:tcMar>
              <w:top w:w="70" w:type="dxa"/>
              <w:start w:w="85" w:type="dxa"/>
              <w:bottom w:w="70" w:type="dxa"/>
              <w:end w:w="85" w:type="dxa"/>
            </w:tcMar>
            <w:shd w:fill="FAFCFD"/>
          </w:tcPr>
          <w:p>
            <w:pPr>
              <w:pStyle w:val="Compact"/>
            </w:pPr>
            <w:r>
              <w:rPr>
                <w:rFonts w:ascii="Aptos" w:hAnsi="Aptos"/>
                <w:sz w:val="16"/>
              </w:rPr>
              <w:t>Evidence has provenance, scope, validity, applicability, visibility, and lifecycle; it is not merely an attachment.</w:t>
            </w:r>
          </w:p>
        </w:tc>
      </w:tr>
      <w:tr>
        <w:tc>
          <w:tcPr>
            <w:tcW w:type="dxa" w:w="4060"/>
            <w:vAlign w:val="top"/>
            <w:tcMar>
              <w:top w:w="70" w:type="dxa"/>
              <w:start w:w="85" w:type="dxa"/>
              <w:bottom w:w="70" w:type="dxa"/>
              <w:end w:w="85" w:type="dxa"/>
            </w:tcMar>
          </w:tcPr>
          <w:p>
            <w:pPr>
              <w:pStyle w:val="Compact"/>
            </w:pPr>
            <w:r>
              <w:rPr>
                <w:rFonts w:ascii="Aptos" w:hAnsi="Aptos"/>
                <w:b/>
                <w:sz w:val="16"/>
              </w:rPr>
              <w:t>Historical truth must be reconstructable</w:t>
            </w:r>
          </w:p>
        </w:tc>
        <w:tc>
          <w:tcPr>
            <w:tcW w:type="dxa" w:w="5660"/>
            <w:vAlign w:val="top"/>
            <w:tcMar>
              <w:top w:w="70" w:type="dxa"/>
              <w:start w:w="85" w:type="dxa"/>
              <w:bottom w:w="70" w:type="dxa"/>
              <w:end w:w="85" w:type="dxa"/>
            </w:tcMar>
          </w:tcPr>
          <w:p>
            <w:pPr>
              <w:pStyle w:val="Compact"/>
            </w:pPr>
            <w:r>
              <w:rPr>
                <w:rFonts w:ascii="Aptos" w:hAnsi="Aptos"/>
                <w:sz w:val="16"/>
              </w:rPr>
              <w:t>Published baselines, assurance packages, profile versions, evidence, and assessment snapshots are versioned/pinned.</w:t>
            </w:r>
          </w:p>
        </w:tc>
      </w:tr>
      <w:tr>
        <w:tc>
          <w:tcPr>
            <w:tcW w:type="dxa" w:w="4060"/>
            <w:vAlign w:val="top"/>
            <w:tcMar>
              <w:top w:w="70" w:type="dxa"/>
              <w:start w:w="85" w:type="dxa"/>
              <w:bottom w:w="70" w:type="dxa"/>
              <w:end w:w="85" w:type="dxa"/>
            </w:tcMar>
            <w:shd w:fill="FAFCFD"/>
          </w:tcPr>
          <w:p>
            <w:pPr>
              <w:pStyle w:val="Compact"/>
            </w:pPr>
            <w:r>
              <w:rPr>
                <w:rFonts w:ascii="Aptos" w:hAnsi="Aptos"/>
                <w:b/>
                <w:sz w:val="16"/>
              </w:rPr>
              <w:t>Conflicts remain visible until adjudicated</w:t>
            </w:r>
          </w:p>
        </w:tc>
        <w:tc>
          <w:tcPr>
            <w:tcW w:type="dxa" w:w="5660"/>
            <w:vAlign w:val="top"/>
            <w:tcMar>
              <w:top w:w="70" w:type="dxa"/>
              <w:start w:w="85" w:type="dxa"/>
              <w:bottom w:w="70" w:type="dxa"/>
              <w:end w:w="85" w:type="dxa"/>
            </w:tcMar>
            <w:shd w:fill="FAFCFD"/>
          </w:tcPr>
          <w:p>
            <w:pPr>
              <w:pStyle w:val="Compact"/>
            </w:pPr>
            <w:r>
              <w:rPr>
                <w:rFonts w:ascii="Aptos" w:hAnsi="Aptos"/>
                <w:sz w:val="16"/>
              </w:rPr>
              <w:t>Source disagreement is a first-class condition; the system does not silently overwrite competing assertions.</w:t>
            </w:r>
          </w:p>
        </w:tc>
      </w:tr>
      <w:tr>
        <w:tc>
          <w:tcPr>
            <w:tcW w:type="dxa" w:w="4060"/>
            <w:vAlign w:val="top"/>
            <w:tcMar>
              <w:top w:w="70" w:type="dxa"/>
              <w:start w:w="85" w:type="dxa"/>
              <w:bottom w:w="70" w:type="dxa"/>
              <w:end w:w="85" w:type="dxa"/>
            </w:tcMar>
          </w:tcPr>
          <w:p>
            <w:pPr>
              <w:pStyle w:val="Compact"/>
            </w:pPr>
            <w:r>
              <w:rPr>
                <w:rFonts w:ascii="Aptos" w:hAnsi="Aptos"/>
                <w:b/>
                <w:sz w:val="16"/>
              </w:rPr>
              <w:t>No fake security score</w:t>
            </w:r>
          </w:p>
        </w:tc>
        <w:tc>
          <w:tcPr>
            <w:tcW w:type="dxa" w:w="5660"/>
            <w:vAlign w:val="top"/>
            <w:tcMar>
              <w:top w:w="70" w:type="dxa"/>
              <w:start w:w="85" w:type="dxa"/>
              <w:bottom w:w="70" w:type="dxa"/>
              <w:end w:w="85" w:type="dxa"/>
            </w:tcMar>
          </w:tcPr>
          <w:p>
            <w:pPr>
              <w:pStyle w:val="Compact"/>
            </w:pPr>
            <w:r>
              <w:rPr>
                <w:rFonts w:ascii="Aptos" w:hAnsi="Aptos"/>
                <w:sz w:val="16"/>
              </w:rPr>
              <w:t>Product rollups expose factual assessment state, findings, evidence health, and deadline risk rather than an opaque “X% secure” score.</w:t>
            </w:r>
          </w:p>
        </w:tc>
      </w:tr>
      <w:tr>
        <w:tc>
          <w:tcPr>
            <w:tcW w:type="dxa" w:w="4060"/>
            <w:vAlign w:val="top"/>
            <w:tcMar>
              <w:top w:w="70" w:type="dxa"/>
              <w:start w:w="85" w:type="dxa"/>
              <w:bottom w:w="70" w:type="dxa"/>
              <w:end w:w="85" w:type="dxa"/>
            </w:tcMar>
            <w:shd w:fill="FAFCFD"/>
          </w:tcPr>
          <w:p>
            <w:pPr>
              <w:pStyle w:val="Compact"/>
            </w:pPr>
            <w:r>
              <w:rPr>
                <w:rFonts w:ascii="Aptos" w:hAnsi="Aptos"/>
                <w:b/>
                <w:sz w:val="16"/>
              </w:rPr>
              <w:t>Human authority for consequential decisions</w:t>
            </w:r>
          </w:p>
        </w:tc>
        <w:tc>
          <w:tcPr>
            <w:tcW w:type="dxa" w:w="5660"/>
            <w:vAlign w:val="top"/>
            <w:tcMar>
              <w:top w:w="70" w:type="dxa"/>
              <w:start w:w="85" w:type="dxa"/>
              <w:bottom w:w="70" w:type="dxa"/>
              <w:end w:w="85" w:type="dxa"/>
            </w:tcMar>
            <w:shd w:fill="FAFCFD"/>
          </w:tcPr>
          <w:p>
            <w:pPr>
              <w:pStyle w:val="Compact"/>
            </w:pPr>
            <w:r>
              <w:rPr>
                <w:rFonts w:ascii="Aptos" w:hAnsi="Aptos"/>
                <w:sz w:val="16"/>
              </w:rPr>
              <w:t>Automation may suggest mappings, routing, applicability, inheritance, or impact; authorized humans approve assurance truth, risk acceptance, and promotion.</w:t>
            </w:r>
          </w:p>
        </w:tc>
      </w:tr>
      <w:tr>
        <w:tc>
          <w:tcPr>
            <w:tcW w:type="dxa" w:w="4060"/>
            <w:vAlign w:val="top"/>
            <w:tcMar>
              <w:top w:w="70" w:type="dxa"/>
              <w:start w:w="85" w:type="dxa"/>
              <w:bottom w:w="70" w:type="dxa"/>
              <w:end w:w="85" w:type="dxa"/>
            </w:tcMar>
          </w:tcPr>
          <w:p>
            <w:pPr>
              <w:pStyle w:val="Compact"/>
            </w:pPr>
            <w:r>
              <w:rPr>
                <w:rFonts w:ascii="Aptos" w:hAnsi="Aptos"/>
                <w:b/>
                <w:sz w:val="16"/>
              </w:rPr>
              <w:t>OSCAL is an interchange layer, not the UX</w:t>
            </w:r>
          </w:p>
        </w:tc>
        <w:tc>
          <w:tcPr>
            <w:tcW w:type="dxa" w:w="5660"/>
            <w:vAlign w:val="top"/>
            <w:tcMar>
              <w:top w:w="70" w:type="dxa"/>
              <w:start w:w="85" w:type="dxa"/>
              <w:bottom w:w="70" w:type="dxa"/>
              <w:end w:w="85" w:type="dxa"/>
            </w:tcMar>
          </w:tcPr>
          <w:p>
            <w:pPr>
              <w:pStyle w:val="Compact"/>
            </w:pPr>
            <w:r>
              <w:rPr>
                <w:rFonts w:ascii="Aptos" w:hAnsi="Aptos"/>
                <w:sz w:val="16"/>
              </w:rPr>
              <w:t>Standards alignment exists underneath workflow-native screens and internal operating concepts.</w:t>
            </w:r>
          </w:p>
        </w:tc>
      </w:tr>
    </w:tbl>
    <w:p>
      <w:pPr>
        <w:spacing w:after="0"/>
      </w:pPr>
    </w:p>
    <w:p>
      <w:pPr>
        <w:pStyle w:val="Heading1"/>
      </w:pPr>
      <w:r>
        <w:rPr>
          <w:rFonts w:ascii="Aptos" w:hAnsi="Aptos"/>
          <w:sz w:val="32"/>
        </w:rPr>
        <w:t>5. Product Model at a Glance</w:t>
      </w:r>
    </w:p>
    <w:p>
      <w:pPr>
        <w:pStyle w:val="Heading2"/>
      </w:pPr>
      <w:r>
        <w:rPr>
          <w:rFonts w:ascii="Aptos" w:hAnsi="Aptos"/>
          <w:sz w:val="25"/>
        </w:rPr>
        <w:t>5.1 Three connected models</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977"/>
            <w:vAlign w:val="top"/>
            <w:tcMar>
              <w:top w:w="70" w:type="dxa"/>
              <w:start w:w="85" w:type="dxa"/>
              <w:bottom w:w="70" w:type="dxa"/>
              <w:end w:w="85" w:type="dxa"/>
            </w:tcMar>
            <w:shd w:fill="D9EAF7"/>
          </w:tcPr>
          <w:p>
            <w:pPr>
              <w:pStyle w:val="Compact"/>
            </w:pPr>
            <w:r>
              <w:rPr>
                <w:rFonts w:ascii="Aptos" w:hAnsi="Aptos"/>
                <w:b/>
                <w:color w:val="17365D"/>
                <w:sz w:val="16"/>
              </w:rPr>
              <w:t>Model</w:t>
            </w:r>
          </w:p>
        </w:tc>
        <w:tc>
          <w:tcPr>
            <w:tcW w:type="dxa" w:w="4249"/>
            <w:vAlign w:val="top"/>
            <w:tcMar>
              <w:top w:w="70" w:type="dxa"/>
              <w:start w:w="85" w:type="dxa"/>
              <w:bottom w:w="70" w:type="dxa"/>
              <w:end w:w="85" w:type="dxa"/>
            </w:tcMar>
            <w:shd w:fill="D9EAF7"/>
          </w:tcPr>
          <w:p>
            <w:pPr>
              <w:pStyle w:val="Compact"/>
            </w:pPr>
            <w:r>
              <w:rPr>
                <w:rFonts w:ascii="Aptos" w:hAnsi="Aptos"/>
                <w:b/>
                <w:color w:val="17365D"/>
                <w:sz w:val="16"/>
              </w:rPr>
              <w:t>Question answered</w:t>
            </w:r>
          </w:p>
        </w:tc>
        <w:tc>
          <w:tcPr>
            <w:tcW w:type="dxa" w:w="4494"/>
            <w:vAlign w:val="top"/>
            <w:tcMar>
              <w:top w:w="70" w:type="dxa"/>
              <w:start w:w="85" w:type="dxa"/>
              <w:bottom w:w="70" w:type="dxa"/>
              <w:end w:w="85" w:type="dxa"/>
            </w:tcMar>
            <w:shd w:fill="D9EAF7"/>
          </w:tcPr>
          <w:p>
            <w:pPr>
              <w:pStyle w:val="Compact"/>
            </w:pPr>
            <w:r>
              <w:rPr>
                <w:rFonts w:ascii="Aptos" w:hAnsi="Aptos"/>
                <w:b/>
                <w:color w:val="17365D"/>
                <w:sz w:val="16"/>
              </w:rPr>
              <w:t>Examples</w:t>
            </w:r>
          </w:p>
        </w:tc>
      </w:tr>
      <w:tr>
        <w:tc>
          <w:tcPr>
            <w:tcW w:type="dxa" w:w="977"/>
            <w:vAlign w:val="top"/>
            <w:tcMar>
              <w:top w:w="70" w:type="dxa"/>
              <w:start w:w="85" w:type="dxa"/>
              <w:bottom w:w="70" w:type="dxa"/>
              <w:end w:w="85" w:type="dxa"/>
            </w:tcMar>
          </w:tcPr>
          <w:p>
            <w:pPr>
              <w:pStyle w:val="Compact"/>
            </w:pPr>
            <w:r>
              <w:rPr>
                <w:rFonts w:ascii="Aptos" w:hAnsi="Aptos"/>
                <w:b/>
                <w:sz w:val="16"/>
              </w:rPr>
              <w:t>Responsibility</w:t>
            </w:r>
          </w:p>
        </w:tc>
        <w:tc>
          <w:tcPr>
            <w:tcW w:type="dxa" w:w="4249"/>
            <w:vAlign w:val="top"/>
            <w:tcMar>
              <w:top w:w="70" w:type="dxa"/>
              <w:start w:w="85" w:type="dxa"/>
              <w:bottom w:w="70" w:type="dxa"/>
              <w:end w:w="85" w:type="dxa"/>
            </w:tcMar>
          </w:tcPr>
          <w:p>
            <w:pPr>
              <w:pStyle w:val="Compact"/>
            </w:pPr>
            <w:r>
              <w:rPr>
                <w:rFonts w:ascii="Aptos" w:hAnsi="Aptos"/>
                <w:sz w:val="16"/>
              </w:rPr>
              <w:t>Who owns/manages this and who should receive work?</w:t>
            </w:r>
          </w:p>
        </w:tc>
        <w:tc>
          <w:tcPr>
            <w:tcW w:type="dxa" w:w="4494"/>
            <w:vAlign w:val="top"/>
            <w:tcMar>
              <w:top w:w="70" w:type="dxa"/>
              <w:start w:w="85" w:type="dxa"/>
              <w:bottom w:w="70" w:type="dxa"/>
              <w:end w:w="85" w:type="dxa"/>
            </w:tcMar>
          </w:tcPr>
          <w:p>
            <w:pPr>
              <w:pStyle w:val="Compact"/>
            </w:pPr>
            <w:r>
              <w:rPr>
                <w:rFonts w:ascii="Aptos" w:hAnsi="Aptos"/>
                <w:sz w:val="16"/>
              </w:rPr>
              <w:t>Organization, business unit, department/team, asset owner, program SSE</w:t>
            </w:r>
          </w:p>
        </w:tc>
      </w:tr>
      <w:tr>
        <w:tc>
          <w:tcPr>
            <w:tcW w:type="dxa" w:w="977"/>
            <w:vAlign w:val="top"/>
            <w:tcMar>
              <w:top w:w="70" w:type="dxa"/>
              <w:start w:w="85" w:type="dxa"/>
              <w:bottom w:w="70" w:type="dxa"/>
              <w:end w:w="85" w:type="dxa"/>
            </w:tcMar>
            <w:shd w:fill="FAFCFD"/>
          </w:tcPr>
          <w:p>
            <w:pPr>
              <w:pStyle w:val="Compact"/>
            </w:pPr>
            <w:r>
              <w:rPr>
                <w:rFonts w:ascii="Aptos" w:hAnsi="Aptos"/>
                <w:b/>
                <w:sz w:val="16"/>
              </w:rPr>
              <w:t>Asset/System</w:t>
            </w:r>
          </w:p>
        </w:tc>
        <w:tc>
          <w:tcPr>
            <w:tcW w:type="dxa" w:w="4249"/>
            <w:vAlign w:val="top"/>
            <w:tcMar>
              <w:top w:w="70" w:type="dxa"/>
              <w:start w:w="85" w:type="dxa"/>
              <w:bottom w:w="70" w:type="dxa"/>
              <w:end w:w="85" w:type="dxa"/>
            </w:tcMar>
            <w:shd w:fill="FAFCFD"/>
          </w:tcPr>
          <w:p>
            <w:pPr>
              <w:pStyle w:val="Compact"/>
            </w:pPr>
            <w:r>
              <w:rPr>
                <w:rFonts w:ascii="Aptos" w:hAnsi="Aptos"/>
                <w:sz w:val="16"/>
              </w:rPr>
              <w:t>What exists, what is it made of, and where is it used?</w:t>
            </w:r>
          </w:p>
        </w:tc>
        <w:tc>
          <w:tcPr>
            <w:tcW w:type="dxa" w:w="4494"/>
            <w:vAlign w:val="top"/>
            <w:tcMar>
              <w:top w:w="70" w:type="dxa"/>
              <w:start w:w="85" w:type="dxa"/>
              <w:bottom w:w="70" w:type="dxa"/>
              <w:end w:w="85" w:type="dxa"/>
            </w:tcMar>
            <w:shd w:fill="FAFCFD"/>
          </w:tcPr>
          <w:p>
            <w:pPr>
              <w:pStyle w:val="Compact"/>
            </w:pPr>
            <w:r>
              <w:rPr>
                <w:rFonts w:ascii="Aptos" w:hAnsi="Aptos"/>
                <w:sz w:val="16"/>
              </w:rPr>
              <w:t>Shared service, product, system, subsystem, hardware, firmware/software, policy, procedure</w:t>
            </w:r>
          </w:p>
        </w:tc>
      </w:tr>
      <w:tr>
        <w:tc>
          <w:tcPr>
            <w:tcW w:type="dxa" w:w="977"/>
            <w:vAlign w:val="top"/>
            <w:tcMar>
              <w:top w:w="70" w:type="dxa"/>
              <w:start w:w="85" w:type="dxa"/>
              <w:bottom w:w="70" w:type="dxa"/>
              <w:end w:w="85" w:type="dxa"/>
            </w:tcMar>
          </w:tcPr>
          <w:p>
            <w:pPr>
              <w:pStyle w:val="Compact"/>
            </w:pPr>
            <w:r>
              <w:rPr>
                <w:rFonts w:ascii="Aptos" w:hAnsi="Aptos"/>
                <w:b/>
                <w:sz w:val="16"/>
              </w:rPr>
              <w:t>Assurance</w:t>
            </w:r>
          </w:p>
        </w:tc>
        <w:tc>
          <w:tcPr>
            <w:tcW w:type="dxa" w:w="4249"/>
            <w:vAlign w:val="top"/>
            <w:tcMar>
              <w:top w:w="70" w:type="dxa"/>
              <w:start w:w="85" w:type="dxa"/>
              <w:bottom w:w="70" w:type="dxa"/>
              <w:end w:w="85" w:type="dxa"/>
            </w:tcMar>
          </w:tcPr>
          <w:p>
            <w:pPr>
              <w:pStyle w:val="Compact"/>
            </w:pPr>
            <w:r>
              <w:rPr>
                <w:rFonts w:ascii="Aptos" w:hAnsi="Aptos"/>
                <w:sz w:val="16"/>
              </w:rPr>
              <w:t>What must be true, what do we know, and what remains?</w:t>
            </w:r>
          </w:p>
        </w:tc>
        <w:tc>
          <w:tcPr>
            <w:tcW w:type="dxa" w:w="4494"/>
            <w:vAlign w:val="top"/>
            <w:tcMar>
              <w:top w:w="70" w:type="dxa"/>
              <w:start w:w="85" w:type="dxa"/>
              <w:bottom w:w="70" w:type="dxa"/>
              <w:end w:w="85" w:type="dxa"/>
            </w:tcMar>
          </w:tcPr>
          <w:p>
            <w:pPr>
              <w:pStyle w:val="Compact"/>
            </w:pPr>
            <w:r>
              <w:rPr>
                <w:rFonts w:ascii="Aptos" w:hAnsi="Aptos"/>
                <w:sz w:val="16"/>
              </w:rPr>
              <w:t>Controls, requirements, objectives, assurance packages, evidence, assessments, determinations, findings, risks, POA&amp;M</w:t>
            </w:r>
          </w:p>
        </w:tc>
      </w:tr>
    </w:tbl>
    <w:p>
      <w:pPr>
        <w:spacing w:after="0"/>
      </w:pPr>
    </w:p>
    <w:p>
      <w:r>
        <w:rPr>
          <w:rFonts w:ascii="Aptos" w:hAnsi="Aptos"/>
          <w:sz w:val="19"/>
        </w:rPr>
        <w:t>These form a graph rather than one master tree. Organizational hierarchy represents responsibility and inheritance scope. Product/system architecture represents technical composition and impact. The same asset may be owned in one hierarchy and consumed in many products/systems.</w:t>
      </w:r>
    </w:p>
    <w:p>
      <w:pPr>
        <w:pStyle w:val="Heading2"/>
      </w:pPr>
      <w:r>
        <w:rPr>
          <w:rFonts w:ascii="Aptos" w:hAnsi="Aptos"/>
          <w:sz w:val="25"/>
        </w:rPr>
        <w:t>5.2 Dual-entry operating model</w:t>
      </w:r>
    </w:p>
    <w:p>
      <w:r>
        <w:rPr>
          <w:rFonts w:ascii="Aptos" w:hAnsi="Aptos"/>
          <w:b/>
          <w:sz w:val="19"/>
        </w:rPr>
        <w:t>Organization-first</w:t>
      </w:r>
    </w:p>
    <w:p>
      <w:pPr>
        <w:spacing w:after="40"/>
        <w:ind w:left="202" w:hanging="202"/>
      </w:pPr>
      <w:r>
        <w:rPr>
          <w:rFonts w:ascii="Aptos" w:hAnsi="Aptos"/>
          <w:sz w:val="18"/>
        </w:rPr>
        <w:t>1. Create only the organizational units needed for current work.</w:t>
      </w:r>
    </w:p>
    <w:p>
      <w:pPr>
        <w:spacing w:after="40"/>
        <w:ind w:left="202" w:hanging="202"/>
      </w:pPr>
      <w:r>
        <w:rPr>
          <w:rFonts w:ascii="Aptos" w:hAnsi="Aptos"/>
          <w:sz w:val="18"/>
        </w:rPr>
        <w:t>2. Add known policies, procedures, shared assets/services, and owners.</w:t>
      </w:r>
    </w:p>
    <w:p>
      <w:pPr>
        <w:spacing w:after="40"/>
        <w:ind w:left="202" w:hanging="202"/>
      </w:pPr>
      <w:r>
        <w:rPr>
          <w:rFonts w:ascii="Aptos" w:hAnsi="Aptos"/>
          <w:sz w:val="18"/>
        </w:rPr>
        <w:t>3. Launch a targeted or ad hoc assessment.</w:t>
      </w:r>
    </w:p>
    <w:p>
      <w:pPr>
        <w:spacing w:after="40"/>
        <w:ind w:left="202" w:hanging="202"/>
      </w:pPr>
      <w:r>
        <w:rPr>
          <w:rFonts w:ascii="Aptos" w:hAnsi="Aptos"/>
          <w:sz w:val="18"/>
        </w:rPr>
        <w:t>4. Group assessment tasks into packages and delegate to SMEs.</w:t>
      </w:r>
    </w:p>
    <w:p>
      <w:pPr>
        <w:spacing w:after="40"/>
        <w:ind w:left="202" w:hanging="202"/>
      </w:pPr>
      <w:r>
        <w:rPr>
          <w:rFonts w:ascii="Aptos" w:hAnsi="Aptos"/>
          <w:sz w:val="18"/>
        </w:rPr>
        <w:t>5. Review responses and make objective determinations.</w:t>
      </w:r>
    </w:p>
    <w:p>
      <w:pPr>
        <w:spacing w:after="40"/>
        <w:ind w:left="202" w:hanging="202"/>
      </w:pPr>
      <w:r>
        <w:rPr>
          <w:rFonts w:ascii="Aptos" w:hAnsi="Aptos"/>
          <w:sz w:val="18"/>
        </w:rPr>
        <w:t>6. Create findings/remediation where required.</w:t>
      </w:r>
    </w:p>
    <w:p>
      <w:pPr>
        <w:spacing w:after="40"/>
        <w:ind w:left="202" w:hanging="202"/>
      </w:pPr>
      <w:r>
        <w:rPr>
          <w:rFonts w:ascii="Aptos" w:hAnsi="Aptos"/>
          <w:sz w:val="18"/>
        </w:rPr>
        <w:t>7. Publish valid reusable assurance packages at the correct scope.</w:t>
      </w:r>
    </w:p>
    <w:p>
      <w:pPr>
        <w:spacing w:after="40"/>
        <w:ind w:left="202" w:hanging="202"/>
      </w:pPr>
      <w:r>
        <w:rPr>
          <w:rFonts w:ascii="Aptos" w:hAnsi="Aptos"/>
          <w:sz w:val="18"/>
        </w:rPr>
        <w:t>8. Grow the asset catalog/library from what was actually learned.</w:t>
      </w:r>
    </w:p>
    <w:p>
      <w:r>
        <w:rPr>
          <w:rFonts w:ascii="Aptos" w:hAnsi="Aptos"/>
          <w:b/>
          <w:sz w:val="19"/>
        </w:rPr>
        <w:t>Product/program-first</w:t>
      </w:r>
    </w:p>
    <w:p>
      <w:pPr>
        <w:spacing w:after="40"/>
        <w:ind w:left="202" w:hanging="202"/>
      </w:pPr>
      <w:r>
        <w:rPr>
          <w:rFonts w:ascii="Aptos" w:hAnsi="Aptos"/>
          <w:sz w:val="18"/>
        </w:rPr>
        <w:t>1. Create a product, system, or program even if the organizational model is sparse.</w:t>
      </w:r>
    </w:p>
    <w:p>
      <w:pPr>
        <w:spacing w:after="40"/>
        <w:ind w:left="202" w:hanging="202"/>
      </w:pPr>
      <w:r>
        <w:rPr>
          <w:rFonts w:ascii="Aptos" w:hAnsi="Aptos"/>
          <w:sz w:val="18"/>
        </w:rPr>
        <w:t>2. Establish effective control/requirements profile and customer-specific obligations.</w:t>
      </w:r>
    </w:p>
    <w:p>
      <w:pPr>
        <w:spacing w:after="40"/>
        <w:ind w:left="202" w:hanging="202"/>
      </w:pPr>
      <w:r>
        <w:rPr>
          <w:rFonts w:ascii="Aptos" w:hAnsi="Aptos"/>
          <w:sz w:val="18"/>
        </w:rPr>
        <w:t>3. Use a known product/system baseline, create a variant, or create an incomplete new system.</w:t>
      </w:r>
    </w:p>
    <w:p>
      <w:pPr>
        <w:spacing w:after="40"/>
        <w:ind w:left="202" w:hanging="202"/>
      </w:pPr>
      <w:r>
        <w:rPr>
          <w:rFonts w:ascii="Aptos" w:hAnsi="Aptos"/>
          <w:sz w:val="18"/>
        </w:rPr>
        <w:t>4. Resolve organizational and baseline assurance inheritance before generating work.</w:t>
      </w:r>
    </w:p>
    <w:p>
      <w:pPr>
        <w:spacing w:after="40"/>
        <w:ind w:left="202" w:hanging="202"/>
      </w:pPr>
      <w:r>
        <w:rPr>
          <w:rFonts w:ascii="Aptos" w:hAnsi="Aptos"/>
          <w:sz w:val="18"/>
        </w:rPr>
        <w:t>5. Assess only residual, changed, stale, conflicting, or unknown areas.</w:t>
      </w:r>
    </w:p>
    <w:p>
      <w:pPr>
        <w:spacing w:after="40"/>
        <w:ind w:left="202" w:hanging="202"/>
      </w:pPr>
      <w:r>
        <w:rPr>
          <w:rFonts w:ascii="Aptos" w:hAnsi="Aptos"/>
          <w:sz w:val="18"/>
        </w:rPr>
        <w:t>6. Delegate technical questions and evidence requests.</w:t>
      </w:r>
    </w:p>
    <w:p>
      <w:pPr>
        <w:spacing w:after="40"/>
        <w:ind w:left="202" w:hanging="202"/>
      </w:pPr>
      <w:r>
        <w:rPr>
          <w:rFonts w:ascii="Aptos" w:hAnsi="Aptos"/>
          <w:sz w:val="18"/>
        </w:rPr>
        <w:t>7. Create findings/remediation/POA&amp;M as required.</w:t>
      </w:r>
    </w:p>
    <w:p>
      <w:pPr>
        <w:spacing w:after="40"/>
        <w:ind w:left="202" w:hanging="202"/>
      </w:pPr>
      <w:r>
        <w:rPr>
          <w:rFonts w:ascii="Aptos" w:hAnsi="Aptos"/>
          <w:sz w:val="18"/>
        </w:rPr>
        <w:t>8. Promote reusable discoveries upward to the correct owner/scope.</w:t>
      </w:r>
    </w:p>
    <w:p>
      <w:pPr>
        <w:pStyle w:val="Heading2"/>
      </w:pPr>
      <w:r>
        <w:rPr>
          <w:rFonts w:ascii="Aptos" w:hAnsi="Aptos"/>
          <w:sz w:val="25"/>
        </w:rPr>
        <w:t>5.3 Reusable Assurance Package</w:t>
      </w:r>
    </w:p>
    <w:p>
      <w:r>
        <w:rPr>
          <w:rFonts w:ascii="Aptos" w:hAnsi="Aptos"/>
          <w:sz w:val="19"/>
        </w:rPr>
        <w:t>The Reusable Assurance Package is the product-level abstraction for “what assurance does this provider give its consumers?”</w:t>
      </w:r>
    </w:p>
    <w:p>
      <w:r>
        <w:rPr>
          <w:rFonts w:ascii="Aptos" w:hAnsi="Aptos"/>
          <w:sz w:val="19"/>
        </w:rPr>
        <w:t>A package contains:</w:t>
      </w:r>
    </w:p>
    <w:p>
      <w:pPr>
        <w:pStyle w:val="ListBullet"/>
        <w:spacing w:after="40"/>
      </w:pPr>
      <w:r>
        <w:rPr>
          <w:rFonts w:ascii="Aptos" w:hAnsi="Aptos"/>
          <w:sz w:val="18"/>
        </w:rPr>
        <w:t>provider asset/unit and owner;</w:t>
      </w:r>
    </w:p>
    <w:p>
      <w:pPr>
        <w:pStyle w:val="ListBullet"/>
        <w:spacing w:after="40"/>
      </w:pPr>
      <w:r>
        <w:rPr>
          <w:rFonts w:ascii="Aptos" w:hAnsi="Aptos"/>
          <w:sz w:val="18"/>
        </w:rPr>
        <w:t>package version and publication status;</w:t>
      </w:r>
    </w:p>
    <w:p>
      <w:pPr>
        <w:pStyle w:val="ListBullet"/>
        <w:spacing w:after="40"/>
      </w:pPr>
      <w:r>
        <w:rPr>
          <w:rFonts w:ascii="Aptos" w:hAnsi="Aptos"/>
          <w:sz w:val="18"/>
        </w:rPr>
        <w:t>supported controls/requirements/assessment objectives;</w:t>
      </w:r>
    </w:p>
    <w:p>
      <w:pPr>
        <w:pStyle w:val="ListBullet"/>
        <w:spacing w:after="40"/>
      </w:pPr>
      <w:r>
        <w:rPr>
          <w:rFonts w:ascii="Aptos" w:hAnsi="Aptos"/>
          <w:sz w:val="18"/>
        </w:rPr>
        <w:t>implementation assertions;</w:t>
      </w:r>
    </w:p>
    <w:p>
      <w:pPr>
        <w:pStyle w:val="ListBullet"/>
        <w:spacing w:after="40"/>
      </w:pPr>
      <w:r>
        <w:rPr>
          <w:rFonts w:ascii="Aptos" w:hAnsi="Aptos"/>
          <w:sz w:val="18"/>
        </w:rPr>
        <w:t>provider responsibilities;</w:t>
      </w:r>
    </w:p>
    <w:p>
      <w:pPr>
        <w:pStyle w:val="ListBullet"/>
        <w:spacing w:after="40"/>
      </w:pPr>
      <w:r>
        <w:rPr>
          <w:rFonts w:ascii="Aptos" w:hAnsi="Aptos"/>
          <w:sz w:val="18"/>
        </w:rPr>
        <w:t>consumer/residual responsibilities;</w:t>
      </w:r>
    </w:p>
    <w:p>
      <w:pPr>
        <w:pStyle w:val="ListBullet"/>
        <w:spacing w:after="40"/>
      </w:pPr>
      <w:r>
        <w:rPr>
          <w:rFonts w:ascii="Aptos" w:hAnsi="Aptos"/>
          <w:sz w:val="18"/>
        </w:rPr>
        <w:t>applicability conditions (configuration, version, environment, scope, dependencies);</w:t>
      </w:r>
    </w:p>
    <w:p>
      <w:pPr>
        <w:pStyle w:val="ListBullet"/>
        <w:spacing w:after="40"/>
      </w:pPr>
      <w:r>
        <w:rPr>
          <w:rFonts w:ascii="Aptos" w:hAnsi="Aptos"/>
          <w:sz w:val="18"/>
        </w:rPr>
        <w:t>supporting assessment results and evidence references;</w:t>
      </w:r>
    </w:p>
    <w:p>
      <w:pPr>
        <w:pStyle w:val="ListBullet"/>
        <w:spacing w:after="40"/>
      </w:pPr>
      <w:r>
        <w:rPr>
          <w:rFonts w:ascii="Aptos" w:hAnsi="Aptos"/>
          <w:sz w:val="18"/>
        </w:rPr>
        <w:t>evidence visibility/reuse rules;</w:t>
      </w:r>
    </w:p>
    <w:p>
      <w:pPr>
        <w:pStyle w:val="ListBullet"/>
        <w:spacing w:after="40"/>
      </w:pPr>
      <w:r>
        <w:rPr>
          <w:rFonts w:ascii="Aptos" w:hAnsi="Aptos"/>
          <w:sz w:val="18"/>
        </w:rPr>
        <w:t>validity/refresh conditions;</w:t>
      </w:r>
    </w:p>
    <w:p>
      <w:pPr>
        <w:pStyle w:val="ListBullet"/>
        <w:spacing w:after="40"/>
      </w:pPr>
      <w:r>
        <w:rPr>
          <w:rFonts w:ascii="Aptos" w:hAnsi="Aptos"/>
          <w:sz w:val="18"/>
        </w:rPr>
        <w:t>invalidation triggers;</w:t>
      </w:r>
    </w:p>
    <w:p>
      <w:pPr>
        <w:pStyle w:val="ListBullet"/>
        <w:spacing w:after="40"/>
      </w:pPr>
      <w:r>
        <w:rPr>
          <w:rFonts w:ascii="Aptos" w:hAnsi="Aptos"/>
          <w:sz w:val="18"/>
        </w:rPr>
        <w:t>consumers/dependents.</w:t>
      </w:r>
    </w:p>
    <w:p>
      <w:r>
        <w:rPr>
          <w:rFonts w:ascii="Aptos" w:hAnsi="Aptos"/>
          <w:sz w:val="19"/>
        </w:rPr>
        <w:t xml:space="preserve">Example: </w:t>
      </w:r>
      <w:r>
        <w:rPr>
          <w:rFonts w:ascii="Aptos" w:hAnsi="Aptos"/>
          <w:b/>
          <w:sz w:val="19"/>
        </w:rPr>
        <w:t>Enterprise IAM Assurance Package v4.2</w:t>
      </w:r>
      <w:r>
        <w:rPr>
          <w:rFonts w:ascii="Aptos" w:hAnsi="Aptos"/>
          <w:sz w:val="19"/>
        </w:rPr>
        <w:t xml:space="preserve"> may resolve 38 objectives for systems using the approved production configuration, require 7 local residual tasks, and require 2 consumer attestations. A program consumes the package instead of copying dozens of implementation/evidence/result records.</w:t>
      </w:r>
    </w:p>
    <w:p>
      <w:pPr>
        <w:pStyle w:val="Heading2"/>
      </w:pPr>
      <w:r>
        <w:rPr>
          <w:rFonts w:ascii="Aptos" w:hAnsi="Aptos"/>
          <w:sz w:val="25"/>
        </w:rPr>
        <w:t>5.4 Programs retain two different baselines</w:t>
      </w:r>
    </w:p>
    <w:p>
      <w:r>
        <w:rPr>
          <w:rFonts w:ascii="Aptos" w:hAnsi="Aptos"/>
          <w:sz w:val="19"/>
        </w:rPr>
        <w:t>A program combines:</w:t>
      </w:r>
    </w:p>
    <w:p>
      <w:pPr>
        <w:spacing w:after="40"/>
        <w:ind w:left="202" w:hanging="202"/>
      </w:pPr>
      <w:r>
        <w:rPr>
          <w:rFonts w:ascii="Aptos" w:hAnsi="Aptos"/>
          <w:sz w:val="18"/>
        </w:rPr>
        <w:t xml:space="preserve">1. </w:t>
      </w:r>
      <w:r>
        <w:rPr>
          <w:rFonts w:ascii="Aptos" w:hAnsi="Aptos"/>
          <w:b/>
          <w:sz w:val="18"/>
        </w:rPr>
        <w:t>Control/requirements profile</w:t>
      </w:r>
      <w:r>
        <w:rPr>
          <w:rFonts w:ascii="Aptos" w:hAnsi="Aptos"/>
          <w:sz w:val="18"/>
        </w:rPr>
        <w:t xml:space="preserve"> - what the program must satisfy, including organization defaults, applicable selection/tailoring, and customer requirements.</w:t>
      </w:r>
    </w:p>
    <w:p>
      <w:pPr>
        <w:spacing w:after="40"/>
        <w:ind w:left="202" w:hanging="202"/>
      </w:pPr>
      <w:r>
        <w:rPr>
          <w:rFonts w:ascii="Aptos" w:hAnsi="Aptos"/>
          <w:sz w:val="18"/>
        </w:rPr>
        <w:t xml:space="preserve">2. </w:t>
      </w:r>
      <w:r>
        <w:rPr>
          <w:rFonts w:ascii="Aptos" w:hAnsi="Aptos"/>
          <w:b/>
          <w:sz w:val="18"/>
        </w:rPr>
        <w:t>Product/system baseline</w:t>
      </w:r>
      <w:r>
        <w:rPr>
          <w:rFonts w:ascii="Aptos" w:hAnsi="Aptos"/>
          <w:sz w:val="18"/>
        </w:rPr>
        <w:t xml:space="preserve"> - what the standard product/system is believed to contain and which assurance it already carries.</w:t>
      </w:r>
    </w:p>
    <w:p>
      <w:r>
        <w:rPr>
          <w:rFonts w:ascii="Aptos" w:hAnsi="Aptos"/>
          <w:sz w:val="19"/>
        </w:rPr>
        <w:t>Those are independent. A new customer requirement may strengthen the obligation without changing the architecture; a component change may invalidate assurance without changing the control baseline.</w:t>
      </w:r>
    </w:p>
    <w:p>
      <w:pPr>
        <w:pStyle w:val="Heading1"/>
      </w:pPr>
      <w:r>
        <w:rPr>
          <w:rFonts w:ascii="Aptos" w:hAnsi="Aptos"/>
          <w:sz w:val="32"/>
        </w:rPr>
        <w:t>6. Primary Product Experience</w:t>
      </w:r>
    </w:p>
    <w:p>
      <w:pPr>
        <w:pStyle w:val="Heading2"/>
      </w:pPr>
      <w:r>
        <w:rPr>
          <w:rFonts w:ascii="Aptos" w:hAnsi="Aptos"/>
          <w:sz w:val="25"/>
        </w:rPr>
        <w:t>6.1 Product navigation</w:t>
      </w:r>
    </w:p>
    <w:p>
      <w:r>
        <w:rPr>
          <w:rFonts w:ascii="Aptos" w:hAnsi="Aptos"/>
          <w:sz w:val="19"/>
        </w:rPr>
        <w:t>The product should feel like an operational workspace, not a standards browser. The surfaces group into four product areas - Foundation (Home, Organization, Assets), Obligations (Library), Delivery (Products &amp; Systems, Programs), and Assurance Work (Assessments, Findings, Risks &amp; POA&amp;M):</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952"/>
            <w:vAlign w:val="top"/>
            <w:tcMar>
              <w:top w:w="70" w:type="dxa"/>
              <w:start w:w="85" w:type="dxa"/>
              <w:bottom w:w="70" w:type="dxa"/>
              <w:end w:w="85" w:type="dxa"/>
            </w:tcMar>
            <w:shd w:fill="D9EAF7"/>
          </w:tcPr>
          <w:p>
            <w:pPr>
              <w:pStyle w:val="Compact"/>
            </w:pPr>
            <w:r>
              <w:rPr>
                <w:rFonts w:ascii="Aptos" w:hAnsi="Aptos"/>
                <w:b/>
                <w:color w:val="17365D"/>
                <w:sz w:val="16"/>
              </w:rPr>
              <w:t>Surface</w:t>
            </w:r>
          </w:p>
        </w:tc>
        <w:tc>
          <w:tcPr>
            <w:tcW w:type="dxa" w:w="7768"/>
            <w:vAlign w:val="top"/>
            <w:tcMar>
              <w:top w:w="70" w:type="dxa"/>
              <w:start w:w="85" w:type="dxa"/>
              <w:bottom w:w="70" w:type="dxa"/>
              <w:end w:w="85" w:type="dxa"/>
            </w:tcMar>
            <w:shd w:fill="D9EAF7"/>
          </w:tcPr>
          <w:p>
            <w:pPr>
              <w:pStyle w:val="Compact"/>
            </w:pPr>
            <w:r>
              <w:rPr>
                <w:rFonts w:ascii="Aptos" w:hAnsi="Aptos"/>
                <w:b/>
                <w:color w:val="17365D"/>
                <w:sz w:val="16"/>
              </w:rPr>
              <w:t>What the user comes here to do</w:t>
            </w:r>
          </w:p>
        </w:tc>
      </w:tr>
      <w:tr>
        <w:tc>
          <w:tcPr>
            <w:tcW w:type="dxa" w:w="1952"/>
            <w:vAlign w:val="top"/>
            <w:tcMar>
              <w:top w:w="70" w:type="dxa"/>
              <w:start w:w="85" w:type="dxa"/>
              <w:bottom w:w="70" w:type="dxa"/>
              <w:end w:w="85" w:type="dxa"/>
            </w:tcMar>
          </w:tcPr>
          <w:p>
            <w:pPr>
              <w:pStyle w:val="Compact"/>
            </w:pPr>
            <w:r>
              <w:rPr>
                <w:rFonts w:ascii="Aptos" w:hAnsi="Aptos"/>
                <w:b/>
                <w:sz w:val="16"/>
              </w:rPr>
              <w:t>Home / Work</w:t>
            </w:r>
          </w:p>
        </w:tc>
        <w:tc>
          <w:tcPr>
            <w:tcW w:type="dxa" w:w="7768"/>
            <w:vAlign w:val="top"/>
            <w:tcMar>
              <w:top w:w="70" w:type="dxa"/>
              <w:start w:w="85" w:type="dxa"/>
              <w:bottom w:w="70" w:type="dxa"/>
              <w:end w:w="85" w:type="dxa"/>
            </w:tcMar>
          </w:tcPr>
          <w:p>
            <w:pPr>
              <w:pStyle w:val="Compact"/>
            </w:pPr>
            <w:r>
              <w:rPr>
                <w:rFonts w:ascii="Aptos" w:hAnsi="Aptos"/>
                <w:sz w:val="16"/>
              </w:rPr>
              <w:t>Resolve assigned assessment packages/tasks, reviews, evidence requests, findings, promotion decisions, and deadline-critical work.</w:t>
            </w:r>
          </w:p>
        </w:tc>
      </w:tr>
      <w:tr>
        <w:tc>
          <w:tcPr>
            <w:tcW w:type="dxa" w:w="1952"/>
            <w:vAlign w:val="top"/>
            <w:tcMar>
              <w:top w:w="70" w:type="dxa"/>
              <w:start w:w="85" w:type="dxa"/>
              <w:bottom w:w="70" w:type="dxa"/>
              <w:end w:w="85" w:type="dxa"/>
            </w:tcMar>
            <w:shd w:fill="FAFCFD"/>
          </w:tcPr>
          <w:p>
            <w:pPr>
              <w:pStyle w:val="Compact"/>
            </w:pPr>
            <w:r>
              <w:rPr>
                <w:rFonts w:ascii="Aptos" w:hAnsi="Aptos"/>
                <w:b/>
                <w:sz w:val="16"/>
              </w:rPr>
              <w:t>Organization</w:t>
            </w:r>
          </w:p>
        </w:tc>
        <w:tc>
          <w:tcPr>
            <w:tcW w:type="dxa" w:w="7768"/>
            <w:vAlign w:val="top"/>
            <w:tcMar>
              <w:top w:w="70" w:type="dxa"/>
              <w:start w:w="85" w:type="dxa"/>
              <w:bottom w:w="70" w:type="dxa"/>
              <w:end w:w="85" w:type="dxa"/>
            </w:tcMar>
            <w:shd w:fill="FAFCFD"/>
          </w:tcPr>
          <w:p>
            <w:pPr>
              <w:pStyle w:val="Compact"/>
            </w:pPr>
            <w:r>
              <w:rPr>
                <w:rFonts w:ascii="Aptos" w:hAnsi="Aptos"/>
                <w:sz w:val="16"/>
              </w:rPr>
              <w:t>Model assurance-relevant organizational units, understand owned assets/policies/procedures, publish shared assurance, and see downstream consumers.</w:t>
            </w:r>
          </w:p>
        </w:tc>
      </w:tr>
      <w:tr>
        <w:tc>
          <w:tcPr>
            <w:tcW w:type="dxa" w:w="1952"/>
            <w:vAlign w:val="top"/>
            <w:tcMar>
              <w:top w:w="70" w:type="dxa"/>
              <w:start w:w="85" w:type="dxa"/>
              <w:bottom w:w="70" w:type="dxa"/>
              <w:end w:w="85" w:type="dxa"/>
            </w:tcMar>
          </w:tcPr>
          <w:p>
            <w:pPr>
              <w:pStyle w:val="Compact"/>
            </w:pPr>
            <w:r>
              <w:rPr>
                <w:rFonts w:ascii="Aptos" w:hAnsi="Aptos"/>
                <w:b/>
                <w:sz w:val="16"/>
              </w:rPr>
              <w:t>Assets</w:t>
            </w:r>
          </w:p>
        </w:tc>
        <w:tc>
          <w:tcPr>
            <w:tcW w:type="dxa" w:w="7768"/>
            <w:vAlign w:val="top"/>
            <w:tcMar>
              <w:top w:w="70" w:type="dxa"/>
              <w:start w:w="85" w:type="dxa"/>
              <w:bottom w:w="70" w:type="dxa"/>
              <w:end w:w="85" w:type="dxa"/>
            </w:tcMar>
          </w:tcPr>
          <w:p>
            <w:pPr>
              <w:pStyle w:val="Compact"/>
            </w:pPr>
            <w:r>
              <w:rPr>
                <w:rFonts w:ascii="Aptos" w:hAnsi="Aptos"/>
                <w:sz w:val="16"/>
              </w:rPr>
              <w:t>Search and navigate the canonical assurance-relevant catalog across shared services, products, systems, components, policies, procedures, and other assessable subjects.</w:t>
            </w:r>
          </w:p>
        </w:tc>
      </w:tr>
      <w:tr>
        <w:tc>
          <w:tcPr>
            <w:tcW w:type="dxa" w:w="1952"/>
            <w:vAlign w:val="top"/>
            <w:tcMar>
              <w:top w:w="70" w:type="dxa"/>
              <w:start w:w="85" w:type="dxa"/>
              <w:bottom w:w="70" w:type="dxa"/>
              <w:end w:w="85" w:type="dxa"/>
            </w:tcMar>
            <w:shd w:fill="FAFCFD"/>
          </w:tcPr>
          <w:p>
            <w:pPr>
              <w:pStyle w:val="Compact"/>
            </w:pPr>
            <w:r>
              <w:rPr>
                <w:rFonts w:ascii="Aptos" w:hAnsi="Aptos"/>
                <w:b/>
                <w:sz w:val="16"/>
              </w:rPr>
              <w:t>Products &amp; Systems</w:t>
            </w:r>
          </w:p>
        </w:tc>
        <w:tc>
          <w:tcPr>
            <w:tcW w:type="dxa" w:w="7768"/>
            <w:vAlign w:val="top"/>
            <w:tcMar>
              <w:top w:w="70" w:type="dxa"/>
              <w:start w:w="85" w:type="dxa"/>
              <w:bottom w:w="70" w:type="dxa"/>
              <w:end w:w="85" w:type="dxa"/>
            </w:tcMar>
            <w:shd w:fill="FAFCFD"/>
          </w:tcPr>
          <w:p>
            <w:pPr>
              <w:pStyle w:val="Compact"/>
            </w:pPr>
            <w:r>
              <w:rPr>
                <w:rFonts w:ascii="Aptos" w:hAnsi="Aptos"/>
                <w:sz w:val="16"/>
              </w:rPr>
              <w:t>Build and maintain product/system baselines, architecture, reusable implementation knowledge, variants, and system-definition completeness.</w:t>
            </w:r>
          </w:p>
        </w:tc>
      </w:tr>
      <w:tr>
        <w:tc>
          <w:tcPr>
            <w:tcW w:type="dxa" w:w="1952"/>
            <w:vAlign w:val="top"/>
            <w:tcMar>
              <w:top w:w="70" w:type="dxa"/>
              <w:start w:w="85" w:type="dxa"/>
              <w:bottom w:w="70" w:type="dxa"/>
              <w:end w:w="85" w:type="dxa"/>
            </w:tcMar>
          </w:tcPr>
          <w:p>
            <w:pPr>
              <w:pStyle w:val="Compact"/>
            </w:pPr>
            <w:r>
              <w:rPr>
                <w:rFonts w:ascii="Aptos" w:hAnsi="Aptos"/>
                <w:b/>
                <w:sz w:val="16"/>
              </w:rPr>
              <w:t>Programs</w:t>
            </w:r>
          </w:p>
        </w:tc>
        <w:tc>
          <w:tcPr>
            <w:tcW w:type="dxa" w:w="7768"/>
            <w:vAlign w:val="top"/>
            <w:tcMar>
              <w:top w:w="70" w:type="dxa"/>
              <w:start w:w="85" w:type="dxa"/>
              <w:bottom w:w="70" w:type="dxa"/>
              <w:end w:w="85" w:type="dxa"/>
            </w:tcMar>
          </w:tcPr>
          <w:p>
            <w:pPr>
              <w:pStyle w:val="Compact"/>
            </w:pPr>
            <w:r>
              <w:rPr>
                <w:rFonts w:ascii="Aptos" w:hAnsi="Aptos"/>
                <w:sz w:val="16"/>
              </w:rPr>
              <w:t>Establish customer/program obligations, select systems/baselines, review inherited assurance, manage delta/unknowns, assessments, findings, POA&amp;M, and deadline readiness.</w:t>
            </w:r>
          </w:p>
        </w:tc>
      </w:tr>
      <w:tr>
        <w:tc>
          <w:tcPr>
            <w:tcW w:type="dxa" w:w="1952"/>
            <w:vAlign w:val="top"/>
            <w:tcMar>
              <w:top w:w="70" w:type="dxa"/>
              <w:start w:w="85" w:type="dxa"/>
              <w:bottom w:w="70" w:type="dxa"/>
              <w:end w:w="85" w:type="dxa"/>
            </w:tcMar>
            <w:shd w:fill="FAFCFD"/>
          </w:tcPr>
          <w:p>
            <w:pPr>
              <w:pStyle w:val="Compact"/>
            </w:pPr>
            <w:r>
              <w:rPr>
                <w:rFonts w:ascii="Aptos" w:hAnsi="Aptos"/>
                <w:b/>
                <w:sz w:val="16"/>
              </w:rPr>
              <w:t>Assessments</w:t>
            </w:r>
          </w:p>
        </w:tc>
        <w:tc>
          <w:tcPr>
            <w:tcW w:type="dxa" w:w="7768"/>
            <w:vAlign w:val="top"/>
            <w:tcMar>
              <w:top w:w="70" w:type="dxa"/>
              <w:start w:w="85" w:type="dxa"/>
              <w:bottom w:w="70" w:type="dxa"/>
              <w:end w:w="85" w:type="dxa"/>
            </w:tcMar>
            <w:shd w:fill="FAFCFD"/>
          </w:tcPr>
          <w:p>
            <w:pPr>
              <w:pStyle w:val="Compact"/>
            </w:pPr>
            <w:r>
              <w:rPr>
                <w:rFonts w:ascii="Aptos" w:hAnsi="Aptos"/>
                <w:sz w:val="16"/>
              </w:rPr>
              <w:t>Plan assessments, resolve inheritance, assign/delegate tasks, gather evidence, review responses, make determinations, and create findings.</w:t>
            </w:r>
          </w:p>
        </w:tc>
      </w:tr>
      <w:tr>
        <w:tc>
          <w:tcPr>
            <w:tcW w:type="dxa" w:w="1952"/>
            <w:vAlign w:val="top"/>
            <w:tcMar>
              <w:top w:w="70" w:type="dxa"/>
              <w:start w:w="85" w:type="dxa"/>
              <w:bottom w:w="70" w:type="dxa"/>
              <w:end w:w="85" w:type="dxa"/>
            </w:tcMar>
          </w:tcPr>
          <w:p>
            <w:pPr>
              <w:pStyle w:val="Compact"/>
            </w:pPr>
            <w:r>
              <w:rPr>
                <w:rFonts w:ascii="Aptos" w:hAnsi="Aptos"/>
                <w:b/>
                <w:sz w:val="16"/>
              </w:rPr>
              <w:t>Findings</w:t>
            </w:r>
          </w:p>
        </w:tc>
        <w:tc>
          <w:tcPr>
            <w:tcW w:type="dxa" w:w="7768"/>
            <w:vAlign w:val="top"/>
            <w:tcMar>
              <w:top w:w="70" w:type="dxa"/>
              <w:start w:w="85" w:type="dxa"/>
              <w:bottom w:w="70" w:type="dxa"/>
              <w:end w:w="85" w:type="dxa"/>
            </w:tcMar>
          </w:tcPr>
          <w:p>
            <w:pPr>
              <w:pStyle w:val="Compact"/>
            </w:pPr>
            <w:r>
              <w:rPr>
                <w:rFonts w:ascii="Aptos" w:hAnsi="Aptos"/>
                <w:sz w:val="16"/>
              </w:rPr>
              <w:t>Triage identified gaps across scopes, group related findings, and track ownership and disposition.</w:t>
            </w:r>
          </w:p>
        </w:tc>
      </w:tr>
      <w:tr>
        <w:tc>
          <w:tcPr>
            <w:tcW w:type="dxa" w:w="1952"/>
            <w:vAlign w:val="top"/>
            <w:tcMar>
              <w:top w:w="70" w:type="dxa"/>
              <w:start w:w="85" w:type="dxa"/>
              <w:bottom w:w="70" w:type="dxa"/>
              <w:end w:w="85" w:type="dxa"/>
            </w:tcMar>
          </w:tcPr>
          <w:p>
            <w:pPr>
              <w:pStyle w:val="Compact"/>
            </w:pPr>
            <w:r>
              <w:rPr>
                <w:rFonts w:ascii="Aptos" w:hAnsi="Aptos"/>
                <w:b/>
                <w:sz w:val="16"/>
              </w:rPr>
              <w:t>Risks &amp; POA&amp;M</w:t>
            </w:r>
          </w:p>
        </w:tc>
        <w:tc>
          <w:tcPr>
            <w:tcW w:type="dxa" w:w="7768"/>
            <w:vAlign w:val="top"/>
            <w:tcMar>
              <w:top w:w="70" w:type="dxa"/>
              <w:start w:w="85" w:type="dxa"/>
              <w:bottom w:w="70" w:type="dxa"/>
              <w:end w:w="85" w:type="dxa"/>
            </w:tcMar>
          </w:tcPr>
          <w:p>
            <w:pPr>
              <w:pStyle w:val="Compact"/>
            </w:pPr>
            <w:r>
              <w:rPr>
                <w:rFonts w:ascii="Aptos" w:hAnsi="Aptos"/>
                <w:sz w:val="16"/>
              </w:rPr>
              <w:t>Manage risk treatment, remediation initiatives, formal POA&amp;M milestones, and validate closure.</w:t>
            </w:r>
          </w:p>
        </w:tc>
      </w:tr>
      <w:tr>
        <w:tc>
          <w:tcPr>
            <w:tcW w:type="dxa" w:w="1952"/>
            <w:vAlign w:val="top"/>
            <w:tcMar>
              <w:top w:w="70" w:type="dxa"/>
              <w:start w:w="85" w:type="dxa"/>
              <w:bottom w:w="70" w:type="dxa"/>
              <w:end w:w="85" w:type="dxa"/>
            </w:tcMar>
            <w:shd w:fill="FAFCFD"/>
          </w:tcPr>
          <w:p>
            <w:pPr>
              <w:pStyle w:val="Compact"/>
            </w:pPr>
            <w:r>
              <w:rPr>
                <w:rFonts w:ascii="Aptos" w:hAnsi="Aptos"/>
                <w:b/>
                <w:sz w:val="16"/>
              </w:rPr>
              <w:t>Library</w:t>
            </w:r>
          </w:p>
        </w:tc>
        <w:tc>
          <w:tcPr>
            <w:tcW w:type="dxa" w:w="7768"/>
            <w:vAlign w:val="top"/>
            <w:tcMar>
              <w:top w:w="70" w:type="dxa"/>
              <w:start w:w="85" w:type="dxa"/>
              <w:bottom w:w="70" w:type="dxa"/>
              <w:end w:w="85" w:type="dxa"/>
            </w:tcMar>
            <w:shd w:fill="FAFCFD"/>
          </w:tcPr>
          <w:p>
            <w:pPr>
              <w:pStyle w:val="Compact"/>
            </w:pPr>
            <w:r>
              <w:rPr>
                <w:rFonts w:ascii="Aptos" w:hAnsi="Aptos"/>
                <w:sz w:val="16"/>
              </w:rPr>
              <w:t>Govern standards content, profiles, assessment templates, reusable assurance packages, requirements, and promotion candidates.</w:t>
            </w:r>
          </w:p>
        </w:tc>
      </w:tr>
    </w:tbl>
    <w:p>
      <w:pPr>
        <w:spacing w:after="0"/>
      </w:pPr>
    </w:p>
    <w:p>
      <w:pPr>
        <w:pStyle w:val="Heading2"/>
      </w:pPr>
      <w:r>
        <w:rPr>
          <w:rFonts w:ascii="Aptos" w:hAnsi="Aptos"/>
          <w:sz w:val="25"/>
        </w:rPr>
        <w:t>6.2 Home is work-centric</w:t>
      </w:r>
    </w:p>
    <w:p>
      <w:r>
        <w:rPr>
          <w:rFonts w:ascii="Aptos" w:hAnsi="Aptos"/>
          <w:sz w:val="19"/>
        </w:rPr>
        <w:t xml:space="preserve">A user should not land on a control catalog. Home answers: </w:t>
      </w:r>
      <w:r>
        <w:rPr>
          <w:rFonts w:ascii="Aptos" w:hAnsi="Aptos"/>
          <w:b/>
          <w:sz w:val="19"/>
        </w:rPr>
        <w:t>What do I owe, what is waiting on me, what changed, and what threatens a milestone?</w:t>
      </w:r>
    </w:p>
    <w:p>
      <w:r>
        <w:rPr>
          <w:rFonts w:ascii="Aptos" w:hAnsi="Aptos"/>
          <w:sz w:val="19"/>
        </w:rPr>
        <w:t>For contributors this means a small queue of plain-language tasks. For an SSE it means unresolved applicability, system unknowns, responses ready for review, impacted inheritance, findings, and deadline-critical remediation. For an organizational assurance owner it means assessment packages, shared-service assurance freshness, promotion requests, and downstream consumers affected by change.</w:t>
      </w:r>
    </w:p>
    <w:p>
      <w:pPr>
        <w:pStyle w:val="Heading2"/>
      </w:pPr>
      <w:r>
        <w:rPr>
          <w:rFonts w:ascii="Aptos" w:hAnsi="Aptos"/>
          <w:sz w:val="25"/>
        </w:rPr>
        <w:t>6.3 Explain inheritance before asking for work</w:t>
      </w:r>
    </w:p>
    <w:p>
      <w:r>
        <w:rPr>
          <w:rFonts w:ascii="Aptos" w:hAnsi="Aptos"/>
          <w:sz w:val="19"/>
        </w:rPr>
        <w:t>Any assessment or program workflow that generates tasks must first show what the platform believes is already covered and why. Users should see:</w:t>
      </w:r>
    </w:p>
    <w:p>
      <w:pPr>
        <w:pStyle w:val="ListBullet"/>
        <w:spacing w:after="40"/>
      </w:pPr>
      <w:r>
        <w:rPr>
          <w:rFonts w:ascii="Aptos" w:hAnsi="Aptos"/>
          <w:sz w:val="18"/>
        </w:rPr>
        <w:t>assurance package/source being inherited;</w:t>
      </w:r>
    </w:p>
    <w:p>
      <w:pPr>
        <w:pStyle w:val="ListBullet"/>
        <w:spacing w:after="40"/>
      </w:pPr>
      <w:r>
        <w:rPr>
          <w:rFonts w:ascii="Aptos" w:hAnsi="Aptos"/>
          <w:sz w:val="18"/>
        </w:rPr>
        <w:t>applicability conditions that passed or remain unknown;</w:t>
      </w:r>
    </w:p>
    <w:p>
      <w:pPr>
        <w:pStyle w:val="ListBullet"/>
        <w:spacing w:after="40"/>
      </w:pPr>
      <w:r>
        <w:rPr>
          <w:rFonts w:ascii="Aptos" w:hAnsi="Aptos"/>
          <w:sz w:val="18"/>
        </w:rPr>
        <w:t>provider responsibilities;</w:t>
      </w:r>
    </w:p>
    <w:p>
      <w:pPr>
        <w:pStyle w:val="ListBullet"/>
        <w:spacing w:after="40"/>
      </w:pPr>
      <w:r>
        <w:rPr>
          <w:rFonts w:ascii="Aptos" w:hAnsi="Aptos"/>
          <w:sz w:val="18"/>
        </w:rPr>
        <w:t>consumer/residual responsibilities;</w:t>
      </w:r>
    </w:p>
    <w:p>
      <w:pPr>
        <w:pStyle w:val="ListBullet"/>
        <w:spacing w:after="40"/>
      </w:pPr>
      <w:r>
        <w:rPr>
          <w:rFonts w:ascii="Aptos" w:hAnsi="Aptos"/>
          <w:sz w:val="18"/>
        </w:rPr>
        <w:t>current assessment/evidence state;</w:t>
      </w:r>
    </w:p>
    <w:p>
      <w:pPr>
        <w:pStyle w:val="ListBullet"/>
        <w:spacing w:after="40"/>
      </w:pPr>
      <w:r>
        <w:rPr>
          <w:rFonts w:ascii="Aptos" w:hAnsi="Aptos"/>
          <w:sz w:val="18"/>
        </w:rPr>
        <w:t>attestation or reassessment requirements;</w:t>
      </w:r>
    </w:p>
    <w:p>
      <w:pPr>
        <w:pStyle w:val="ListBullet"/>
        <w:spacing w:after="40"/>
      </w:pPr>
      <w:r>
        <w:rPr>
          <w:rFonts w:ascii="Aptos" w:hAnsi="Aptos"/>
          <w:sz w:val="18"/>
        </w:rPr>
        <w:t>conflicts blocking inheritance.</w:t>
      </w:r>
    </w:p>
    <w:p>
      <w:r>
        <w:rPr>
          <w:rFonts w:ascii="Aptos" w:hAnsi="Aptos"/>
          <w:sz w:val="19"/>
        </w:rPr>
        <w:t>This review is the point where an SSE can reject an inappropriate inheritance claim before the platform suppresses local work.</w:t>
      </w:r>
    </w:p>
    <w:p>
      <w:pPr>
        <w:pStyle w:val="Heading2"/>
      </w:pPr>
      <w:r>
        <w:rPr>
          <w:rFonts w:ascii="Aptos" w:hAnsi="Aptos"/>
          <w:sz w:val="25"/>
        </w:rPr>
        <w:t>6.4 Separate contributor and reviewer experiences</w:t>
      </w:r>
    </w:p>
    <w:p>
      <w:r>
        <w:rPr>
          <w:rFonts w:ascii="Aptos" w:hAnsi="Aptos"/>
          <w:sz w:val="19"/>
        </w:rPr>
        <w:t>The contributor experience is intentionally narrow. A contributor is asked to explain, provide, confirm, examine, or test something they actually own. They can delegate or flag incorrect ownership. They do not need to know whether the task maps to one or five controls.</w:t>
      </w:r>
    </w:p>
    <w:p>
      <w:r>
        <w:rPr>
          <w:rFonts w:ascii="Aptos" w:hAnsi="Aptos"/>
          <w:sz w:val="19"/>
        </w:rPr>
        <w:t>The reviewer/SSE experience is assurance-centric. It shows objective/control/requirement lineage, assessment snapshot, inherited provider assurance, conflicting assertions, evidence, previous determinations, and residual responsibilities. This separation allows the workflow to scale beyond dedicated security teams without diluting assessment authority.</w:t>
      </w:r>
    </w:p>
    <w:p>
      <w:pPr>
        <w:pStyle w:val="Heading2"/>
      </w:pPr>
      <w:r>
        <w:rPr>
          <w:rFonts w:ascii="Aptos" w:hAnsi="Aptos"/>
          <w:sz w:val="25"/>
        </w:rPr>
        <w:t>6.5 Make Unknown actionable</w:t>
      </w:r>
    </w:p>
    <w:p>
      <w:r>
        <w:rPr>
          <w:rFonts w:ascii="Aptos" w:hAnsi="Aptos"/>
          <w:sz w:val="19"/>
        </w:rPr>
        <w:t>Unknown is not a warning banner that users learn to ignore. Every material Unknown should have an owner or an explicit unassigned state, a reason it matters, and a path to resolution. A new physical system can therefore begin as a skeleton and progressively mature as engineering decisions are made.</w:t>
      </w:r>
    </w:p>
    <w:p>
      <w:r>
        <w:rPr>
          <w:rFonts w:ascii="Aptos" w:hAnsi="Aptos"/>
          <w:sz w:val="19"/>
        </w:rPr>
        <w:t xml:space="preserve">The platform should clearly separate </w:t>
      </w:r>
      <w:r>
        <w:rPr>
          <w:rFonts w:ascii="Aptos" w:hAnsi="Aptos"/>
          <w:b/>
          <w:sz w:val="19"/>
        </w:rPr>
        <w:t>system-definition completeness</w:t>
      </w:r>
      <w:r>
        <w:rPr>
          <w:rFonts w:ascii="Aptos" w:hAnsi="Aptos"/>
          <w:sz w:val="19"/>
        </w:rPr>
        <w:t xml:space="preserve"> from </w:t>
      </w:r>
      <w:r>
        <w:rPr>
          <w:rFonts w:ascii="Aptos" w:hAnsi="Aptos"/>
          <w:b/>
          <w:sz w:val="19"/>
        </w:rPr>
        <w:t>assurance state</w:t>
      </w:r>
      <w:r>
        <w:rPr>
          <w:rFonts w:ascii="Aptos" w:hAnsi="Aptos"/>
          <w:sz w:val="19"/>
        </w:rPr>
        <w:t>. An undocumented architecture must never produce a misleading positive assurance view.</w:t>
      </w:r>
    </w:p>
    <w:p>
      <w:pPr>
        <w:pStyle w:val="Heading2"/>
      </w:pPr>
      <w:r>
        <w:rPr>
          <w:rFonts w:ascii="Aptos" w:hAnsi="Aptos"/>
          <w:sz w:val="25"/>
        </w:rPr>
        <w:t>6.6 Make provenance one click away</w:t>
      </w:r>
    </w:p>
    <w:p>
      <w:r>
        <w:rPr>
          <w:rFonts w:ascii="Aptos" w:hAnsi="Aptos"/>
          <w:sz w:val="19"/>
        </w:rPr>
        <w:t xml:space="preserve">Any effective requirement, inherited result, parameter, implementation assertion, or assessment task should expose </w:t>
      </w:r>
      <w:r>
        <w:rPr>
          <w:rFonts w:ascii="Aptos" w:hAnsi="Aptos"/>
          <w:b/>
          <w:sz w:val="19"/>
        </w:rPr>
        <w:t>Why is this here?</w:t>
      </w:r>
      <w:r>
        <w:rPr>
          <w:rFonts w:ascii="Aptos" w:hAnsi="Aptos"/>
          <w:sz w:val="19"/>
        </w:rPr>
        <w:t xml:space="preserve"> The provenance view should show the source standards/customer requirement, organization/profile decisions, product/system baseline, reusable assurance package, applicability result, version/snapshot, and human approvals that produced the effective state.</w:t>
      </w:r>
    </w:p>
    <w:p>
      <w:r>
        <w:rPr>
          <w:rFonts w:ascii="Aptos" w:hAnsi="Aptos"/>
          <w:sz w:val="19"/>
        </w:rPr>
        <w:t>This is essential for user trust and for debugging the inheritance engine itself.</w:t>
      </w:r>
    </w:p>
    <w:p>
      <w:pPr>
        <w:pStyle w:val="Heading1"/>
      </w:pPr>
      <w:r>
        <w:rPr>
          <w:rFonts w:ascii="Aptos" w:hAnsi="Aptos"/>
          <w:sz w:val="32"/>
        </w:rPr>
        <w:t>7. Major User Journeys</w:t>
      </w:r>
    </w:p>
    <w:p>
      <w:pPr>
        <w:pStyle w:val="Heading2"/>
      </w:pPr>
      <w:r>
        <w:rPr>
          <w:rFonts w:ascii="Aptos" w:hAnsi="Aptos"/>
          <w:sz w:val="25"/>
        </w:rPr>
        <w:t>7.1 Journey A - Set up the organization incrementally</w:t>
      </w:r>
    </w:p>
    <w:p>
      <w:r>
        <w:rPr>
          <w:rFonts w:ascii="Aptos" w:hAnsi="Aptos"/>
          <w:sz w:val="19"/>
        </w:rPr>
        <w:t>The first user should not face an enterprise data-cleanup project. They create the top-level organization and only the units necessary for the first assessment. Units can own policies, procedures, shared services, assets, assurance packages, findings, and responsibilities.</w:t>
      </w:r>
    </w:p>
    <w:p>
      <w:r>
        <w:rPr>
          <w:rFonts w:ascii="Aptos" w:hAnsi="Aptos"/>
          <w:sz w:val="19"/>
        </w:rPr>
        <w:t>A user may create a unit hierarchy such as:</w:t>
      </w:r>
    </w:p>
    <w:p>
      <w:r>
        <w:rPr>
          <w:rFonts w:ascii="Aptos" w:hAnsi="Aptos"/>
          <w:b/>
          <w:sz w:val="19"/>
        </w:rPr>
        <w:t>Enterprise -&gt; Enterprise Security -&gt; IAM / PKI / Vulnerability Management</w:t>
      </w:r>
    </w:p>
    <w:p>
      <w:r>
        <w:rPr>
          <w:rFonts w:ascii="Aptos" w:hAnsi="Aptos"/>
          <w:sz w:val="19"/>
        </w:rPr>
        <w:t>The hierarchy is not required to mirror the HR org chart. It exists to establish assurance scope, ownership, assignment routing, inheritance, and rollups.</w:t>
      </w:r>
    </w:p>
    <w:p>
      <w:r>
        <w:rPr>
          <w:rFonts w:ascii="Aptos" w:hAnsi="Aptos"/>
          <w:sz w:val="19"/>
        </w:rPr>
        <w:t>As assessments uncover uncataloged assets or procedures, they can be created locally, used immediately, and later promoted to the correct canonical scope.</w:t>
      </w:r>
    </w:p>
    <w:p>
      <w:pPr>
        <w:pStyle w:val="Heading2"/>
      </w:pPr>
      <w:r>
        <w:rPr>
          <w:rFonts w:ascii="Aptos" w:hAnsi="Aptos"/>
          <w:sz w:val="25"/>
        </w:rPr>
        <w:t>7.2 Journey B - Run an ad hoc organizational assessment</w:t>
      </w:r>
    </w:p>
    <w:p>
      <w:r>
        <w:rPr>
          <w:rFonts w:ascii="Aptos" w:hAnsi="Aptos"/>
          <w:sz w:val="19"/>
        </w:rPr>
        <w:t>An Organizational Assurance Lead selects a unit, asset, service, policy, product, system, program, or targeted set of controls/requirements and launches an assessment.</w:t>
      </w:r>
    </w:p>
    <w:p>
      <w:r>
        <w:rPr>
          <w:rFonts w:ascii="Aptos" w:hAnsi="Aptos"/>
          <w:sz w:val="19"/>
        </w:rPr>
        <w:t>The system:</w:t>
      </w:r>
    </w:p>
    <w:p>
      <w:pPr>
        <w:spacing w:after="40"/>
        <w:ind w:left="202" w:hanging="202"/>
      </w:pPr>
      <w:r>
        <w:rPr>
          <w:rFonts w:ascii="Aptos" w:hAnsi="Aptos"/>
          <w:sz w:val="18"/>
        </w:rPr>
        <w:t>1. resolves applicable assessment objectives;</w:t>
      </w:r>
    </w:p>
    <w:p>
      <w:pPr>
        <w:spacing w:after="40"/>
        <w:ind w:left="202" w:hanging="202"/>
      </w:pPr>
      <w:r>
        <w:rPr>
          <w:rFonts w:ascii="Aptos" w:hAnsi="Aptos"/>
          <w:sz w:val="18"/>
        </w:rPr>
        <w:t>2. evaluates current reusable assurance before asking questions;</w:t>
      </w:r>
    </w:p>
    <w:p>
      <w:pPr>
        <w:spacing w:after="40"/>
        <w:ind w:left="202" w:hanging="202"/>
      </w:pPr>
      <w:r>
        <w:rPr>
          <w:rFonts w:ascii="Aptos" w:hAnsi="Aptos"/>
          <w:sz w:val="18"/>
        </w:rPr>
        <w:t>3. suppresses redundant tasks where current applicable results exist;</w:t>
      </w:r>
    </w:p>
    <w:p>
      <w:pPr>
        <w:spacing w:after="40"/>
        <w:ind w:left="202" w:hanging="202"/>
      </w:pPr>
      <w:r>
        <w:rPr>
          <w:rFonts w:ascii="Aptos" w:hAnsi="Aptos"/>
          <w:sz w:val="18"/>
        </w:rPr>
        <w:t>4. generates residual/attestation/reassessment tasks only where needed;</w:t>
      </w:r>
    </w:p>
    <w:p>
      <w:pPr>
        <w:spacing w:after="40"/>
        <w:ind w:left="202" w:hanging="202"/>
      </w:pPr>
      <w:r>
        <w:rPr>
          <w:rFonts w:ascii="Aptos" w:hAnsi="Aptos"/>
          <w:sz w:val="18"/>
        </w:rPr>
        <w:t>5. groups remaining tasks into assignment packages by owner/team/asset;</w:t>
      </w:r>
    </w:p>
    <w:p>
      <w:pPr>
        <w:spacing w:after="40"/>
        <w:ind w:left="202" w:hanging="202"/>
      </w:pPr>
      <w:r>
        <w:rPr>
          <w:rFonts w:ascii="Aptos" w:hAnsi="Aptos"/>
          <w:sz w:val="18"/>
        </w:rPr>
        <w:t>6. lets package owners delegate individual tasks;</w:t>
      </w:r>
    </w:p>
    <w:p>
      <w:pPr>
        <w:spacing w:after="40"/>
        <w:ind w:left="202" w:hanging="202"/>
      </w:pPr>
      <w:r>
        <w:rPr>
          <w:rFonts w:ascii="Aptos" w:hAnsi="Aptos"/>
          <w:sz w:val="18"/>
        </w:rPr>
        <w:t>7. gathers responses, evidence, interviews, examinations, and tests;</w:t>
      </w:r>
    </w:p>
    <w:p>
      <w:pPr>
        <w:spacing w:after="40"/>
        <w:ind w:left="202" w:hanging="202"/>
      </w:pPr>
      <w:r>
        <w:rPr>
          <w:rFonts w:ascii="Aptos" w:hAnsi="Aptos"/>
          <w:sz w:val="18"/>
        </w:rPr>
        <w:t>8. routes complete objectives to authorized reviewers;</w:t>
      </w:r>
    </w:p>
    <w:p>
      <w:pPr>
        <w:spacing w:after="40"/>
        <w:ind w:left="202" w:hanging="202"/>
      </w:pPr>
      <w:r>
        <w:rPr>
          <w:rFonts w:ascii="Aptos" w:hAnsi="Aptos"/>
          <w:sz w:val="18"/>
        </w:rPr>
        <w:t>9. records determinations and findings;</w:t>
      </w:r>
    </w:p>
    <w:p>
      <w:pPr>
        <w:spacing w:after="40"/>
        <w:ind w:left="202" w:hanging="202"/>
      </w:pPr>
      <w:r>
        <w:rPr>
          <w:rFonts w:ascii="Aptos" w:hAnsi="Aptos"/>
          <w:sz w:val="18"/>
        </w:rPr>
        <w:t>10. allows valid results to become reusable assurance at the highest approved scope.</w:t>
      </w:r>
    </w:p>
    <w:p>
      <w:r>
        <w:rPr>
          <w:rFonts w:ascii="Aptos" w:hAnsi="Aptos"/>
          <w:sz w:val="19"/>
        </w:rPr>
        <w:t>This is useful even if no program exists. A corporate IAM team can assess and document itself today; tomorrow a product/system can inherit the valid portion of that work.</w:t>
      </w:r>
    </w:p>
    <w:p>
      <w:pPr>
        <w:pStyle w:val="Heading2"/>
      </w:pPr>
      <w:r>
        <w:rPr>
          <w:rFonts w:ascii="Aptos" w:hAnsi="Aptos"/>
          <w:sz w:val="25"/>
        </w:rPr>
        <w:t>7.3 Journey C - Create a program and establish obligations</w:t>
      </w:r>
    </w:p>
    <w:p>
      <w:r>
        <w:rPr>
          <w:rFonts w:ascii="Aptos" w:hAnsi="Aptos"/>
          <w:sz w:val="19"/>
        </w:rPr>
        <w:t>A Program SSE creates the program and captures customer/mission, deadline, security lead, security context, source profiles/overlays, customer requirements, systems, and ownership.</w:t>
      </w:r>
    </w:p>
    <w:p>
      <w:r>
        <w:rPr>
          <w:rFonts w:ascii="Aptos" w:hAnsi="Aptos"/>
          <w:sz w:val="19"/>
        </w:rPr>
        <w:t>Customer requirements remain first-class sources. If the organization default password minimum is 15 characters and the customer requires 24, the system preserves both values and records the approved effective program value rather than editing the organization baseline.</w:t>
      </w:r>
    </w:p>
    <w:p>
      <w:r>
        <w:rPr>
          <w:rFonts w:ascii="Aptos" w:hAnsi="Aptos"/>
          <w:sz w:val="19"/>
        </w:rPr>
        <w:t>Conflicting or semantically ambiguous requirements create adjudication work; the platform does not assume “largest number wins” or “customer always wins.”</w:t>
      </w:r>
    </w:p>
    <w:p>
      <w:pPr>
        <w:pStyle w:val="Heading2"/>
      </w:pPr>
      <w:r>
        <w:rPr>
          <w:rFonts w:ascii="Aptos" w:hAnsi="Aptos"/>
          <w:sz w:val="25"/>
        </w:rPr>
        <w:t>7.4 Journey D - Select an existing system, create a variant, or start incomplete</w:t>
      </w:r>
    </w:p>
    <w:p>
      <w:r>
        <w:rPr>
          <w:rFonts w:ascii="Aptos" w:hAnsi="Aptos"/>
          <w:sz w:val="19"/>
        </w:rPr>
        <w:t>For each program system, the SSE chooses:</w:t>
      </w:r>
    </w:p>
    <w:p>
      <w:pPr>
        <w:pStyle w:val="ListBullet"/>
        <w:spacing w:after="40"/>
      </w:pPr>
      <w:r>
        <w:rPr>
          <w:rFonts w:ascii="Aptos" w:hAnsi="Aptos"/>
          <w:b/>
          <w:sz w:val="18"/>
        </w:rPr>
        <w:t>Use existing baseline</w:t>
      </w:r>
      <w:r>
        <w:rPr>
          <w:rFonts w:ascii="Aptos" w:hAnsi="Aptos"/>
          <w:sz w:val="18"/>
        </w:rPr>
        <w:t xml:space="preserve"> - inherit a pinned known product/system configuration and confirm applicability assumptions.</w:t>
      </w:r>
    </w:p>
    <w:p>
      <w:pPr>
        <w:pStyle w:val="ListBullet"/>
        <w:spacing w:after="40"/>
      </w:pPr>
      <w:r>
        <w:rPr>
          <w:rFonts w:ascii="Aptos" w:hAnsi="Aptos"/>
          <w:b/>
          <w:sz w:val="18"/>
        </w:rPr>
        <w:t>Create variant</w:t>
      </w:r>
      <w:r>
        <w:rPr>
          <w:rFonts w:ascii="Aptos" w:hAnsi="Aptos"/>
          <w:sz w:val="18"/>
        </w:rPr>
        <w:t xml:space="preserve"> - begin from a pinned baseline and explicitly declare changed/added/removed/unknown elements.</w:t>
      </w:r>
    </w:p>
    <w:p>
      <w:pPr>
        <w:pStyle w:val="ListBullet"/>
        <w:spacing w:after="40"/>
      </w:pPr>
      <w:r>
        <w:rPr>
          <w:rFonts w:ascii="Aptos" w:hAnsi="Aptos"/>
          <w:b/>
          <w:sz w:val="18"/>
        </w:rPr>
        <w:t>Create new/incomplete system</w:t>
      </w:r>
      <w:r>
        <w:rPr>
          <w:rFonts w:ascii="Aptos" w:hAnsi="Aptos"/>
          <w:sz w:val="18"/>
        </w:rPr>
        <w:t xml:space="preserve"> - start with Unknown states and progressively discover boundary, components, owners, implementations, and evidence.</w:t>
      </w:r>
    </w:p>
    <w:p>
      <w:pPr>
        <w:pStyle w:val="ListBullet"/>
        <w:spacing w:after="40"/>
      </w:pPr>
      <w:r>
        <w:rPr>
          <w:rFonts w:ascii="Aptos" w:hAnsi="Aptos"/>
          <w:b/>
          <w:sz w:val="19"/>
        </w:rPr>
        <w:t xml:space="preserve">Import legacy system</w:t>
      </w:r>
      <w:r>
        <w:rPr>
          <w:rFonts w:ascii="Aptos" w:hAnsi="Aptos"/>
          <w:sz w:val="19"/>
        </w:rPr>
        <w:t xml:space="preserve"> - migrate an existing workbook or system description as program-scoped facts; ambiguous or blank values become triaged Unknowns rather than assumed satisfaction.</w:t>
      </w:r>
    </w:p>
    <w:p>
      <w:r>
        <w:rPr>
          <w:rFonts w:ascii="Aptos" w:hAnsi="Aptos"/>
          <w:sz w:val="19"/>
        </w:rPr>
        <w:t>A new system is allowed to be incomplete. Unknown processor, bootloader version, system boundary, implementation, or evidence becomes assigned discovery work.</w:t>
      </w:r>
    </w:p>
    <w:p>
      <w:pPr>
        <w:pStyle w:val="Heading2"/>
      </w:pPr>
      <w:r>
        <w:rPr>
          <w:rFonts w:ascii="Aptos" w:hAnsi="Aptos"/>
          <w:sz w:val="25"/>
        </w:rPr>
        <w:t>7.5 Journey E - Inherit assurance before generating assessment work</w:t>
      </w:r>
    </w:p>
    <w:p>
      <w:r>
        <w:rPr>
          <w:rFonts w:ascii="Aptos" w:hAnsi="Aptos"/>
          <w:sz w:val="19"/>
        </w:rPr>
        <w:t>Before creating questions, the platform evaluates applicable organizational assurance packages and product/system baseline assurance.</w:t>
      </w:r>
    </w:p>
    <w:p>
      <w:r>
        <w:rPr>
          <w:rFonts w:ascii="Aptos" w:hAnsi="Aptos"/>
          <w:sz w:val="19"/>
        </w:rPr>
        <w:t>For each objective, the result can be:</w:t>
      </w:r>
    </w:p>
    <w:p>
      <w:pPr>
        <w:pStyle w:val="ListBullet"/>
        <w:spacing w:after="40"/>
      </w:pPr>
      <w:r>
        <w:rPr>
          <w:rFonts w:ascii="Aptos" w:hAnsi="Aptos"/>
          <w:sz w:val="18"/>
        </w:rPr>
        <w:t>inherited/current;</w:t>
      </w:r>
    </w:p>
    <w:p>
      <w:pPr>
        <w:pStyle w:val="ListBullet"/>
        <w:spacing w:after="40"/>
      </w:pPr>
      <w:r>
        <w:rPr>
          <w:rFonts w:ascii="Aptos" w:hAnsi="Aptos"/>
          <w:sz w:val="18"/>
        </w:rPr>
        <w:t>inherited but consumer responsibility remains;</w:t>
      </w:r>
    </w:p>
    <w:p>
      <w:pPr>
        <w:pStyle w:val="ListBullet"/>
        <w:spacing w:after="40"/>
      </w:pPr>
      <w:r>
        <w:rPr>
          <w:rFonts w:ascii="Aptos" w:hAnsi="Aptos"/>
          <w:sz w:val="18"/>
        </w:rPr>
        <w:t>inherited but attestation required;</w:t>
      </w:r>
    </w:p>
    <w:p>
      <w:pPr>
        <w:pStyle w:val="ListBullet"/>
        <w:spacing w:after="40"/>
      </w:pPr>
      <w:r>
        <w:rPr>
          <w:rFonts w:ascii="Aptos" w:hAnsi="Aptos"/>
          <w:sz w:val="18"/>
        </w:rPr>
        <w:t>impacted/expired/reassessment required;</w:t>
      </w:r>
    </w:p>
    <w:p>
      <w:pPr>
        <w:pStyle w:val="ListBullet"/>
        <w:spacing w:after="40"/>
      </w:pPr>
      <w:r>
        <w:rPr>
          <w:rFonts w:ascii="Aptos" w:hAnsi="Aptos"/>
          <w:sz w:val="18"/>
        </w:rPr>
        <w:t>unresolved/no reusable result;</w:t>
      </w:r>
    </w:p>
    <w:p>
      <w:pPr>
        <w:pStyle w:val="ListBullet"/>
        <w:spacing w:after="40"/>
      </w:pPr>
      <w:r>
        <w:rPr>
          <w:rFonts w:ascii="Aptos" w:hAnsi="Aptos"/>
          <w:sz w:val="18"/>
        </w:rPr>
        <w:t>applicability decision required.</w:t>
      </w:r>
    </w:p>
    <w:p>
      <w:r>
        <w:rPr>
          <w:rFonts w:ascii="Aptos" w:hAnsi="Aptos"/>
          <w:sz w:val="19"/>
        </w:rPr>
        <w:t>This is the core mechanism that prevents repeated questioning.</w:t>
      </w:r>
    </w:p>
    <w:p>
      <w:pPr>
        <w:pStyle w:val="Heading2"/>
      </w:pPr>
      <w:r>
        <w:rPr>
          <w:rFonts w:ascii="Aptos" w:hAnsi="Aptos"/>
          <w:sz w:val="25"/>
        </w:rPr>
        <w:t>7.6 Journey F - Delegate to engineers without turning them into GRC specialists</w:t>
      </w:r>
    </w:p>
    <w:p>
      <w:r>
        <w:rPr>
          <w:rFonts w:ascii="Aptos" w:hAnsi="Aptos"/>
          <w:sz w:val="19"/>
        </w:rPr>
        <w:t>Remaining tasks are packaged by likely owner. A Firmware Engineering lead might receive 47 tasks and delegate individual tasks to the engineers who actually own the bootloader, FPGA, recovery firmware, and signing workflow.</w:t>
      </w:r>
    </w:p>
    <w:p>
      <w:r>
        <w:rPr>
          <w:rFonts w:ascii="Aptos" w:hAnsi="Aptos"/>
          <w:sz w:val="19"/>
        </w:rPr>
        <w:t>The contributor experience shows:</w:t>
      </w:r>
    </w:p>
    <w:p>
      <w:pPr>
        <w:pStyle w:val="ListBullet"/>
        <w:spacing w:after="40"/>
      </w:pPr>
      <w:r>
        <w:rPr>
          <w:rFonts w:ascii="Aptos" w:hAnsi="Aptos"/>
          <w:sz w:val="18"/>
        </w:rPr>
        <w:t>plain-language request;</w:t>
      </w:r>
    </w:p>
    <w:p>
      <w:pPr>
        <w:pStyle w:val="ListBullet"/>
        <w:spacing w:after="40"/>
      </w:pPr>
      <w:r>
        <w:rPr>
          <w:rFonts w:ascii="Aptos" w:hAnsi="Aptos"/>
          <w:sz w:val="18"/>
        </w:rPr>
        <w:t>system/asset context;</w:t>
      </w:r>
    </w:p>
    <w:p>
      <w:pPr>
        <w:pStyle w:val="ListBullet"/>
        <w:spacing w:after="40"/>
      </w:pPr>
      <w:r>
        <w:rPr>
          <w:rFonts w:ascii="Aptos" w:hAnsi="Aptos"/>
          <w:sz w:val="18"/>
        </w:rPr>
        <w:t>due date/requester;</w:t>
      </w:r>
    </w:p>
    <w:p>
      <w:pPr>
        <w:pStyle w:val="ListBullet"/>
        <w:spacing w:after="40"/>
      </w:pPr>
      <w:r>
        <w:rPr>
          <w:rFonts w:ascii="Aptos" w:hAnsi="Aptos"/>
          <w:sz w:val="18"/>
        </w:rPr>
        <w:t>expected response or evidence;</w:t>
      </w:r>
    </w:p>
    <w:p>
      <w:pPr>
        <w:pStyle w:val="ListBullet"/>
        <w:spacing w:after="40"/>
      </w:pPr>
      <w:r>
        <w:rPr>
          <w:rFonts w:ascii="Aptos" w:hAnsi="Aptos"/>
          <w:sz w:val="18"/>
        </w:rPr>
        <w:t>why the information matters;</w:t>
      </w:r>
    </w:p>
    <w:p>
      <w:pPr>
        <w:pStyle w:val="ListBullet"/>
        <w:spacing w:after="40"/>
      </w:pPr>
      <w:r>
        <w:rPr>
          <w:rFonts w:ascii="Aptos" w:hAnsi="Aptos"/>
          <w:sz w:val="18"/>
        </w:rPr>
        <w:t>previous reusable answer where useful;</w:t>
      </w:r>
    </w:p>
    <w:p>
      <w:pPr>
        <w:pStyle w:val="ListBullet"/>
        <w:spacing w:after="40"/>
      </w:pPr>
      <w:r>
        <w:rPr>
          <w:rFonts w:ascii="Aptos" w:hAnsi="Aptos"/>
          <w:sz w:val="18"/>
        </w:rPr>
        <w:t>delegate/reassign option when permitted.</w:t>
      </w:r>
    </w:p>
    <w:p>
      <w:r>
        <w:rPr>
          <w:rFonts w:ascii="Aptos" w:hAnsi="Aptos"/>
          <w:sz w:val="19"/>
        </w:rPr>
        <w:t>The SSE/assessor sees the control/objective trace and makes the determination.</w:t>
      </w:r>
    </w:p>
    <w:p>
      <w:pPr>
        <w:pStyle w:val="Heading2"/>
      </w:pPr>
      <w:r>
        <w:rPr>
          <w:rFonts w:ascii="Aptos" w:hAnsi="Aptos"/>
          <w:sz w:val="25"/>
        </w:rPr>
        <w:t>7.7 Journey G - Turn assessment gaps into action</w:t>
      </w:r>
    </w:p>
    <w:p>
      <w:r>
        <w:rPr>
          <w:rFonts w:ascii="Aptos" w:hAnsi="Aptos"/>
          <w:sz w:val="19"/>
        </w:rPr>
        <w:t xml:space="preserve">Other Than Satisfied determinations or cross-object assessor observations create Findings. Related findings can be grouped into one </w:t>
      </w:r>
      <w:r>
        <w:rPr>
          <w:rFonts w:ascii="Aptos" w:hAnsi="Aptos"/>
          <w:b/>
          <w:sz w:val="19"/>
        </w:rPr>
        <w:t>Remediation Initiative</w:t>
      </w:r>
      <w:r>
        <w:rPr>
          <w:rFonts w:ascii="Aptos" w:hAnsi="Aptos"/>
          <w:sz w:val="19"/>
        </w:rPr>
        <w:t xml:space="preserve"> when they share a root cause. Findings can inform Risk and, for applicable system/program authorization workflows, create or link to POA&amp;M items.</w:t>
      </w:r>
    </w:p>
    <w:p>
      <w:r>
        <w:rPr>
          <w:rFonts w:ascii="Aptos" w:hAnsi="Aptos"/>
          <w:sz w:val="19"/>
        </w:rPr>
        <w:t>Closure requires validation/reassessment appropriate to the affected objective; marking work complete does not silently restore assurance.</w:t>
      </w:r>
    </w:p>
    <w:p>
      <w:pPr>
        <w:pStyle w:val="Heading2"/>
      </w:pPr>
      <w:r>
        <w:rPr>
          <w:rFonts w:ascii="Aptos" w:hAnsi="Aptos"/>
          <w:sz w:val="25"/>
        </w:rPr>
        <w:t>7.8 Journey H - Promote learning upward</w:t>
      </w:r>
    </w:p>
    <w:p>
      <w:r>
        <w:rPr>
          <w:rFonts w:ascii="Aptos" w:hAnsi="Aptos"/>
          <w:sz w:val="19"/>
        </w:rPr>
        <w:t>A program may discover a policy that actually applies across a product division, a new shared asset, a better assessment task set, a reusable firmware-signing procedure, or an implementation that many products use.</w:t>
      </w:r>
    </w:p>
    <w:p>
      <w:r>
        <w:rPr>
          <w:rFonts w:ascii="Aptos" w:hAnsi="Aptos"/>
          <w:sz w:val="19"/>
        </w:rPr>
        <w:t>The creator can submit a Promotion Request. The system finds likely duplicates, identifies a destination scope/owner, validates applicability, and publishes a new canonical version if approved. Historical programs remain pinned to what they actually used.</w:t>
      </w:r>
    </w:p>
    <w:p>
      <w:pPr>
        <w:pStyle w:val="Heading1"/>
      </w:pPr>
      <w:r>
        <w:rPr>
          <w:rFonts w:ascii="Aptos" w:hAnsi="Aptos"/>
          <w:sz w:val="32"/>
        </w:rPr>
        <w:t>8. Product Scope and Boundaries</w:t>
      </w:r>
    </w:p>
    <w:p>
      <w:pPr>
        <w:pStyle w:val="Heading2"/>
      </w:pPr>
      <w:r>
        <w:rPr>
          <w:rFonts w:ascii="Aptos" w:hAnsi="Aptos"/>
          <w:sz w:val="25"/>
        </w:rPr>
        <w:t>8.1 In scope</w:t>
      </w:r>
    </w:p>
    <w:p>
      <w:pPr>
        <w:pStyle w:val="ListBullet"/>
        <w:spacing w:after="40"/>
      </w:pPr>
      <w:r>
        <w:rPr>
          <w:rFonts w:ascii="Aptos" w:hAnsi="Aptos"/>
          <w:sz w:val="18"/>
        </w:rPr>
        <w:t>Organization and organizational-unit modeling for assurance ownership and inheritance.</w:t>
      </w:r>
    </w:p>
    <w:p>
      <w:pPr>
        <w:pStyle w:val="ListBullet"/>
        <w:spacing w:after="40"/>
      </w:pPr>
      <w:r>
        <w:rPr>
          <w:rFonts w:ascii="Aptos" w:hAnsi="Aptos"/>
          <w:sz w:val="18"/>
        </w:rPr>
        <w:t>Assurance-relevant Asset Catalog with canonical identity, owner, version, source links, relationships, consumers, and assessment history.</w:t>
      </w:r>
    </w:p>
    <w:p>
      <w:pPr>
        <w:pStyle w:val="ListBullet"/>
        <w:spacing w:after="40"/>
      </w:pPr>
      <w:r>
        <w:rPr>
          <w:rFonts w:ascii="Aptos" w:hAnsi="Aptos"/>
          <w:sz w:val="18"/>
        </w:rPr>
        <w:t>Ad hoc, recurring, product/system, and program-linked assessments.</w:t>
      </w:r>
    </w:p>
    <w:p>
      <w:pPr>
        <w:pStyle w:val="ListBullet"/>
        <w:spacing w:after="40"/>
      </w:pPr>
      <w:r>
        <w:rPr>
          <w:rFonts w:ascii="Aptos" w:hAnsi="Aptos"/>
          <w:sz w:val="18"/>
        </w:rPr>
        <w:t>NIST SP 800-53 controls and SP 800-53A assessment-objective ingestion.</w:t>
      </w:r>
    </w:p>
    <w:p>
      <w:pPr>
        <w:pStyle w:val="ListBullet"/>
        <w:spacing w:after="40"/>
      </w:pPr>
      <w:r>
        <w:rPr>
          <w:rFonts w:ascii="Aptos" w:hAnsi="Aptos"/>
          <w:sz w:val="18"/>
        </w:rPr>
        <w:t>Organization-authored assessment templates mapped to canonical objectives.</w:t>
      </w:r>
    </w:p>
    <w:p>
      <w:pPr>
        <w:pStyle w:val="ListBullet"/>
        <w:spacing w:after="40"/>
      </w:pPr>
      <w:r>
        <w:rPr>
          <w:rFonts w:ascii="Aptos" w:hAnsi="Aptos"/>
          <w:sz w:val="18"/>
        </w:rPr>
        <w:t>Assignment packages, individual delegation, contributor responses, evidence, reviewer determinations, and findings.</w:t>
      </w:r>
    </w:p>
    <w:p>
      <w:pPr>
        <w:pStyle w:val="ListBullet"/>
        <w:spacing w:after="40"/>
      </w:pPr>
      <w:r>
        <w:rPr>
          <w:rFonts w:ascii="Aptos" w:hAnsi="Aptos"/>
          <w:sz w:val="18"/>
        </w:rPr>
        <w:t>Reusable Assurance Packages with provider/consumer responsibility and applicability semantics.</w:t>
      </w:r>
    </w:p>
    <w:p>
      <w:pPr>
        <w:pStyle w:val="ListBullet"/>
        <w:spacing w:after="40"/>
      </w:pPr>
      <w:r>
        <w:rPr>
          <w:rFonts w:ascii="Aptos" w:hAnsi="Aptos"/>
          <w:sz w:val="18"/>
        </w:rPr>
        <w:t>Product/system baselines, variants, incomplete-system discovery, and delta/impact analysis.</w:t>
      </w:r>
    </w:p>
    <w:p>
      <w:pPr>
        <w:pStyle w:val="ListBullet"/>
        <w:spacing w:after="40"/>
      </w:pPr>
      <w:r>
        <w:rPr>
          <w:rFonts w:ascii="Aptos" w:hAnsi="Aptos"/>
          <w:sz w:val="18"/>
        </w:rPr>
        <w:t>Organization/customer/internal requirements and scoped parameter values with provenance.</w:t>
      </w:r>
    </w:p>
    <w:p>
      <w:pPr>
        <w:pStyle w:val="ListBullet"/>
        <w:spacing w:after="40"/>
      </w:pPr>
      <w:r>
        <w:rPr>
          <w:rFonts w:ascii="Aptos" w:hAnsi="Aptos"/>
          <w:sz w:val="18"/>
        </w:rPr>
        <w:t>Findings, remediation initiatives, risk relationships, POA&amp;M, reassessment, and closure.</w:t>
      </w:r>
    </w:p>
    <w:p>
      <w:pPr>
        <w:pStyle w:val="ListBullet"/>
        <w:spacing w:after="40"/>
      </w:pPr>
      <w:r>
        <w:rPr>
          <w:rFonts w:ascii="Aptos" w:hAnsi="Aptos"/>
          <w:sz w:val="18"/>
        </w:rPr>
        <w:t>Bottom-up promotion and top-down reuse of validated knowledge.</w:t>
      </w:r>
    </w:p>
    <w:p>
      <w:pPr>
        <w:pStyle w:val="ListBullet"/>
        <w:spacing w:after="40"/>
      </w:pPr>
      <w:r>
        <w:rPr>
          <w:rFonts w:ascii="Aptos" w:hAnsi="Aptos"/>
          <w:sz w:val="18"/>
        </w:rPr>
        <w:t>Versioning, assessment snapshots, audit history, invalidation, and conflict resolution.</w:t>
      </w:r>
    </w:p>
    <w:p>
      <w:pPr>
        <w:pStyle w:val="ListBullet"/>
        <w:spacing w:after="40"/>
      </w:pPr>
      <w:r>
        <w:rPr>
          <w:rFonts w:ascii="Aptos" w:hAnsi="Aptos"/>
          <w:sz w:val="18"/>
        </w:rPr>
        <w:t>Standards-aligned import/export where OSCAL semantics fit the workflow.</w:t>
      </w:r>
    </w:p>
    <w:p>
      <w:pPr>
        <w:pStyle w:val="Heading2"/>
      </w:pPr>
      <w:r>
        <w:rPr>
          <w:rFonts w:ascii="Aptos" w:hAnsi="Aptos"/>
          <w:sz w:val="25"/>
        </w:rPr>
        <w:t>8.2 Out of scope / not initially system of record</w:t>
      </w:r>
    </w:p>
    <w:p>
      <w:pPr>
        <w:pStyle w:val="ListBullet"/>
        <w:spacing w:after="40"/>
      </w:pPr>
      <w:r>
        <w:rPr>
          <w:rFonts w:ascii="Aptos" w:hAnsi="Aptos"/>
          <w:sz w:val="18"/>
        </w:rPr>
        <w:t>Proprietary maturity model, fixed “discipline” taxonomy, radar chart, or generic security coverage score.</w:t>
      </w:r>
    </w:p>
    <w:p>
      <w:pPr>
        <w:pStyle w:val="ListBullet"/>
        <w:spacing w:after="40"/>
      </w:pPr>
      <w:r>
        <w:rPr>
          <w:rFonts w:ascii="Aptos" w:hAnsi="Aptos"/>
          <w:sz w:val="18"/>
        </w:rPr>
        <w:t>Full CMDB/enterprise asset-management replacement.</w:t>
      </w:r>
    </w:p>
    <w:p>
      <w:pPr>
        <w:pStyle w:val="ListBullet"/>
        <w:spacing w:after="40"/>
      </w:pPr>
      <w:r>
        <w:rPr>
          <w:rFonts w:ascii="Aptos" w:hAnsi="Aptos"/>
          <w:sz w:val="18"/>
        </w:rPr>
        <w:t>Full PLM/digital twin/source-code/CI-CD/ALM replacement.</w:t>
      </w:r>
    </w:p>
    <w:p>
      <w:pPr>
        <w:pStyle w:val="ListBullet"/>
        <w:spacing w:after="40"/>
      </w:pPr>
      <w:r>
        <w:rPr>
          <w:rFonts w:ascii="Aptos" w:hAnsi="Aptos"/>
          <w:sz w:val="18"/>
        </w:rPr>
        <w:t>Enterprise document repository; evidence may remain in authoritative external systems.</w:t>
      </w:r>
    </w:p>
    <w:p>
      <w:pPr>
        <w:pStyle w:val="ListBullet"/>
        <w:spacing w:after="40"/>
      </w:pPr>
      <w:r>
        <w:rPr>
          <w:rFonts w:ascii="Aptos" w:hAnsi="Aptos"/>
          <w:sz w:val="18"/>
        </w:rPr>
        <w:t>Generic project-management replacement; remediation initiatives are assurance-specific.</w:t>
      </w:r>
    </w:p>
    <w:p>
      <w:pPr>
        <w:pStyle w:val="ListBullet"/>
        <w:spacing w:after="40"/>
      </w:pPr>
      <w:r>
        <w:rPr>
          <w:rFonts w:ascii="Aptos" w:hAnsi="Aptos"/>
          <w:sz w:val="18"/>
        </w:rPr>
        <w:t>Fully autonomous control satisfaction, tailoring, risk acceptance, or promotion.</w:t>
      </w:r>
    </w:p>
    <w:p>
      <w:pPr>
        <w:pStyle w:val="ListBullet"/>
        <w:spacing w:after="40"/>
      </w:pPr>
      <w:r>
        <w:rPr>
          <w:rFonts w:ascii="Aptos" w:hAnsi="Aptos"/>
          <w:sz w:val="18"/>
        </w:rPr>
        <w:t>Forcing organization-level ad hoc assessments into system-centric OSCAL artifacts when the semantic fit is poor.</w:t>
      </w:r>
    </w:p>
    <w:p>
      <w:pPr>
        <w:pStyle w:val="Heading2"/>
      </w:pPr>
      <w:r>
        <w:rPr>
          <w:rFonts w:ascii="Aptos" w:hAnsi="Aptos"/>
          <w:sz w:val="25"/>
        </w:rPr>
        <w:t>8.3 Product boundary with source systems</w:t>
      </w:r>
    </w:p>
    <w:p>
      <w:r>
        <w:rPr>
          <w:rFonts w:ascii="Aptos" w:hAnsi="Aptos"/>
          <w:sz w:val="19"/>
        </w:rPr>
        <w:t xml:space="preserve">The platform owns </w:t>
      </w:r>
      <w:r>
        <w:rPr>
          <w:rFonts w:ascii="Aptos" w:hAnsi="Aptos"/>
          <w:b/>
          <w:sz w:val="19"/>
        </w:rPr>
        <w:t>assurance identity, relationships, provenance, assessment state, inheritance, and work</w:t>
      </w:r>
      <w:r>
        <w:rPr>
          <w:rFonts w:ascii="Aptos" w:hAnsi="Aptos"/>
          <w:sz w:val="19"/>
        </w:rPr>
        <w:t>. External systems remain authoritative for data they already govern well: people/directory, detailed engineering configuration, code, PLM, source documents, test execution, or ticket execution.</w:t>
      </w:r>
    </w:p>
    <w:p>
      <w:r>
        <w:rPr>
          <w:rFonts w:ascii="Aptos" w:hAnsi="Aptos"/>
          <w:sz w:val="19"/>
        </w:rPr>
        <w:t>When an external authoritative source conflicts with a locally recorded value, the platform creates a Source Conflict condition; it does not silently choose one.</w:t>
      </w:r>
    </w:p>
    <w:p>
      <w:pPr>
        <w:pStyle w:val="Heading1"/>
      </w:pPr>
      <w:r>
        <w:rPr>
          <w:rFonts w:ascii="Aptos" w:hAnsi="Aptos"/>
          <w:sz w:val="32"/>
        </w:rPr>
        <w:t>9. MVP and Release Strategy</w:t>
      </w:r>
    </w:p>
    <w:p>
      <w:pPr>
        <w:pStyle w:val="Heading2"/>
      </w:pPr>
      <w:r>
        <w:rPr>
          <w:rFonts w:ascii="Aptos" w:hAnsi="Aptos"/>
          <w:sz w:val="25"/>
        </w:rPr>
        <w:t>9.1 MVP hypothesis</w:t>
      </w:r>
    </w:p>
    <w:p>
      <w:pPr>
        <w:pStyle w:val="Callout"/>
        <w:shd w:fill="EEF4F8"/>
        <w:pBdr>
          <w:left w:val="single" w:sz="18" w:space="8" w:color="2F75B5"/>
        </w:pBdr>
      </w:pPr>
      <w:r>
        <w:rPr>
          <w:rFonts w:ascii="Aptos" w:hAnsi="Aptos"/>
          <w:sz w:val="18"/>
        </w:rPr>
        <w:t>Stage 1 (R0-R2): if one program can generate a defensible SCTM from a shared catalog and controls graph - with provenance, explicit Unknowns, and customer tailoring - the platform has replaced the handcrafted workbook. Stage 2 (R3-R4): if one organizational unit can then run a real delegated 800-53A-based assessment, publish reusable assurance for a shared service, and a consuming program inherits that work while generating only residual/changed tasks and findings, the platform has proven the compounding architecture.</w:t>
      </w:r>
    </w:p>
    <w:p>
      <w:pPr>
        <w:pStyle w:val="Heading2"/>
      </w:pPr>
      <w:r>
        <w:rPr>
          <w:rFonts w:ascii="Aptos" w:hAnsi="Aptos"/>
          <w:sz w:val="25"/>
        </w:rPr>
        <w:t>9.2 MVP capabilities</w:t>
      </w:r>
    </w:p>
    <w:p>
      <w:r>
        <w:rPr>
          <w:rFonts w:ascii="Aptos" w:hAnsi="Aptos"/>
          <w:sz w:val="19"/>
        </w:rPr>
        <w:t>The first builds prove the foundation first, then the loop, in release order:</w:t>
      </w:r>
    </w:p>
    <w:p>
      <w:pPr>
        <w:spacing w:after="40"/>
        <w:ind w:left="202" w:hanging="202"/>
      </w:pPr>
      <w:r>
        <w:rPr>
          <w:rFonts w:ascii="Aptos" w:hAnsi="Aptos"/>
          <w:sz w:val="18"/>
        </w:rPr>
        <w:t>1. Catalog (R0): organization/unit hierarchy and ownership.</w:t>
      </w:r>
    </w:p>
    <w:p>
      <w:pPr>
        <w:spacing w:after="40"/>
        <w:ind w:left="202" w:hanging="202"/>
      </w:pPr>
      <w:r>
        <w:rPr>
          <w:rFonts w:ascii="Aptos" w:hAnsi="Aptos"/>
          <w:sz w:val="18"/>
        </w:rPr>
        <w:t>2. Catalog (R0): Asset Catalog with stable identity and a local-to-canonical promotion path.</w:t>
      </w:r>
    </w:p>
    <w:p>
      <w:pPr>
        <w:spacing w:after="40"/>
        <w:ind w:left="202" w:hanging="202"/>
      </w:pPr>
      <w:r>
        <w:rPr>
          <w:rFonts w:ascii="Aptos" w:hAnsi="Aptos"/>
          <w:sz w:val="18"/>
        </w:rPr>
        <w:t>3. Controls (R1): NIST 800-53 + 800-53A objective import/versioning (OSCAL-aligned).</w:t>
      </w:r>
    </w:p>
    <w:p>
      <w:pPr>
        <w:spacing w:after="40"/>
        <w:ind w:left="202" w:hanging="202"/>
      </w:pPr>
      <w:r>
        <w:rPr>
          <w:rFonts w:ascii="Aptos" w:hAnsi="Aptos"/>
          <w:sz w:val="18"/>
        </w:rPr>
        <w:t>4. Controls (R1): organization profile/requirements, parameters, and provenance.</w:t>
      </w:r>
    </w:p>
    <w:p>
      <w:pPr>
        <w:spacing w:after="40"/>
        <w:ind w:left="202" w:hanging="202"/>
      </w:pPr>
      <w:r>
        <w:rPr>
          <w:rFonts w:ascii="Aptos" w:hAnsi="Aptos"/>
          <w:sz w:val="18"/>
        </w:rPr>
        <w:t>5. Controls (R1): program/customer requirement overrides.</w:t>
      </w:r>
    </w:p>
    <w:p>
      <w:pPr>
        <w:spacing w:after="40"/>
        <w:ind w:left="202" w:hanging="202"/>
      </w:pPr>
      <w:r>
        <w:rPr>
          <w:rFonts w:ascii="Aptos" w:hAnsi="Aptos"/>
          <w:sz w:val="18"/>
        </w:rPr>
        <w:t>6. SCTM (R2): basic product/system/program creation, including incomplete systems.</w:t>
      </w:r>
    </w:p>
    <w:p>
      <w:pPr>
        <w:spacing w:after="40"/>
        <w:ind w:left="202" w:hanging="202"/>
      </w:pPr>
      <w:r>
        <w:rPr>
          <w:rFonts w:ascii="Aptos" w:hAnsi="Aptos"/>
          <w:sz w:val="18"/>
        </w:rPr>
        <w:t>7. SCTM (R2): obligation allocation, implementation assertions, and explicit Unknowns.</w:t>
      </w:r>
    </w:p>
    <w:p>
      <w:pPr>
        <w:spacing w:after="40"/>
        <w:ind w:left="202" w:hanging="202"/>
      </w:pPr>
      <w:r>
        <w:rPr>
          <w:rFonts w:ascii="Aptos" w:hAnsi="Aptos"/>
          <w:sz w:val="18"/>
        </w:rPr>
        <w:t>8. SCTM (R2): SCTM generation/export with “Why is this here?” provenance.</w:t>
      </w:r>
    </w:p>
    <w:p>
      <w:pPr>
        <w:spacing w:after="40"/>
        <w:ind w:left="202" w:hanging="202"/>
      </w:pPr>
      <w:r>
        <w:rPr>
          <w:rFonts w:ascii="Aptos" w:hAnsi="Aptos"/>
          <w:sz w:val="18"/>
        </w:rPr>
        <w:t>9. Assessments (R3): assessment template authoring for pilot objectives.</w:t>
      </w:r>
    </w:p>
    <w:p>
      <w:pPr>
        <w:spacing w:after="40"/>
        <w:ind w:left="202" w:hanging="202"/>
      </w:pPr>
      <w:r>
        <w:rPr>
          <w:rFonts w:ascii="Aptos" w:hAnsi="Aptos"/>
          <w:sz w:val="18"/>
        </w:rPr>
        <w:t>10. Assessments (R3): package assignment, task delegation, and the contributor response/evidence experience.</w:t>
      </w:r>
    </w:p>
    <w:p>
      <w:pPr>
        <w:spacing w:after="40"/>
        <w:ind w:left="202" w:hanging="202"/>
      </w:pPr>
      <w:r>
        <w:rPr>
          <w:rFonts w:ascii="Aptos" w:hAnsi="Aptos"/>
          <w:sz w:val="18"/>
        </w:rPr>
        <w:t>11. Assessments (R3): reviewer determination, findings, work queues, and audit history.</w:t>
      </w:r>
    </w:p>
    <w:p>
      <w:pPr>
        <w:spacing w:after="40"/>
        <w:ind w:left="202" w:hanging="202"/>
      </w:pPr>
      <w:r>
        <w:rPr>
          <w:rFonts w:ascii="Aptos" w:hAnsi="Aptos"/>
          <w:sz w:val="18"/>
        </w:rPr>
        <w:t>12. Inheritance (R4): assessment planning with inheritance resolution before task generation.</w:t>
      </w:r>
    </w:p>
    <w:p>
      <w:pPr>
        <w:spacing w:after="40"/>
        <w:ind w:left="202" w:hanging="202"/>
      </w:pPr>
      <w:r>
        <w:rPr>
          <w:rFonts w:ascii="Aptos" w:hAnsi="Aptos"/>
          <w:sz w:val="18"/>
        </w:rPr>
        <w:t>13. Inheritance (R4): Reusable Assurance Package publication/consumption for one shared service.</w:t>
      </w:r>
    </w:p>
    <w:p>
      <w:pPr>
        <w:spacing w:after="40"/>
        <w:ind w:left="202" w:hanging="202"/>
      </w:pPr>
      <w:r>
        <w:rPr>
          <w:rFonts w:ascii="Aptos" w:hAnsi="Aptos"/>
          <w:sz w:val="18"/>
        </w:rPr>
        <w:t>14. Inheritance (R4): basic promotion of validated local knowledge to canonical scope.</w:t>
      </w:r>
    </w:p>
    <w:p>
      <w:pPr>
        <w:pStyle w:val="Heading2"/>
      </w:pPr>
      <w:r>
        <w:rPr>
          <w:rFonts w:ascii="Aptos" w:hAnsi="Aptos"/>
          <w:sz w:val="25"/>
        </w:rPr>
        <w:t>9.3 Explicit MVP non-goals</w:t>
      </w:r>
    </w:p>
    <w:p>
      <w:pPr>
        <w:pStyle w:val="ListBullet"/>
        <w:spacing w:after="40"/>
      </w:pPr>
      <w:r>
        <w:rPr>
          <w:rFonts w:ascii="Aptos" w:hAnsi="Aptos"/>
          <w:sz w:val="18"/>
        </w:rPr>
        <w:t>Complete enterprise asset inventory.</w:t>
      </w:r>
    </w:p>
    <w:p>
      <w:pPr>
        <w:pStyle w:val="ListBullet"/>
        <w:spacing w:after="40"/>
      </w:pPr>
      <w:r>
        <w:rPr>
          <w:rFonts w:ascii="Aptos" w:hAnsi="Aptos"/>
          <w:sz w:val="18"/>
        </w:rPr>
        <w:t>Complete product portfolio/model.</w:t>
      </w:r>
    </w:p>
    <w:p>
      <w:pPr>
        <w:pStyle w:val="ListBullet"/>
        <w:spacing w:after="40"/>
      </w:pPr>
      <w:r>
        <w:rPr>
          <w:rFonts w:ascii="Aptos" w:hAnsi="Aptos"/>
          <w:sz w:val="18"/>
        </w:rPr>
        <w:t>Full automated OSCAL export suite.</w:t>
      </w:r>
    </w:p>
    <w:p>
      <w:pPr>
        <w:pStyle w:val="ListBullet"/>
        <w:spacing w:after="40"/>
      </w:pPr>
      <w:r>
        <w:rPr>
          <w:rFonts w:ascii="Aptos" w:hAnsi="Aptos"/>
          <w:sz w:val="18"/>
        </w:rPr>
        <w:t>Advanced risk scoring.</w:t>
      </w:r>
    </w:p>
    <w:p>
      <w:pPr>
        <w:pStyle w:val="ListBullet"/>
        <w:spacing w:after="40"/>
      </w:pPr>
      <w:r>
        <w:rPr>
          <w:rFonts w:ascii="Aptos" w:hAnsi="Aptos"/>
          <w:sz w:val="18"/>
        </w:rPr>
        <w:t>Continuous machine evidence.</w:t>
      </w:r>
    </w:p>
    <w:p>
      <w:pPr>
        <w:pStyle w:val="ListBullet"/>
        <w:spacing w:after="40"/>
      </w:pPr>
      <w:r>
        <w:rPr>
          <w:rFonts w:ascii="Aptos" w:hAnsi="Aptos"/>
          <w:sz w:val="18"/>
        </w:rPr>
        <w:t>Automatic customer-requirement parsing.</w:t>
      </w:r>
    </w:p>
    <w:p>
      <w:pPr>
        <w:pStyle w:val="ListBullet"/>
        <w:spacing w:after="40"/>
      </w:pPr>
      <w:r>
        <w:rPr>
          <w:rFonts w:ascii="Aptos" w:hAnsi="Aptos"/>
          <w:sz w:val="18"/>
        </w:rPr>
        <w:t>Full blast-radius engine for every engineering source.</w:t>
      </w:r>
    </w:p>
    <w:p>
      <w:pPr>
        <w:pStyle w:val="ListBullet"/>
        <w:spacing w:after="40"/>
      </w:pPr>
      <w:r>
        <w:rPr>
          <w:rFonts w:ascii="Aptos" w:hAnsi="Aptos"/>
          <w:sz w:val="18"/>
        </w:rPr>
        <w:t>General project management.</w:t>
      </w:r>
    </w:p>
    <w:p>
      <w:pPr>
        <w:pStyle w:val="ListBullet"/>
        <w:spacing w:after="40"/>
      </w:pPr>
      <w:r>
        <w:rPr>
          <w:rFonts w:ascii="Aptos" w:hAnsi="Aptos"/>
          <w:sz w:val="18"/>
        </w:rPr>
        <w:t>AI making assurance determinations.</w:t>
      </w:r>
    </w:p>
    <w:p>
      <w:pPr>
        <w:pStyle w:val="Heading2"/>
      </w:pPr>
      <w:r>
        <w:rPr>
          <w:rFonts w:ascii="Aptos" w:hAnsi="Aptos"/>
          <w:sz w:val="25"/>
        </w:rPr>
        <w:t>9.4 Delivery sequence</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2370"/>
            <w:vAlign w:val="top"/>
            <w:tcMar>
              <w:top w:w="70" w:type="dxa"/>
              <w:start w:w="85" w:type="dxa"/>
              <w:bottom w:w="70" w:type="dxa"/>
              <w:end w:w="85" w:type="dxa"/>
            </w:tcMar>
            <w:shd w:fill="D9EAF7"/>
          </w:tcPr>
          <w:p>
            <w:pPr>
              <w:pStyle w:val="Compact"/>
            </w:pPr>
            <w:r>
              <w:rPr>
                <w:rFonts w:ascii="Aptos" w:hAnsi="Aptos"/>
                <w:b/>
                <w:color w:val="17365D"/>
                <w:sz w:val="16"/>
              </w:rPr>
              <w:t>Release</w:t>
            </w:r>
          </w:p>
        </w:tc>
        <w:tc>
          <w:tcPr>
            <w:tcW w:type="dxa" w:w="3675"/>
            <w:vAlign w:val="top"/>
            <w:tcMar>
              <w:top w:w="70" w:type="dxa"/>
              <w:start w:w="85" w:type="dxa"/>
              <w:bottom w:w="70" w:type="dxa"/>
              <w:end w:w="85" w:type="dxa"/>
            </w:tcMar>
            <w:shd w:fill="D9EAF7"/>
          </w:tcPr>
          <w:p>
            <w:pPr>
              <w:pStyle w:val="Compact"/>
            </w:pPr>
            <w:r>
              <w:rPr>
                <w:rFonts w:ascii="Aptos" w:hAnsi="Aptos"/>
                <w:b/>
                <w:color w:val="17365D"/>
                <w:sz w:val="16"/>
              </w:rPr>
              <w:t>Scope</w:t>
            </w:r>
          </w:p>
        </w:tc>
        <w:tc>
          <w:tcPr>
            <w:tcW w:type="dxa" w:w="3675"/>
            <w:vAlign w:val="top"/>
            <w:tcMar>
              <w:top w:w="70" w:type="dxa"/>
              <w:start w:w="85" w:type="dxa"/>
              <w:bottom w:w="70" w:type="dxa"/>
              <w:end w:w="85" w:type="dxa"/>
            </w:tcMar>
            <w:shd w:fill="D9EAF7"/>
          </w:tcPr>
          <w:p>
            <w:pPr>
              <w:pStyle w:val="Compact"/>
            </w:pPr>
            <w:r>
              <w:rPr>
                <w:rFonts w:ascii="Aptos" w:hAnsi="Aptos"/>
                <w:b/>
                <w:color w:val="17365D"/>
                <w:sz w:val="16"/>
              </w:rPr>
              <w:t>Exit outcome</w:t>
            </w:r>
          </w:p>
        </w:tc>
      </w:tr>
      <w:tr>
        <w:tc>
          <w:tcPr>
            <w:tcW w:type="dxa" w:w="2370"/>
            <w:vAlign w:val="top"/>
            <w:tcMar>
              <w:top w:w="70" w:type="dxa"/>
              <w:start w:w="85" w:type="dxa"/>
              <w:bottom w:w="70" w:type="dxa"/>
              <w:end w:w="85" w:type="dxa"/>
            </w:tcMar>
          </w:tcPr>
          <w:p>
            <w:pPr>
              <w:pStyle w:val="Compact"/>
            </w:pPr>
            <w:r>
              <w:rPr>
                <w:rFonts w:ascii="Aptos" w:hAnsi="Aptos"/>
                <w:b/>
                <w:sz w:val="16"/>
              </w:rPr>
              <w:t>R0 - Catalog</w:t>
            </w:r>
          </w:p>
        </w:tc>
        <w:tc>
          <w:tcPr>
            <w:tcW w:type="dxa" w:w="3675"/>
            <w:vAlign w:val="top"/>
            <w:tcMar>
              <w:top w:w="70" w:type="dxa"/>
              <w:start w:w="85" w:type="dxa"/>
              <w:bottom w:w="70" w:type="dxa"/>
              <w:end w:w="85" w:type="dxa"/>
            </w:tcMar>
          </w:tcPr>
          <w:p>
            <w:pPr>
              <w:pStyle w:val="Compact"/>
            </w:pPr>
            <w:r>
              <w:rPr>
                <w:rFonts w:ascii="Aptos" w:hAnsi="Aptos"/>
                <w:sz w:val="16"/>
              </w:rPr>
              <w:t>Organization/unit hierarchy and ownership; Asset Catalog with stable identity, typing, relationships, and local-to-canonical lifecycle; versioning, audit, and permission spine; domain schema for later releases (assessment and assurance-package objects).</w:t>
            </w:r>
          </w:p>
        </w:tc>
        <w:tc>
          <w:tcPr>
            <w:tcW w:type="dxa" w:w="3675"/>
            <w:vAlign w:val="top"/>
            <w:tcMar>
              <w:top w:w="70" w:type="dxa"/>
              <w:start w:w="85" w:type="dxa"/>
              <w:bottom w:w="70" w:type="dxa"/>
              <w:end w:w="85" w:type="dxa"/>
            </w:tcMar>
          </w:tcPr>
          <w:p>
            <w:pPr>
              <w:pStyle w:val="Compact"/>
            </w:pPr>
            <w:r>
              <w:rPr>
                <w:rFonts w:ascii="Aptos" w:hAnsi="Aptos"/>
                <w:sz w:val="16"/>
              </w:rPr>
              <w:t>Teams can model who owns what and what exists - incrementally, with one graph serving organization and product/system scopes without copies.</w:t>
            </w:r>
          </w:p>
        </w:tc>
      </w:tr>
      <w:tr>
        <w:tc>
          <w:tcPr>
            <w:tcW w:type="dxa" w:w="2370"/>
            <w:vAlign w:val="top"/>
            <w:tcMar>
              <w:top w:w="70" w:type="dxa"/>
              <w:start w:w="85" w:type="dxa"/>
              <w:bottom w:w="70" w:type="dxa"/>
              <w:end w:w="85" w:type="dxa"/>
            </w:tcMar>
            <w:shd w:fill="FAFCFD"/>
          </w:tcPr>
          <w:p>
            <w:pPr>
              <w:pStyle w:val="Compact"/>
            </w:pPr>
            <w:r>
              <w:rPr>
                <w:rFonts w:ascii="Aptos" w:hAnsi="Aptos"/>
                <w:b/>
                <w:sz w:val="16"/>
              </w:rPr>
              <w:t>R1 - Controls (OSCAL)</w:t>
            </w:r>
          </w:p>
        </w:tc>
        <w:tc>
          <w:tcPr>
            <w:tcW w:type="dxa" w:w="3675"/>
            <w:vAlign w:val="top"/>
            <w:tcMar>
              <w:top w:w="70" w:type="dxa"/>
              <w:start w:w="85" w:type="dxa"/>
              <w:bottom w:w="70" w:type="dxa"/>
              <w:end w:w="85" w:type="dxa"/>
            </w:tcMar>
            <w:shd w:fill="FAFCFD"/>
          </w:tcPr>
          <w:p>
            <w:pPr>
              <w:pStyle w:val="Compact"/>
            </w:pPr>
            <w:r>
              <w:rPr>
                <w:rFonts w:ascii="Aptos" w:hAnsi="Aptos"/>
                <w:sz w:val="16"/>
              </w:rPr>
              <w:t>NIST SP 800-53 catalog and SP 800-53A objective ingestion (OSCAL-aligned); organization profiles/baselines, tailoring, and parameters; customer/internal requirements as first-class objects; CNSSI 1253 selection inputs; full provenance.</w:t>
            </w:r>
          </w:p>
        </w:tc>
        <w:tc>
          <w:tcPr>
            <w:tcW w:type="dxa" w:w="3675"/>
            <w:vAlign w:val="top"/>
            <w:tcMar>
              <w:top w:w="70" w:type="dxa"/>
              <w:start w:w="85" w:type="dxa"/>
              <w:bottom w:w="70" w:type="dxa"/>
              <w:end w:w="85" w:type="dxa"/>
            </w:tcMar>
            <w:shd w:fill="FAFCFD"/>
          </w:tcPr>
          <w:p>
            <w:pPr>
              <w:pStyle w:val="Compact"/>
            </w:pPr>
            <w:r>
              <w:rPr>
                <w:rFonts w:ascii="Aptos" w:hAnsi="Aptos"/>
                <w:sz w:val="16"/>
              </w:rPr>
              <w:t>Effective obligations are resolvable for any scope, with every value traceable to its source.</w:t>
            </w:r>
          </w:p>
        </w:tc>
      </w:tr>
      <w:tr>
        <w:tc>
          <w:tcPr>
            <w:tcW w:type="dxa" w:w="2370"/>
            <w:vAlign w:val="top"/>
            <w:tcMar>
              <w:top w:w="70" w:type="dxa"/>
              <w:start w:w="85" w:type="dxa"/>
              <w:bottom w:w="70" w:type="dxa"/>
              <w:end w:w="85" w:type="dxa"/>
            </w:tcMar>
          </w:tcPr>
          <w:p>
            <w:pPr>
              <w:pStyle w:val="Compact"/>
            </w:pPr>
            <w:r>
              <w:rPr>
                <w:rFonts w:ascii="Aptos" w:hAnsi="Aptos"/>
                <w:b/>
                <w:sz w:val="16"/>
              </w:rPr>
              <w:t>R2 - SCTM</w:t>
            </w:r>
          </w:p>
        </w:tc>
        <w:tc>
          <w:tcPr>
            <w:tcW w:type="dxa" w:w="3675"/>
            <w:vAlign w:val="top"/>
            <w:tcMar>
              <w:top w:w="70" w:type="dxa"/>
              <w:start w:w="85" w:type="dxa"/>
              <w:bottom w:w="70" w:type="dxa"/>
              <w:end w:w="85" w:type="dxa"/>
            </w:tcMar>
          </w:tcPr>
          <w:p>
            <w:pPr>
              <w:pStyle w:val="Compact"/>
            </w:pPr>
            <w:r>
              <w:rPr>
                <w:rFonts w:ascii="Aptos" w:hAnsi="Aptos"/>
                <w:sz w:val="16"/>
              </w:rPr>
              <w:t>Programs, systems, and product baselines sufficient to allocate obligations; implementation assertions; explicit Unknowns; customer overrides; SCTM generation and export from the live graph.</w:t>
            </w:r>
          </w:p>
        </w:tc>
        <w:tc>
          <w:tcPr>
            <w:tcW w:type="dxa" w:w="3675"/>
            <w:vAlign w:val="top"/>
            <w:tcMar>
              <w:top w:w="70" w:type="dxa"/>
              <w:start w:w="85" w:type="dxa"/>
              <w:bottom w:w="70" w:type="dxa"/>
              <w:end w:w="85" w:type="dxa"/>
            </w:tcMar>
          </w:tcPr>
          <w:p>
            <w:pPr>
              <w:pStyle w:val="Compact"/>
            </w:pPr>
            <w:r>
              <w:rPr>
                <w:rFonts w:ascii="Aptos" w:hAnsi="Aptos"/>
                <w:sz w:val="16"/>
              </w:rPr>
              <w:t>A program builds and maintains its SCTM from structured, provenance-backed data instead of a handcrafted spreadsheet.</w:t>
            </w:r>
          </w:p>
        </w:tc>
      </w:tr>
      <w:tr>
        <w:tc>
          <w:tcPr>
            <w:tcW w:type="dxa" w:w="2370"/>
            <w:vAlign w:val="top"/>
            <w:tcMar>
              <w:top w:w="70" w:type="dxa"/>
              <w:start w:w="85" w:type="dxa"/>
              <w:bottom w:w="70" w:type="dxa"/>
              <w:end w:w="85" w:type="dxa"/>
            </w:tcMar>
            <w:shd w:fill="FAFCFD"/>
          </w:tcPr>
          <w:p>
            <w:pPr>
              <w:pStyle w:val="Compact"/>
            </w:pPr>
            <w:r>
              <w:rPr>
                <w:rFonts w:ascii="Aptos" w:hAnsi="Aptos"/>
                <w:b/>
                <w:sz w:val="16"/>
              </w:rPr>
              <w:t>R3 - Assessments</w:t>
            </w:r>
          </w:p>
        </w:tc>
        <w:tc>
          <w:tcPr>
            <w:tcW w:type="dxa" w:w="3675"/>
            <w:vAlign w:val="top"/>
            <w:tcMar>
              <w:top w:w="70" w:type="dxa"/>
              <w:start w:w="85" w:type="dxa"/>
              <w:bottom w:w="70" w:type="dxa"/>
              <w:end w:w="85" w:type="dxa"/>
            </w:tcMar>
            <w:shd w:fill="FAFCFD"/>
          </w:tcPr>
          <w:p>
            <w:pPr>
              <w:pStyle w:val="Compact"/>
            </w:pPr>
            <w:r>
              <w:rPr>
                <w:rFonts w:ascii="Aptos" w:hAnsi="Aptos"/>
                <w:sz w:val="16"/>
              </w:rPr>
              <w:t>800-53A-based assessment campaigns; organization templates; assignment packages and delegation; contributor responses/evidence; reviewer determinations; findings; assessment snapshots.</w:t>
            </w:r>
          </w:p>
        </w:tc>
        <w:tc>
          <w:tcPr>
            <w:tcW w:type="dxa" w:w="3675"/>
            <w:vAlign w:val="top"/>
            <w:tcMar>
              <w:top w:w="70" w:type="dxa"/>
              <w:start w:w="85" w:type="dxa"/>
              <w:bottom w:w="70" w:type="dxa"/>
              <w:end w:w="85" w:type="dxa"/>
            </w:tcMar>
            <w:shd w:fill="FAFCFD"/>
          </w:tcPr>
          <w:p>
            <w:pPr>
              <w:pStyle w:val="Compact"/>
            </w:pPr>
            <w:r>
              <w:rPr>
                <w:rFonts w:ascii="Aptos" w:hAnsi="Aptos"/>
                <w:sz w:val="16"/>
              </w:rPr>
              <w:t>Delegated assessment work populates the SCTM with defensible determinations.</w:t>
            </w:r>
          </w:p>
        </w:tc>
      </w:tr>
      <w:tr>
        <w:tc>
          <w:tcPr>
            <w:tcW w:type="dxa" w:w="2370"/>
            <w:vAlign w:val="top"/>
            <w:tcMar>
              <w:top w:w="70" w:type="dxa"/>
              <w:start w:w="85" w:type="dxa"/>
              <w:bottom w:w="70" w:type="dxa"/>
              <w:end w:w="85" w:type="dxa"/>
            </w:tcMar>
          </w:tcPr>
          <w:p>
            <w:pPr>
              <w:pStyle w:val="Compact"/>
            </w:pPr>
            <w:r>
              <w:rPr>
                <w:rFonts w:ascii="Aptos" w:hAnsi="Aptos"/>
                <w:b/>
                <w:sz w:val="16"/>
              </w:rPr>
              <w:t>R4 - Inheritance and remediation</w:t>
            </w:r>
          </w:p>
        </w:tc>
        <w:tc>
          <w:tcPr>
            <w:tcW w:type="dxa" w:w="3675"/>
            <w:vAlign w:val="top"/>
            <w:tcMar>
              <w:top w:w="70" w:type="dxa"/>
              <w:start w:w="85" w:type="dxa"/>
              <w:bottom w:w="70" w:type="dxa"/>
              <w:end w:w="85" w:type="dxa"/>
            </w:tcMar>
          </w:tcPr>
          <w:p>
            <w:pPr>
              <w:pStyle w:val="Compact"/>
            </w:pPr>
            <w:r>
              <w:rPr>
                <w:rFonts w:ascii="Aptos" w:hAnsi="Aptos"/>
                <w:sz w:val="16"/>
              </w:rPr>
              <w:t>Reusable Assurance Packages, applicability rules, and inheritance resolution before task generation; residual responsibilities; delta/impact and invalidation; basic promotion; remediation initiatives, risk, and POA&amp;M.</w:t>
            </w:r>
          </w:p>
        </w:tc>
        <w:tc>
          <w:tcPr>
            <w:tcW w:type="dxa" w:w="3675"/>
            <w:vAlign w:val="top"/>
            <w:tcMar>
              <w:top w:w="70" w:type="dxa"/>
              <w:start w:w="85" w:type="dxa"/>
              <w:bottom w:w="70" w:type="dxa"/>
              <w:end w:w="85" w:type="dxa"/>
            </w:tcMar>
          </w:tcPr>
          <w:p>
            <w:pPr>
              <w:pStyle w:val="Compact"/>
            </w:pPr>
            <w:r>
              <w:rPr>
                <w:rFonts w:ascii="Aptos" w:hAnsi="Aptos"/>
                <w:sz w:val="16"/>
              </w:rPr>
              <w:t>A second program starts from inherited assurance and generates only residual/changed work; gaps flow into governed remediation.</w:t>
            </w:r>
          </w:p>
        </w:tc>
      </w:tr>
      <w:tr>
        <w:tc>
          <w:tcPr>
            <w:tcW w:type="dxa" w:w="2370"/>
            <w:vAlign w:val="top"/>
            <w:tcMar>
              <w:top w:w="70" w:type="dxa"/>
              <w:start w:w="85" w:type="dxa"/>
              <w:bottom w:w="70" w:type="dxa"/>
              <w:end w:w="85" w:type="dxa"/>
            </w:tcMar>
          </w:tcPr>
          <w:p>
            <w:pPr>
              <w:pStyle w:val="Compact"/>
            </w:pPr>
            <w:r>
              <w:rPr>
                <w:rFonts w:ascii="Aptos" w:hAnsi="Aptos"/>
                <w:b/>
                <w:sz w:val="16"/>
              </w:rPr>
              <w:t>R5 - Learning organization and interoperability</w:t>
            </w:r>
          </w:p>
        </w:tc>
        <w:tc>
          <w:tcPr>
            <w:tcW w:type="dxa" w:w="3675"/>
            <w:vAlign w:val="top"/>
            <w:tcMar>
              <w:top w:w="70" w:type="dxa"/>
              <w:start w:w="85" w:type="dxa"/>
              <w:bottom w:w="70" w:type="dxa"/>
              <w:end w:w="85" w:type="dxa"/>
            </w:tcMar>
          </w:tcPr>
          <w:p>
            <w:pPr>
              <w:pStyle w:val="Compact"/>
            </w:pPr>
            <w:r>
              <w:rPr>
                <w:rFonts w:ascii="Aptos" w:hAnsi="Aptos"/>
                <w:sz w:val="16"/>
              </w:rPr>
              <w:t>Advanced promotion/deduplication; blast-radius analysis; recurring assessment; machine evidence; source-system integrations; expanded OSCAL interoperability (AP/AR/POA&amp;M); assisted mapping/routing.</w:t>
            </w:r>
          </w:p>
        </w:tc>
        <w:tc>
          <w:tcPr>
            <w:tcW w:type="dxa" w:w="3675"/>
            <w:vAlign w:val="top"/>
            <w:tcMar>
              <w:top w:w="70" w:type="dxa"/>
              <w:start w:w="85" w:type="dxa"/>
              <w:bottom w:w="70" w:type="dxa"/>
              <w:end w:w="85" w:type="dxa"/>
            </w:tcMar>
          </w:tcPr>
          <w:p>
            <w:pPr>
              <w:pStyle w:val="Compact"/>
            </w:pPr>
            <w:r>
              <w:rPr>
                <w:rFonts w:ascii="Aptos" w:hAnsi="Aptos"/>
                <w:sz w:val="16"/>
              </w:rPr>
              <w:t>Repeated work measurably compounds organizational assurance knowledge.</w:t>
            </w:r>
          </w:p>
        </w:tc>
      </w:tr>
    </w:tbl>
    <w:p>
      <w:pPr>
        <w:spacing w:after="0"/>
      </w:pPr>
    </w:p>
    <w:p>
      <w:pPr>
        <w:pStyle w:val="Heading2"/>
      </w:pPr>
      <w:r>
        <w:rPr>
          <w:rFonts w:ascii="Aptos" w:hAnsi="Aptos"/>
          <w:sz w:val="25"/>
        </w:rPr>
        <w:t>9.5 First pilot</w:t>
      </w:r>
    </w:p>
    <w:p>
      <w:r>
        <w:rPr>
          <w:rFonts w:ascii="Aptos" w:hAnsi="Aptos"/>
          <w:sz w:val="19"/>
        </w:rPr>
        <w:t>Start with one active product/program: build the catalog entries it actually needs, import 800-53/800-53A, establish the effective profile including customer requirements, and generate its SCTM. In parallel, identify one shared service with high reuse that the program consumes (for example IAM, PKI/key management, firmware signing, vulnerability management).</w:t>
      </w:r>
    </w:p>
    <w:p>
      <w:r>
        <w:rPr>
          <w:rFonts w:ascii="Aptos" w:hAnsi="Aptos"/>
          <w:sz w:val="19"/>
        </w:rPr>
        <w:t>When the assessment engine lands (R3), run the shared-service assessment. Then measure what program work disappears through valid inheritance (R4), what residual responsibilities remain, and what new knowledge is promoted upward.</w:t>
      </w:r>
    </w:p>
    <w:p>
      <w:pPr>
        <w:pStyle w:val="Heading1"/>
      </w:pPr>
      <w:r>
        <w:rPr>
          <w:rFonts w:ascii="Aptos" w:hAnsi="Aptos"/>
          <w:sz w:val="32"/>
        </w:rPr>
        <w:t>10. Outcomes and Metrics</w:t>
      </w:r>
    </w:p>
    <w:p>
      <w:r>
        <w:rPr>
          <w:rFonts w:ascii="Aptos" w:hAnsi="Aptos"/>
          <w:sz w:val="19"/>
        </w:rPr>
        <w:t>The product measures operating leverage and assurance state, not an opaque maturity score.</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3131"/>
            <w:vAlign w:val="top"/>
            <w:tcMar>
              <w:top w:w="70" w:type="dxa"/>
              <w:start w:w="85" w:type="dxa"/>
              <w:bottom w:w="70" w:type="dxa"/>
              <w:end w:w="85" w:type="dxa"/>
            </w:tcMar>
            <w:shd w:fill="D9EAF7"/>
          </w:tcPr>
          <w:p>
            <w:pPr>
              <w:pStyle w:val="Compact"/>
            </w:pPr>
            <w:r>
              <w:rPr>
                <w:rFonts w:ascii="Aptos" w:hAnsi="Aptos"/>
                <w:b/>
                <w:color w:val="17365D"/>
                <w:sz w:val="16"/>
              </w:rPr>
              <w:t>Outcome / metric</w:t>
            </w:r>
          </w:p>
        </w:tc>
        <w:tc>
          <w:tcPr>
            <w:tcW w:type="dxa" w:w="6589"/>
            <w:vAlign w:val="top"/>
            <w:tcMar>
              <w:top w:w="70" w:type="dxa"/>
              <w:start w:w="85" w:type="dxa"/>
              <w:bottom w:w="70" w:type="dxa"/>
              <w:end w:w="85" w:type="dxa"/>
            </w:tcMar>
            <w:shd w:fill="D9EAF7"/>
          </w:tcPr>
          <w:p>
            <w:pPr>
              <w:pStyle w:val="Compact"/>
            </w:pPr>
            <w:r>
              <w:rPr>
                <w:rFonts w:ascii="Aptos" w:hAnsi="Aptos"/>
                <w:b/>
                <w:color w:val="17365D"/>
                <w:sz w:val="16"/>
              </w:rPr>
              <w:t>What it tells us</w:t>
            </w:r>
          </w:p>
        </w:tc>
      </w:tr>
      <w:tr>
        <w:tc>
          <w:tcPr>
            <w:tcW w:type="dxa" w:w="3131"/>
            <w:vAlign w:val="top"/>
            <w:tcMar>
              <w:top w:w="70" w:type="dxa"/>
              <w:start w:w="85" w:type="dxa"/>
              <w:bottom w:w="70" w:type="dxa"/>
              <w:end w:w="85" w:type="dxa"/>
            </w:tcMar>
          </w:tcPr>
          <w:p>
            <w:pPr>
              <w:pStyle w:val="Compact"/>
            </w:pPr>
            <w:r>
              <w:rPr>
                <w:rFonts w:ascii="Aptos" w:hAnsi="Aptos"/>
                <w:b/>
                <w:sz w:val="16"/>
              </w:rPr>
              <w:t>Assessment startup time</w:t>
            </w:r>
          </w:p>
        </w:tc>
        <w:tc>
          <w:tcPr>
            <w:tcW w:type="dxa" w:w="6589"/>
            <w:vAlign w:val="top"/>
            <w:tcMar>
              <w:top w:w="70" w:type="dxa"/>
              <w:start w:w="85" w:type="dxa"/>
              <w:bottom w:w="70" w:type="dxa"/>
              <w:end w:w="85" w:type="dxa"/>
            </w:tcMar>
          </w:tcPr>
          <w:p>
            <w:pPr>
              <w:pStyle w:val="Compact"/>
            </w:pPr>
            <w:r>
              <w:rPr>
                <w:rFonts w:ascii="Aptos" w:hAnsi="Aptos"/>
                <w:sz w:val="16"/>
              </w:rPr>
              <w:t>How quickly a scope moves from assessment creation to resolved inheritance and assigned residual work.</w:t>
            </w:r>
          </w:p>
        </w:tc>
      </w:tr>
      <w:tr>
        <w:tc>
          <w:tcPr>
            <w:tcW w:type="dxa" w:w="3131"/>
            <w:vAlign w:val="top"/>
            <w:tcMar>
              <w:top w:w="70" w:type="dxa"/>
              <w:start w:w="85" w:type="dxa"/>
              <w:bottom w:w="70" w:type="dxa"/>
              <w:end w:w="85" w:type="dxa"/>
            </w:tcMar>
            <w:shd w:fill="FAFCFD"/>
          </w:tcPr>
          <w:p>
            <w:pPr>
              <w:pStyle w:val="Compact"/>
            </w:pPr>
            <w:r>
              <w:rPr>
                <w:rFonts w:ascii="Aptos" w:hAnsi="Aptos"/>
                <w:b/>
                <w:sz w:val="16"/>
              </w:rPr>
              <w:t>Inherited objective reuse</w:t>
            </w:r>
          </w:p>
        </w:tc>
        <w:tc>
          <w:tcPr>
            <w:tcW w:type="dxa" w:w="6589"/>
            <w:vAlign w:val="top"/>
            <w:tcMar>
              <w:top w:w="70" w:type="dxa"/>
              <w:start w:w="85" w:type="dxa"/>
              <w:bottom w:w="70" w:type="dxa"/>
              <w:end w:w="85" w:type="dxa"/>
            </w:tcMar>
            <w:shd w:fill="FAFCFD"/>
          </w:tcPr>
          <w:p>
            <w:pPr>
              <w:pStyle w:val="Compact"/>
            </w:pPr>
            <w:r>
              <w:rPr>
                <w:rFonts w:ascii="Aptos" w:hAnsi="Aptos"/>
                <w:sz w:val="16"/>
              </w:rPr>
              <w:t>How much assessment work is safely resolved through current higher-scope assurance.</w:t>
            </w:r>
          </w:p>
        </w:tc>
      </w:tr>
      <w:tr>
        <w:tc>
          <w:tcPr>
            <w:tcW w:type="dxa" w:w="3131"/>
            <w:vAlign w:val="top"/>
            <w:tcMar>
              <w:top w:w="70" w:type="dxa"/>
              <w:start w:w="85" w:type="dxa"/>
              <w:bottom w:w="70" w:type="dxa"/>
              <w:end w:w="85" w:type="dxa"/>
            </w:tcMar>
          </w:tcPr>
          <w:p>
            <w:pPr>
              <w:pStyle w:val="Compact"/>
            </w:pPr>
            <w:r>
              <w:rPr>
                <w:rFonts w:ascii="Aptos" w:hAnsi="Aptos"/>
                <w:b/>
                <w:sz w:val="16"/>
              </w:rPr>
              <w:t>Manual re-questioning avoided</w:t>
            </w:r>
          </w:p>
        </w:tc>
        <w:tc>
          <w:tcPr>
            <w:tcW w:type="dxa" w:w="6589"/>
            <w:vAlign w:val="top"/>
            <w:tcMar>
              <w:top w:w="70" w:type="dxa"/>
              <w:start w:w="85" w:type="dxa"/>
              <w:bottom w:w="70" w:type="dxa"/>
              <w:end w:w="85" w:type="dxa"/>
            </w:tcMar>
          </w:tcPr>
          <w:p>
            <w:pPr>
              <w:pStyle w:val="Compact"/>
            </w:pPr>
            <w:r>
              <w:rPr>
                <w:rFonts w:ascii="Aptos" w:hAnsi="Aptos"/>
                <w:sz w:val="16"/>
              </w:rPr>
              <w:t>Whether the platform actually prevents repeated SME outreach.</w:t>
            </w:r>
          </w:p>
        </w:tc>
      </w:tr>
      <w:tr>
        <w:tc>
          <w:tcPr>
            <w:tcW w:type="dxa" w:w="3131"/>
            <w:vAlign w:val="top"/>
            <w:tcMar>
              <w:top w:w="70" w:type="dxa"/>
              <w:start w:w="85" w:type="dxa"/>
              <w:bottom w:w="70" w:type="dxa"/>
              <w:end w:w="85" w:type="dxa"/>
            </w:tcMar>
            <w:shd w:fill="FAFCFD"/>
          </w:tcPr>
          <w:p>
            <w:pPr>
              <w:pStyle w:val="Compact"/>
            </w:pPr>
            <w:r>
              <w:rPr>
                <w:rFonts w:ascii="Aptos" w:hAnsi="Aptos"/>
                <w:b/>
                <w:sz w:val="16"/>
              </w:rPr>
              <w:t>Residual-work ratio</w:t>
            </w:r>
          </w:p>
        </w:tc>
        <w:tc>
          <w:tcPr>
            <w:tcW w:type="dxa" w:w="6589"/>
            <w:vAlign w:val="top"/>
            <w:tcMar>
              <w:top w:w="70" w:type="dxa"/>
              <w:start w:w="85" w:type="dxa"/>
              <w:bottom w:w="70" w:type="dxa"/>
              <w:end w:w="85" w:type="dxa"/>
            </w:tcMar>
            <w:shd w:fill="FAFCFD"/>
          </w:tcPr>
          <w:p>
            <w:pPr>
              <w:pStyle w:val="Compact"/>
            </w:pPr>
            <w:r>
              <w:rPr>
                <w:rFonts w:ascii="Aptos" w:hAnsi="Aptos"/>
                <w:sz w:val="16"/>
              </w:rPr>
              <w:t>Remaining local work after inheritance versus raw objective/task set.</w:t>
            </w:r>
          </w:p>
        </w:tc>
      </w:tr>
      <w:tr>
        <w:tc>
          <w:tcPr>
            <w:tcW w:type="dxa" w:w="3131"/>
            <w:vAlign w:val="top"/>
            <w:tcMar>
              <w:top w:w="70" w:type="dxa"/>
              <w:start w:w="85" w:type="dxa"/>
              <w:bottom w:w="70" w:type="dxa"/>
              <w:end w:w="85" w:type="dxa"/>
            </w:tcMar>
          </w:tcPr>
          <w:p>
            <w:pPr>
              <w:pStyle w:val="Compact"/>
            </w:pPr>
            <w:r>
              <w:rPr>
                <w:rFonts w:ascii="Aptos" w:hAnsi="Aptos"/>
                <w:b/>
                <w:sz w:val="16"/>
              </w:rPr>
              <w:t>Delegation latency</w:t>
            </w:r>
          </w:p>
        </w:tc>
        <w:tc>
          <w:tcPr>
            <w:tcW w:type="dxa" w:w="6589"/>
            <w:vAlign w:val="top"/>
            <w:tcMar>
              <w:top w:w="70" w:type="dxa"/>
              <w:start w:w="85" w:type="dxa"/>
              <w:bottom w:w="70" w:type="dxa"/>
              <w:end w:w="85" w:type="dxa"/>
            </w:tcMar>
          </w:tcPr>
          <w:p>
            <w:pPr>
              <w:pStyle w:val="Compact"/>
            </w:pPr>
            <w:r>
              <w:rPr>
                <w:rFonts w:ascii="Aptos" w:hAnsi="Aptos"/>
                <w:sz w:val="16"/>
              </w:rPr>
              <w:t>Whether package/task ownership is clear enough to move work.</w:t>
            </w:r>
          </w:p>
        </w:tc>
      </w:tr>
      <w:tr>
        <w:tc>
          <w:tcPr>
            <w:tcW w:type="dxa" w:w="3131"/>
            <w:vAlign w:val="top"/>
            <w:tcMar>
              <w:top w:w="70" w:type="dxa"/>
              <w:start w:w="85" w:type="dxa"/>
              <w:bottom w:w="70" w:type="dxa"/>
              <w:end w:w="85" w:type="dxa"/>
            </w:tcMar>
            <w:shd w:fill="FAFCFD"/>
          </w:tcPr>
          <w:p>
            <w:pPr>
              <w:pStyle w:val="Compact"/>
            </w:pPr>
            <w:r>
              <w:rPr>
                <w:rFonts w:ascii="Aptos" w:hAnsi="Aptos"/>
                <w:b/>
                <w:sz w:val="16"/>
              </w:rPr>
              <w:t>Reviewer latency</w:t>
            </w:r>
          </w:p>
        </w:tc>
        <w:tc>
          <w:tcPr>
            <w:tcW w:type="dxa" w:w="6589"/>
            <w:vAlign w:val="top"/>
            <w:tcMar>
              <w:top w:w="70" w:type="dxa"/>
              <w:start w:w="85" w:type="dxa"/>
              <w:bottom w:w="70" w:type="dxa"/>
              <w:end w:w="85" w:type="dxa"/>
            </w:tcMar>
            <w:shd w:fill="FAFCFD"/>
          </w:tcPr>
          <w:p>
            <w:pPr>
              <w:pStyle w:val="Compact"/>
            </w:pPr>
            <w:r>
              <w:rPr>
                <w:rFonts w:ascii="Aptos" w:hAnsi="Aptos"/>
                <w:sz w:val="16"/>
              </w:rPr>
              <w:t>Whether the system speeds determination rather than merely collecting answers.</w:t>
            </w:r>
          </w:p>
        </w:tc>
      </w:tr>
      <w:tr>
        <w:tc>
          <w:tcPr>
            <w:tcW w:type="dxa" w:w="3131"/>
            <w:vAlign w:val="top"/>
            <w:tcMar>
              <w:top w:w="70" w:type="dxa"/>
              <w:start w:w="85" w:type="dxa"/>
              <w:bottom w:w="70" w:type="dxa"/>
              <w:end w:w="85" w:type="dxa"/>
            </w:tcMar>
          </w:tcPr>
          <w:p>
            <w:pPr>
              <w:pStyle w:val="Compact"/>
            </w:pPr>
            <w:r>
              <w:rPr>
                <w:rFonts w:ascii="Aptos" w:hAnsi="Aptos"/>
                <w:b/>
                <w:sz w:val="16"/>
              </w:rPr>
              <w:t>Unknown burn-down</w:t>
            </w:r>
          </w:p>
        </w:tc>
        <w:tc>
          <w:tcPr>
            <w:tcW w:type="dxa" w:w="6589"/>
            <w:vAlign w:val="top"/>
            <w:tcMar>
              <w:top w:w="70" w:type="dxa"/>
              <w:start w:w="85" w:type="dxa"/>
              <w:bottom w:w="70" w:type="dxa"/>
              <w:end w:w="85" w:type="dxa"/>
            </w:tcMar>
          </w:tcPr>
          <w:p>
            <w:pPr>
              <w:pStyle w:val="Compact"/>
            </w:pPr>
            <w:r>
              <w:rPr>
                <w:rFonts w:ascii="Aptos" w:hAnsi="Aptos"/>
                <w:sz w:val="16"/>
              </w:rPr>
              <w:t>Whether incomplete systems become better understood over time.</w:t>
            </w:r>
          </w:p>
        </w:tc>
      </w:tr>
      <w:tr>
        <w:tc>
          <w:tcPr>
            <w:tcW w:type="dxa" w:w="3131"/>
            <w:vAlign w:val="top"/>
            <w:tcMar>
              <w:top w:w="70" w:type="dxa"/>
              <w:start w:w="85" w:type="dxa"/>
              <w:bottom w:w="70" w:type="dxa"/>
              <w:end w:w="85" w:type="dxa"/>
            </w:tcMar>
            <w:shd w:fill="FAFCFD"/>
          </w:tcPr>
          <w:p>
            <w:pPr>
              <w:pStyle w:val="Compact"/>
            </w:pPr>
            <w:r>
              <w:rPr>
                <w:rFonts w:ascii="Aptos" w:hAnsi="Aptos"/>
                <w:b/>
                <w:sz w:val="16"/>
              </w:rPr>
              <w:t>Finding recurrence</w:t>
            </w:r>
          </w:p>
        </w:tc>
        <w:tc>
          <w:tcPr>
            <w:tcW w:type="dxa" w:w="6589"/>
            <w:vAlign w:val="top"/>
            <w:tcMar>
              <w:top w:w="70" w:type="dxa"/>
              <w:start w:w="85" w:type="dxa"/>
              <w:bottom w:w="70" w:type="dxa"/>
              <w:end w:w="85" w:type="dxa"/>
            </w:tcMar>
            <w:shd w:fill="FAFCFD"/>
          </w:tcPr>
          <w:p>
            <w:pPr>
              <w:pStyle w:val="Compact"/>
            </w:pPr>
            <w:r>
              <w:rPr>
                <w:rFonts w:ascii="Aptos" w:hAnsi="Aptos"/>
                <w:sz w:val="16"/>
              </w:rPr>
              <w:t>Whether systemic issues are visible across organizational/product/program scopes.</w:t>
            </w:r>
          </w:p>
        </w:tc>
      </w:tr>
      <w:tr>
        <w:tc>
          <w:tcPr>
            <w:tcW w:type="dxa" w:w="3131"/>
            <w:vAlign w:val="top"/>
            <w:tcMar>
              <w:top w:w="70" w:type="dxa"/>
              <w:start w:w="85" w:type="dxa"/>
              <w:bottom w:w="70" w:type="dxa"/>
              <w:end w:w="85" w:type="dxa"/>
            </w:tcMar>
          </w:tcPr>
          <w:p>
            <w:pPr>
              <w:pStyle w:val="Compact"/>
            </w:pPr>
            <w:r>
              <w:rPr>
                <w:rFonts w:ascii="Aptos" w:hAnsi="Aptos"/>
                <w:b/>
                <w:sz w:val="16"/>
              </w:rPr>
              <w:t>Remediation consolidation</w:t>
            </w:r>
          </w:p>
        </w:tc>
        <w:tc>
          <w:tcPr>
            <w:tcW w:type="dxa" w:w="6589"/>
            <w:vAlign w:val="top"/>
            <w:tcMar>
              <w:top w:w="70" w:type="dxa"/>
              <w:start w:w="85" w:type="dxa"/>
              <w:bottom w:w="70" w:type="dxa"/>
              <w:end w:w="85" w:type="dxa"/>
            </w:tcMar>
          </w:tcPr>
          <w:p>
            <w:pPr>
              <w:pStyle w:val="Compact"/>
            </w:pPr>
            <w:r>
              <w:rPr>
                <w:rFonts w:ascii="Aptos" w:hAnsi="Aptos"/>
                <w:sz w:val="16"/>
              </w:rPr>
              <w:t>Whether common root causes are handled once rather than through isolated fixes.</w:t>
            </w:r>
          </w:p>
        </w:tc>
      </w:tr>
      <w:tr>
        <w:tc>
          <w:tcPr>
            <w:tcW w:type="dxa" w:w="3131"/>
            <w:vAlign w:val="top"/>
            <w:tcMar>
              <w:top w:w="70" w:type="dxa"/>
              <w:start w:w="85" w:type="dxa"/>
              <w:bottom w:w="70" w:type="dxa"/>
              <w:end w:w="85" w:type="dxa"/>
            </w:tcMar>
            <w:shd w:fill="FAFCFD"/>
          </w:tcPr>
          <w:p>
            <w:pPr>
              <w:pStyle w:val="Compact"/>
            </w:pPr>
            <w:r>
              <w:rPr>
                <w:rFonts w:ascii="Aptos" w:hAnsi="Aptos"/>
                <w:b/>
                <w:sz w:val="16"/>
              </w:rPr>
              <w:t>Promotion yield and reuse</w:t>
            </w:r>
          </w:p>
        </w:tc>
        <w:tc>
          <w:tcPr>
            <w:tcW w:type="dxa" w:w="6589"/>
            <w:vAlign w:val="top"/>
            <w:tcMar>
              <w:top w:w="70" w:type="dxa"/>
              <w:start w:w="85" w:type="dxa"/>
              <w:bottom w:w="70" w:type="dxa"/>
              <w:end w:w="85" w:type="dxa"/>
            </w:tcMar>
            <w:shd w:fill="FAFCFD"/>
          </w:tcPr>
          <w:p>
            <w:pPr>
              <w:pStyle w:val="Compact"/>
            </w:pPr>
            <w:r>
              <w:rPr>
                <w:rFonts w:ascii="Aptos" w:hAnsi="Aptos"/>
                <w:sz w:val="16"/>
              </w:rPr>
              <w:t>Whether local discoveries actually become future organizational leverage.</w:t>
            </w:r>
          </w:p>
        </w:tc>
      </w:tr>
      <w:tr>
        <w:tc>
          <w:tcPr>
            <w:tcW w:type="dxa" w:w="3131"/>
            <w:vAlign w:val="top"/>
            <w:tcMar>
              <w:top w:w="70" w:type="dxa"/>
              <w:start w:w="85" w:type="dxa"/>
              <w:bottom w:w="70" w:type="dxa"/>
              <w:end w:w="85" w:type="dxa"/>
            </w:tcMar>
          </w:tcPr>
          <w:p>
            <w:pPr>
              <w:pStyle w:val="Compact"/>
            </w:pPr>
            <w:r>
              <w:rPr>
                <w:rFonts w:ascii="Aptos" w:hAnsi="Aptos"/>
                <w:b/>
                <w:sz w:val="16"/>
              </w:rPr>
              <w:t>Inheritance invalidation rate</w:t>
            </w:r>
          </w:p>
        </w:tc>
        <w:tc>
          <w:tcPr>
            <w:tcW w:type="dxa" w:w="6589"/>
            <w:vAlign w:val="top"/>
            <w:tcMar>
              <w:top w:w="70" w:type="dxa"/>
              <w:start w:w="85" w:type="dxa"/>
              <w:bottom w:w="70" w:type="dxa"/>
              <w:end w:w="85" w:type="dxa"/>
            </w:tcMar>
          </w:tcPr>
          <w:p>
            <w:pPr>
              <w:pStyle w:val="Compact"/>
            </w:pPr>
            <w:r>
              <w:rPr>
                <w:rFonts w:ascii="Aptos" w:hAnsi="Aptos"/>
                <w:sz w:val="16"/>
              </w:rPr>
              <w:t>Whether applicability rules are too permissive or too conservative.</w:t>
            </w:r>
          </w:p>
        </w:tc>
      </w:tr>
      <w:tr>
        <w:tc>
          <w:tcPr>
            <w:tcW w:type="dxa" w:w="3131"/>
            <w:vAlign w:val="top"/>
            <w:tcMar>
              <w:top w:w="70" w:type="dxa"/>
              <w:start w:w="85" w:type="dxa"/>
              <w:bottom w:w="70" w:type="dxa"/>
              <w:end w:w="85" w:type="dxa"/>
            </w:tcMar>
            <w:shd w:fill="FAFCFD"/>
          </w:tcPr>
          <w:p>
            <w:pPr>
              <w:pStyle w:val="Compact"/>
            </w:pPr>
            <w:r>
              <w:rPr>
                <w:rFonts w:ascii="Aptos" w:hAnsi="Aptos"/>
                <w:b/>
                <w:sz w:val="16"/>
              </w:rPr>
              <w:t>Evidence health</w:t>
            </w:r>
          </w:p>
        </w:tc>
        <w:tc>
          <w:tcPr>
            <w:tcW w:type="dxa" w:w="6589"/>
            <w:vAlign w:val="top"/>
            <w:tcMar>
              <w:top w:w="70" w:type="dxa"/>
              <w:start w:w="85" w:type="dxa"/>
              <w:bottom w:w="70" w:type="dxa"/>
              <w:end w:w="85" w:type="dxa"/>
            </w:tcMar>
            <w:shd w:fill="FAFCFD"/>
          </w:tcPr>
          <w:p>
            <w:pPr>
              <w:pStyle w:val="Compact"/>
            </w:pPr>
            <w:r>
              <w:rPr>
                <w:rFonts w:ascii="Aptos" w:hAnsi="Aptos"/>
                <w:sz w:val="16"/>
              </w:rPr>
              <w:t>Current/expiring/expired/impacted/missing evidence at critical scopes.</w:t>
            </w:r>
          </w:p>
        </w:tc>
      </w:tr>
      <w:tr>
        <w:tc>
          <w:tcPr>
            <w:tcW w:type="dxa" w:w="3131"/>
            <w:vAlign w:val="top"/>
            <w:tcMar>
              <w:top w:w="70" w:type="dxa"/>
              <w:start w:w="85" w:type="dxa"/>
              <w:bottom w:w="70" w:type="dxa"/>
              <w:end w:w="85" w:type="dxa"/>
            </w:tcMar>
          </w:tcPr>
          <w:p>
            <w:pPr>
              <w:pStyle w:val="Compact"/>
            </w:pPr>
            <w:r>
              <w:rPr>
                <w:rFonts w:ascii="Aptos" w:hAnsi="Aptos"/>
                <w:b/>
                <w:sz w:val="16"/>
              </w:rPr>
              <w:t>Program assurance critical path</w:t>
            </w:r>
          </w:p>
        </w:tc>
        <w:tc>
          <w:tcPr>
            <w:tcW w:type="dxa" w:w="6589"/>
            <w:vAlign w:val="top"/>
            <w:tcMar>
              <w:top w:w="70" w:type="dxa"/>
              <w:start w:w="85" w:type="dxa"/>
              <w:bottom w:w="70" w:type="dxa"/>
              <w:end w:w="85" w:type="dxa"/>
            </w:tcMar>
          </w:tcPr>
          <w:p>
            <w:pPr>
              <w:pStyle w:val="Compact"/>
            </w:pPr>
            <w:r>
              <w:rPr>
                <w:rFonts w:ascii="Aptos" w:hAnsi="Aptos"/>
                <w:sz w:val="16"/>
              </w:rPr>
              <w:t>Which unresolved assurance work threatens delivery/authorization milestones.</w:t>
            </w:r>
          </w:p>
        </w:tc>
      </w:tr>
    </w:tbl>
    <w:p>
      <w:pPr>
        <w:spacing w:after="0"/>
      </w:pPr>
    </w:p>
    <w:p>
      <w:r>
        <w:rPr>
          <w:rFonts w:ascii="Aptos" w:hAnsi="Aptos"/>
          <w:sz w:val="19"/>
        </w:rPr>
        <w:t>Success means subsequent assessments/programs begin with more trustworthy reusable assurance and less redundant work than earlier ones.</w:t>
      </w:r>
    </w:p>
    <w:p>
      <w:pPr>
        <w:pStyle w:val="Heading1"/>
      </w:pPr>
      <w:r>
        <w:rPr>
          <w:rFonts w:ascii="Aptos" w:hAnsi="Aptos"/>
          <w:sz w:val="32"/>
        </w:rPr>
        <w:t>11. Product Risks and Decisions</w:t>
      </w:r>
    </w:p>
    <w:p>
      <w:pPr>
        <w:pStyle w:val="Heading2"/>
      </w:pPr>
      <w:r>
        <w:rPr>
          <w:rFonts w:ascii="Aptos" w:hAnsi="Aptos"/>
          <w:sz w:val="25"/>
        </w:rPr>
        <w:t>11.1 Key product risks</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707"/>
            <w:vAlign w:val="top"/>
            <w:tcMar>
              <w:top w:w="70" w:type="dxa"/>
              <w:start w:w="85" w:type="dxa"/>
              <w:bottom w:w="70" w:type="dxa"/>
              <w:end w:w="85" w:type="dxa"/>
            </w:tcMar>
            <w:shd w:fill="D9EAF7"/>
          </w:tcPr>
          <w:p>
            <w:pPr>
              <w:pStyle w:val="Compact"/>
            </w:pPr>
            <w:r>
              <w:rPr>
                <w:rFonts w:ascii="Aptos" w:hAnsi="Aptos"/>
                <w:b/>
                <w:color w:val="17365D"/>
                <w:sz w:val="16"/>
              </w:rPr>
              <w:t>Risk</w:t>
            </w:r>
          </w:p>
        </w:tc>
        <w:tc>
          <w:tcPr>
            <w:tcW w:type="dxa" w:w="4006"/>
            <w:vAlign w:val="top"/>
            <w:tcMar>
              <w:top w:w="70" w:type="dxa"/>
              <w:start w:w="85" w:type="dxa"/>
              <w:bottom w:w="70" w:type="dxa"/>
              <w:end w:w="85" w:type="dxa"/>
            </w:tcMar>
            <w:shd w:fill="D9EAF7"/>
          </w:tcPr>
          <w:p>
            <w:pPr>
              <w:pStyle w:val="Compact"/>
            </w:pPr>
            <w:r>
              <w:rPr>
                <w:rFonts w:ascii="Aptos" w:hAnsi="Aptos"/>
                <w:b/>
                <w:color w:val="17365D"/>
                <w:sz w:val="16"/>
              </w:rPr>
              <w:t>Failure mode</w:t>
            </w:r>
          </w:p>
        </w:tc>
        <w:tc>
          <w:tcPr>
            <w:tcW w:type="dxa" w:w="4006"/>
            <w:vAlign w:val="top"/>
            <w:tcMar>
              <w:top w:w="70" w:type="dxa"/>
              <w:start w:w="85" w:type="dxa"/>
              <w:bottom w:w="70" w:type="dxa"/>
              <w:end w:w="85" w:type="dxa"/>
            </w:tcMar>
            <w:shd w:fill="D9EAF7"/>
          </w:tcPr>
          <w:p>
            <w:pPr>
              <w:pStyle w:val="Compact"/>
            </w:pPr>
            <w:r>
              <w:rPr>
                <w:rFonts w:ascii="Aptos" w:hAnsi="Aptos"/>
                <w:b/>
                <w:color w:val="17365D"/>
                <w:sz w:val="16"/>
              </w:rPr>
              <w:t>Product response</w:t>
            </w:r>
          </w:p>
        </w:tc>
      </w:tr>
      <w:tr>
        <w:tc>
          <w:tcPr>
            <w:tcW w:type="dxa" w:w="1707"/>
            <w:vAlign w:val="top"/>
            <w:tcMar>
              <w:top w:w="70" w:type="dxa"/>
              <w:start w:w="85" w:type="dxa"/>
              <w:bottom w:w="70" w:type="dxa"/>
              <w:end w:w="85" w:type="dxa"/>
            </w:tcMar>
          </w:tcPr>
          <w:p>
            <w:pPr>
              <w:pStyle w:val="Compact"/>
            </w:pPr>
            <w:r>
              <w:rPr>
                <w:rFonts w:ascii="Aptos" w:hAnsi="Aptos"/>
                <w:b/>
                <w:sz w:val="16"/>
              </w:rPr>
              <w:t>Ontology over-design</w:t>
            </w:r>
          </w:p>
        </w:tc>
        <w:tc>
          <w:tcPr>
            <w:tcW w:type="dxa" w:w="4006"/>
            <w:vAlign w:val="top"/>
            <w:tcMar>
              <w:top w:w="70" w:type="dxa"/>
              <w:start w:w="85" w:type="dxa"/>
              <w:bottom w:w="70" w:type="dxa"/>
              <w:end w:w="85" w:type="dxa"/>
            </w:tcMar>
          </w:tcPr>
          <w:p>
            <w:pPr>
              <w:pStyle w:val="Compact"/>
            </w:pPr>
            <w:r>
              <w:rPr>
                <w:rFonts w:ascii="Aptos" w:hAnsi="Aptos"/>
                <w:sz w:val="16"/>
              </w:rPr>
              <w:t>Users face a taxonomy project instead of doing assessment work.</w:t>
            </w:r>
          </w:p>
        </w:tc>
        <w:tc>
          <w:tcPr>
            <w:tcW w:type="dxa" w:w="4006"/>
            <w:vAlign w:val="top"/>
            <w:tcMar>
              <w:top w:w="70" w:type="dxa"/>
              <w:start w:w="85" w:type="dxa"/>
              <w:bottom w:w="70" w:type="dxa"/>
              <w:end w:w="85" w:type="dxa"/>
            </w:tcMar>
          </w:tcPr>
          <w:p>
            <w:pPr>
              <w:pStyle w:val="Compact"/>
            </w:pPr>
            <w:r>
              <w:rPr>
                <w:rFonts w:ascii="Aptos" w:hAnsi="Aptos"/>
                <w:sz w:val="16"/>
              </w:rPr>
              <w:t>Keep contributor UX task-centric; allow local-first creation; formalize only semantic distinctions needed for trust/inheritance.</w:t>
            </w:r>
          </w:p>
        </w:tc>
      </w:tr>
      <w:tr>
        <w:tc>
          <w:tcPr>
            <w:tcW w:type="dxa" w:w="1707"/>
            <w:vAlign w:val="top"/>
            <w:tcMar>
              <w:top w:w="70" w:type="dxa"/>
              <w:start w:w="85" w:type="dxa"/>
              <w:bottom w:w="70" w:type="dxa"/>
              <w:end w:w="85" w:type="dxa"/>
            </w:tcMar>
            <w:shd w:fill="FAFCFD"/>
          </w:tcPr>
          <w:p>
            <w:pPr>
              <w:pStyle w:val="Compact"/>
            </w:pPr>
            <w:r>
              <w:rPr>
                <w:rFonts w:ascii="Aptos" w:hAnsi="Aptos"/>
                <w:b/>
                <w:sz w:val="16"/>
              </w:rPr>
              <w:t>False inheritance confidence</w:t>
            </w:r>
          </w:p>
        </w:tc>
        <w:tc>
          <w:tcPr>
            <w:tcW w:type="dxa" w:w="4006"/>
            <w:vAlign w:val="top"/>
            <w:tcMar>
              <w:top w:w="70" w:type="dxa"/>
              <w:start w:w="85" w:type="dxa"/>
              <w:bottom w:w="70" w:type="dxa"/>
              <w:end w:w="85" w:type="dxa"/>
            </w:tcMar>
            <w:shd w:fill="FAFCFD"/>
          </w:tcPr>
          <w:p>
            <w:pPr>
              <w:pStyle w:val="Compact"/>
            </w:pPr>
            <w:r>
              <w:rPr>
                <w:rFonts w:ascii="Aptos" w:hAnsi="Aptos"/>
                <w:sz w:val="16"/>
              </w:rPr>
              <w:t>A shared result is reused despite configuration/responsibility differences.</w:t>
            </w:r>
          </w:p>
        </w:tc>
        <w:tc>
          <w:tcPr>
            <w:tcW w:type="dxa" w:w="4006"/>
            <w:vAlign w:val="top"/>
            <w:tcMar>
              <w:top w:w="70" w:type="dxa"/>
              <w:start w:w="85" w:type="dxa"/>
              <w:bottom w:w="70" w:type="dxa"/>
              <w:end w:w="85" w:type="dxa"/>
            </w:tcMar>
            <w:shd w:fill="FAFCFD"/>
          </w:tcPr>
          <w:p>
            <w:pPr>
              <w:pStyle w:val="Compact"/>
            </w:pPr>
            <w:r>
              <w:rPr>
                <w:rFonts w:ascii="Aptos" w:hAnsi="Aptos"/>
                <w:sz w:val="16"/>
              </w:rPr>
              <w:t>Assurance packages, applicability conditions, residual responsibilities, snapshots, attestation, and targeted reassessment.</w:t>
            </w:r>
          </w:p>
        </w:tc>
      </w:tr>
      <w:tr>
        <w:tc>
          <w:tcPr>
            <w:tcW w:type="dxa" w:w="1707"/>
            <w:vAlign w:val="top"/>
            <w:tcMar>
              <w:top w:w="70" w:type="dxa"/>
              <w:start w:w="85" w:type="dxa"/>
              <w:bottom w:w="70" w:type="dxa"/>
              <w:end w:w="85" w:type="dxa"/>
            </w:tcMar>
          </w:tcPr>
          <w:p>
            <w:pPr>
              <w:pStyle w:val="Compact"/>
            </w:pPr>
            <w:r>
              <w:rPr>
                <w:rFonts w:ascii="Aptos" w:hAnsi="Aptos"/>
                <w:b/>
                <w:sz w:val="16"/>
              </w:rPr>
              <w:t>Question explosion</w:t>
            </w:r>
          </w:p>
        </w:tc>
        <w:tc>
          <w:tcPr>
            <w:tcW w:type="dxa" w:w="4006"/>
            <w:vAlign w:val="top"/>
            <w:tcMar>
              <w:top w:w="70" w:type="dxa"/>
              <w:start w:w="85" w:type="dxa"/>
              <w:bottom w:w="70" w:type="dxa"/>
              <w:end w:w="85" w:type="dxa"/>
            </w:tcMar>
          </w:tcPr>
          <w:p>
            <w:pPr>
              <w:pStyle w:val="Compact"/>
            </w:pPr>
            <w:r>
              <w:rPr>
                <w:rFonts w:ascii="Aptos" w:hAnsi="Aptos"/>
                <w:sz w:val="16"/>
              </w:rPr>
              <w:t>Raw 800-53A content overwhelms teams.</w:t>
            </w:r>
          </w:p>
        </w:tc>
        <w:tc>
          <w:tcPr>
            <w:tcW w:type="dxa" w:w="4006"/>
            <w:vAlign w:val="top"/>
            <w:tcMar>
              <w:top w:w="70" w:type="dxa"/>
              <w:start w:w="85" w:type="dxa"/>
              <w:bottom w:w="70" w:type="dxa"/>
              <w:end w:w="85" w:type="dxa"/>
            </w:tcMar>
          </w:tcPr>
          <w:p>
            <w:pPr>
              <w:pStyle w:val="Compact"/>
            </w:pPr>
            <w:r>
              <w:rPr>
                <w:rFonts w:ascii="Aptos" w:hAnsi="Aptos"/>
                <w:sz w:val="16"/>
              </w:rPr>
              <w:t>Inheritance resolution first, organization templates, assignment packages, dependency rules.</w:t>
            </w:r>
          </w:p>
        </w:tc>
      </w:tr>
      <w:tr>
        <w:tc>
          <w:tcPr>
            <w:tcW w:type="dxa" w:w="1707"/>
            <w:vAlign w:val="top"/>
            <w:tcMar>
              <w:top w:w="70" w:type="dxa"/>
              <w:start w:w="85" w:type="dxa"/>
              <w:bottom w:w="70" w:type="dxa"/>
              <w:end w:w="85" w:type="dxa"/>
            </w:tcMar>
            <w:shd w:fill="FAFCFD"/>
          </w:tcPr>
          <w:p>
            <w:pPr>
              <w:pStyle w:val="Compact"/>
            </w:pPr>
            <w:r>
              <w:rPr>
                <w:rFonts w:ascii="Aptos" w:hAnsi="Aptos"/>
                <w:b/>
                <w:sz w:val="16"/>
              </w:rPr>
              <w:t>Catalog paralysis</w:t>
            </w:r>
          </w:p>
        </w:tc>
        <w:tc>
          <w:tcPr>
            <w:tcW w:type="dxa" w:w="4006"/>
            <w:vAlign w:val="top"/>
            <w:tcMar>
              <w:top w:w="70" w:type="dxa"/>
              <w:start w:w="85" w:type="dxa"/>
              <w:bottom w:w="70" w:type="dxa"/>
              <w:end w:w="85" w:type="dxa"/>
            </w:tcMar>
            <w:shd w:fill="FAFCFD"/>
          </w:tcPr>
          <w:p>
            <w:pPr>
              <w:pStyle w:val="Compact"/>
            </w:pPr>
            <w:r>
              <w:rPr>
                <w:rFonts w:ascii="Aptos" w:hAnsi="Aptos"/>
                <w:sz w:val="16"/>
              </w:rPr>
              <w:t>Team waits for perfect asset data.</w:t>
            </w:r>
          </w:p>
        </w:tc>
        <w:tc>
          <w:tcPr>
            <w:tcW w:type="dxa" w:w="4006"/>
            <w:vAlign w:val="top"/>
            <w:tcMar>
              <w:top w:w="70" w:type="dxa"/>
              <w:start w:w="85" w:type="dxa"/>
              <w:bottom w:w="70" w:type="dxa"/>
              <w:end w:w="85" w:type="dxa"/>
            </w:tcMar>
            <w:shd w:fill="FAFCFD"/>
          </w:tcPr>
          <w:p>
            <w:pPr>
              <w:pStyle w:val="Compact"/>
            </w:pPr>
            <w:r>
              <w:rPr>
                <w:rFonts w:ascii="Aptos" w:hAnsi="Aptos"/>
                <w:sz w:val="16"/>
              </w:rPr>
              <w:t>Incremental catalog and local-to-canonical promotion.</w:t>
            </w:r>
          </w:p>
        </w:tc>
      </w:tr>
      <w:tr>
        <w:tc>
          <w:tcPr>
            <w:tcW w:type="dxa" w:w="1707"/>
            <w:vAlign w:val="top"/>
            <w:tcMar>
              <w:top w:w="70" w:type="dxa"/>
              <w:start w:w="85" w:type="dxa"/>
              <w:bottom w:w="70" w:type="dxa"/>
              <w:end w:w="85" w:type="dxa"/>
            </w:tcMar>
          </w:tcPr>
          <w:p>
            <w:pPr>
              <w:pStyle w:val="Compact"/>
            </w:pPr>
            <w:r>
              <w:rPr>
                <w:rFonts w:ascii="Aptos" w:hAnsi="Aptos"/>
                <w:b/>
                <w:sz w:val="16"/>
              </w:rPr>
              <w:t>Answer-as-compliance</w:t>
            </w:r>
          </w:p>
        </w:tc>
        <w:tc>
          <w:tcPr>
            <w:tcW w:type="dxa" w:w="4006"/>
            <w:vAlign w:val="top"/>
            <w:tcMar>
              <w:top w:w="70" w:type="dxa"/>
              <w:start w:w="85" w:type="dxa"/>
              <w:bottom w:w="70" w:type="dxa"/>
              <w:end w:w="85" w:type="dxa"/>
            </w:tcMar>
          </w:tcPr>
          <w:p>
            <w:pPr>
              <w:pStyle w:val="Compact"/>
            </w:pPr>
            <w:r>
              <w:rPr>
                <w:rFonts w:ascii="Aptos" w:hAnsi="Aptos"/>
                <w:sz w:val="16"/>
              </w:rPr>
              <w:t>“Yes” becomes a false positive.</w:t>
            </w:r>
          </w:p>
        </w:tc>
        <w:tc>
          <w:tcPr>
            <w:tcW w:type="dxa" w:w="4006"/>
            <w:vAlign w:val="top"/>
            <w:tcMar>
              <w:top w:w="70" w:type="dxa"/>
              <w:start w:w="85" w:type="dxa"/>
              <w:bottom w:w="70" w:type="dxa"/>
              <w:end w:w="85" w:type="dxa"/>
            </w:tcMar>
          </w:tcPr>
          <w:p>
            <w:pPr>
              <w:pStyle w:val="Compact"/>
            </w:pPr>
            <w:r>
              <w:rPr>
                <w:rFonts w:ascii="Aptos" w:hAnsi="Aptos"/>
                <w:sz w:val="16"/>
              </w:rPr>
              <w:t>Response/Observation/Determination separation and authority gating.</w:t>
            </w:r>
          </w:p>
        </w:tc>
      </w:tr>
      <w:tr>
        <w:tc>
          <w:tcPr>
            <w:tcW w:type="dxa" w:w="1707"/>
            <w:vAlign w:val="top"/>
            <w:tcMar>
              <w:top w:w="70" w:type="dxa"/>
              <w:start w:w="85" w:type="dxa"/>
              <w:bottom w:w="70" w:type="dxa"/>
              <w:end w:w="85" w:type="dxa"/>
            </w:tcMar>
            <w:shd w:fill="FAFCFD"/>
          </w:tcPr>
          <w:p>
            <w:pPr>
              <w:pStyle w:val="Compact"/>
            </w:pPr>
            <w:r>
              <w:rPr>
                <w:rFonts w:ascii="Aptos" w:hAnsi="Aptos"/>
                <w:b/>
                <w:sz w:val="16"/>
              </w:rPr>
              <w:t>Source conflict hidden</w:t>
            </w:r>
          </w:p>
        </w:tc>
        <w:tc>
          <w:tcPr>
            <w:tcW w:type="dxa" w:w="4006"/>
            <w:vAlign w:val="top"/>
            <w:tcMar>
              <w:top w:w="70" w:type="dxa"/>
              <w:start w:w="85" w:type="dxa"/>
              <w:bottom w:w="70" w:type="dxa"/>
              <w:end w:w="85" w:type="dxa"/>
            </w:tcMar>
            <w:shd w:fill="FAFCFD"/>
          </w:tcPr>
          <w:p>
            <w:pPr>
              <w:pStyle w:val="Compact"/>
            </w:pPr>
            <w:r>
              <w:rPr>
                <w:rFonts w:ascii="Aptos" w:hAnsi="Aptos"/>
                <w:sz w:val="16"/>
              </w:rPr>
              <w:t>PLM/system reality and local assurance model disagree.</w:t>
            </w:r>
          </w:p>
        </w:tc>
        <w:tc>
          <w:tcPr>
            <w:tcW w:type="dxa" w:w="4006"/>
            <w:vAlign w:val="top"/>
            <w:tcMar>
              <w:top w:w="70" w:type="dxa"/>
              <w:start w:w="85" w:type="dxa"/>
              <w:bottom w:w="70" w:type="dxa"/>
              <w:end w:w="85" w:type="dxa"/>
            </w:tcMar>
            <w:shd w:fill="FAFCFD"/>
          </w:tcPr>
          <w:p>
            <w:pPr>
              <w:pStyle w:val="Compact"/>
            </w:pPr>
            <w:r>
              <w:rPr>
                <w:rFonts w:ascii="Aptos" w:hAnsi="Aptos"/>
                <w:sz w:val="16"/>
              </w:rPr>
              <w:t>Source Conflict workflow and explicit adjudication.</w:t>
            </w:r>
          </w:p>
        </w:tc>
      </w:tr>
      <w:tr>
        <w:tc>
          <w:tcPr>
            <w:tcW w:type="dxa" w:w="1707"/>
            <w:vAlign w:val="top"/>
            <w:tcMar>
              <w:top w:w="70" w:type="dxa"/>
              <w:start w:w="85" w:type="dxa"/>
              <w:bottom w:w="70" w:type="dxa"/>
              <w:end w:w="85" w:type="dxa"/>
            </w:tcMar>
          </w:tcPr>
          <w:p>
            <w:pPr>
              <w:pStyle w:val="Compact"/>
            </w:pPr>
            <w:r>
              <w:rPr>
                <w:rFonts w:ascii="Aptos" w:hAnsi="Aptos"/>
                <w:b/>
                <w:sz w:val="16"/>
              </w:rPr>
              <w:t>Evidence oversharing</w:t>
            </w:r>
          </w:p>
        </w:tc>
        <w:tc>
          <w:tcPr>
            <w:tcW w:type="dxa" w:w="4006"/>
            <w:vAlign w:val="top"/>
            <w:tcMar>
              <w:top w:w="70" w:type="dxa"/>
              <w:start w:w="85" w:type="dxa"/>
              <w:bottom w:w="70" w:type="dxa"/>
              <w:end w:w="85" w:type="dxa"/>
            </w:tcMar>
          </w:tcPr>
          <w:p>
            <w:pPr>
              <w:pStyle w:val="Compact"/>
            </w:pPr>
            <w:r>
              <w:rPr>
                <w:rFonts w:ascii="Aptos" w:hAnsi="Aptos"/>
                <w:sz w:val="16"/>
              </w:rPr>
              <w:t>Reuse leaks sensitive program artifacts.</w:t>
            </w:r>
          </w:p>
        </w:tc>
        <w:tc>
          <w:tcPr>
            <w:tcW w:type="dxa" w:w="4006"/>
            <w:vAlign w:val="top"/>
            <w:tcMar>
              <w:top w:w="70" w:type="dxa"/>
              <w:start w:w="85" w:type="dxa"/>
              <w:bottom w:w="70" w:type="dxa"/>
              <w:end w:w="85" w:type="dxa"/>
            </w:tcMar>
          </w:tcPr>
          <w:p>
            <w:pPr>
              <w:pStyle w:val="Compact"/>
            </w:pPr>
            <w:r>
              <w:rPr>
                <w:rFonts w:ascii="Aptos" w:hAnsi="Aptos"/>
                <w:sz w:val="16"/>
              </w:rPr>
              <w:t>Separate assurance-result reuse from evidence visibility; allow metadata-only inheritance.</w:t>
            </w:r>
          </w:p>
        </w:tc>
      </w:tr>
      <w:tr>
        <w:tc>
          <w:tcPr>
            <w:tcW w:type="dxa" w:w="1707"/>
            <w:vAlign w:val="top"/>
            <w:tcMar>
              <w:top w:w="70" w:type="dxa"/>
              <w:start w:w="85" w:type="dxa"/>
              <w:bottom w:w="70" w:type="dxa"/>
              <w:end w:w="85" w:type="dxa"/>
            </w:tcMar>
            <w:shd w:fill="FAFCFD"/>
          </w:tcPr>
          <w:p>
            <w:pPr>
              <w:pStyle w:val="Compact"/>
            </w:pPr>
            <w:r>
              <w:rPr>
                <w:rFonts w:ascii="Aptos" w:hAnsi="Aptos"/>
                <w:b/>
                <w:sz w:val="16"/>
              </w:rPr>
              <w:t>Standards dictate UX</w:t>
            </w:r>
          </w:p>
        </w:tc>
        <w:tc>
          <w:tcPr>
            <w:tcW w:type="dxa" w:w="4006"/>
            <w:vAlign w:val="top"/>
            <w:tcMar>
              <w:top w:w="70" w:type="dxa"/>
              <w:start w:w="85" w:type="dxa"/>
              <w:bottom w:w="70" w:type="dxa"/>
              <w:end w:w="85" w:type="dxa"/>
            </w:tcMar>
            <w:shd w:fill="FAFCFD"/>
          </w:tcPr>
          <w:p>
            <w:pPr>
              <w:pStyle w:val="Compact"/>
            </w:pPr>
            <w:r>
              <w:rPr>
                <w:rFonts w:ascii="Aptos" w:hAnsi="Aptos"/>
                <w:sz w:val="16"/>
              </w:rPr>
              <w:t>OSCAL/system-centric terms make organizational assessment awkward.</w:t>
            </w:r>
          </w:p>
        </w:tc>
        <w:tc>
          <w:tcPr>
            <w:tcW w:type="dxa" w:w="4006"/>
            <w:vAlign w:val="top"/>
            <w:tcMar>
              <w:top w:w="70" w:type="dxa"/>
              <w:start w:w="85" w:type="dxa"/>
              <w:bottom w:w="70" w:type="dxa"/>
              <w:end w:w="85" w:type="dxa"/>
            </w:tcMar>
            <w:shd w:fill="FAFCFD"/>
          </w:tcPr>
          <w:p>
            <w:pPr>
              <w:pStyle w:val="Compact"/>
            </w:pPr>
            <w:r>
              <w:rPr>
                <w:rFonts w:ascii="Aptos" w:hAnsi="Aptos"/>
                <w:sz w:val="16"/>
              </w:rPr>
              <w:t>Workflow-native internal model with standards mapping at import/export boundaries.</w:t>
            </w:r>
          </w:p>
        </w:tc>
      </w:tr>
      <w:tr>
        <w:tc>
          <w:tcPr>
            <w:tcW w:type="dxa" w:w="1707"/>
            <w:vAlign w:val="top"/>
            <w:tcMar>
              <w:top w:w="70" w:type="dxa"/>
              <w:start w:w="85" w:type="dxa"/>
              <w:bottom w:w="70" w:type="dxa"/>
              <w:end w:w="85" w:type="dxa"/>
            </w:tcMar>
          </w:tcPr>
          <w:p>
            <w:pPr>
              <w:pStyle w:val="Compact"/>
            </w:pPr>
            <w:r>
              <w:rPr>
                <w:rFonts w:ascii="Aptos" w:hAnsi="Aptos"/>
                <w:b/>
                <w:sz w:val="16"/>
              </w:rPr>
              <w:t>Platform becomes everything</w:t>
            </w:r>
          </w:p>
        </w:tc>
        <w:tc>
          <w:tcPr>
            <w:tcW w:type="dxa" w:w="4006"/>
            <w:vAlign w:val="top"/>
            <w:tcMar>
              <w:top w:w="70" w:type="dxa"/>
              <w:start w:w="85" w:type="dxa"/>
              <w:bottom w:w="70" w:type="dxa"/>
              <w:end w:w="85" w:type="dxa"/>
            </w:tcMar>
          </w:tcPr>
          <w:p>
            <w:pPr>
              <w:pStyle w:val="Compact"/>
            </w:pPr>
            <w:r>
              <w:rPr>
                <w:rFonts w:ascii="Aptos" w:hAnsi="Aptos"/>
                <w:sz w:val="16"/>
              </w:rPr>
              <w:t>Asset, ticketing, docs, and engineering tools are recreated poorly.</w:t>
            </w:r>
          </w:p>
        </w:tc>
        <w:tc>
          <w:tcPr>
            <w:tcW w:type="dxa" w:w="4006"/>
            <w:vAlign w:val="top"/>
            <w:tcMar>
              <w:top w:w="70" w:type="dxa"/>
              <w:start w:w="85" w:type="dxa"/>
              <w:bottom w:w="70" w:type="dxa"/>
              <w:end w:w="85" w:type="dxa"/>
            </w:tcMar>
          </w:tcPr>
          <w:p>
            <w:pPr>
              <w:pStyle w:val="Compact"/>
            </w:pPr>
            <w:r>
              <w:rPr>
                <w:rFonts w:ascii="Aptos" w:hAnsi="Aptos"/>
                <w:sz w:val="16"/>
              </w:rPr>
              <w:t>Own assurance semantics/work; integrate or reference authoritative sources.</w:t>
            </w:r>
          </w:p>
        </w:tc>
      </w:tr>
    </w:tbl>
    <w:p>
      <w:pPr>
        <w:spacing w:after="0"/>
      </w:pPr>
    </w:p>
    <w:p>
      <w:pPr>
        <w:pStyle w:val="Heading2"/>
      </w:pPr>
      <w:r>
        <w:rPr>
          <w:rFonts w:ascii="Aptos" w:hAnsi="Aptos"/>
          <w:sz w:val="25"/>
        </w:rPr>
        <w:t>11.2 Product decisions locked by this PRD</w:t>
      </w:r>
    </w:p>
    <w:p>
      <w:pPr>
        <w:pStyle w:val="ListBullet"/>
        <w:spacing w:after="40"/>
      </w:pPr>
      <w:r>
        <w:rPr>
          <w:rFonts w:ascii="Aptos" w:hAnsi="Aptos"/>
          <w:sz w:val="18"/>
        </w:rPr>
        <w:t>Organization-first and product/program-first are peer workflows.</w:t>
      </w:r>
    </w:p>
    <w:p>
      <w:pPr>
        <w:pStyle w:val="ListBullet"/>
        <w:spacing w:after="40"/>
      </w:pPr>
      <w:r>
        <w:rPr>
          <w:rFonts w:ascii="Aptos" w:hAnsi="Aptos"/>
          <w:sz w:val="18"/>
        </w:rPr>
        <w:t>Assessment objects are designed into the domain spine from R0; the delegated assessment engine becomes the primary workflow in R3, on the Catalog, Controls, and SCTM foundation.</w:t>
      </w:r>
    </w:p>
    <w:p>
      <w:pPr>
        <w:pStyle w:val="ListBullet"/>
        <w:spacing w:after="40"/>
      </w:pPr>
      <w:r>
        <w:rPr>
          <w:rFonts w:ascii="Aptos" w:hAnsi="Aptos"/>
          <w:sz w:val="18"/>
        </w:rPr>
        <w:t>Responsibility hierarchy and system architecture are separate graphs.</w:t>
      </w:r>
    </w:p>
    <w:p>
      <w:pPr>
        <w:pStyle w:val="ListBullet"/>
        <w:spacing w:after="40"/>
      </w:pPr>
      <w:r>
        <w:rPr>
          <w:rFonts w:ascii="Aptos" w:hAnsi="Aptos"/>
          <w:sz w:val="18"/>
        </w:rPr>
        <w:t>Asset Catalog grows through work; completeness is not a prerequisite.</w:t>
      </w:r>
    </w:p>
    <w:p>
      <w:pPr>
        <w:pStyle w:val="ListBullet"/>
        <w:spacing w:after="40"/>
      </w:pPr>
      <w:r>
        <w:rPr>
          <w:rFonts w:ascii="Aptos" w:hAnsi="Aptos"/>
          <w:sz w:val="18"/>
        </w:rPr>
        <w:t>Reusable Assurance Package is the primary human/system abstraction for shared assurance inheritance.</w:t>
      </w:r>
    </w:p>
    <w:p>
      <w:pPr>
        <w:pStyle w:val="ListBullet"/>
        <w:spacing w:after="40"/>
      </w:pPr>
      <w:r>
        <w:rPr>
          <w:rFonts w:ascii="Aptos" w:hAnsi="Aptos"/>
          <w:sz w:val="18"/>
        </w:rPr>
        <w:t>Provider and consumer responsibilities are explicit.</w:t>
      </w:r>
    </w:p>
    <w:p>
      <w:pPr>
        <w:pStyle w:val="ListBullet"/>
        <w:spacing w:after="40"/>
      </w:pPr>
      <w:r>
        <w:rPr>
          <w:rFonts w:ascii="Aptos" w:hAnsi="Aptos"/>
          <w:sz w:val="18"/>
        </w:rPr>
        <w:t>NIST 800-53A supplies the canonical objective backbone; organization templates supply practical task wording and routing.</w:t>
      </w:r>
    </w:p>
    <w:p>
      <w:pPr>
        <w:pStyle w:val="ListBullet"/>
        <w:spacing w:after="40"/>
      </w:pPr>
      <w:r>
        <w:rPr>
          <w:rFonts w:ascii="Aptos" w:hAnsi="Aptos"/>
          <w:sz w:val="18"/>
        </w:rPr>
        <w:t>Contributor answers do not create final determinations.</w:t>
      </w:r>
    </w:p>
    <w:p>
      <w:pPr>
        <w:pStyle w:val="ListBullet"/>
        <w:spacing w:after="40"/>
      </w:pPr>
      <w:r>
        <w:rPr>
          <w:rFonts w:ascii="Aptos" w:hAnsi="Aptos"/>
          <w:sz w:val="18"/>
        </w:rPr>
        <w:t>Missing information is Unknown and creates work.</w:t>
      </w:r>
    </w:p>
    <w:p>
      <w:pPr>
        <w:pStyle w:val="ListBullet"/>
        <w:spacing w:after="40"/>
      </w:pPr>
      <w:r>
        <w:rPr>
          <w:rFonts w:ascii="Aptos" w:hAnsi="Aptos"/>
          <w:sz w:val="18"/>
        </w:rPr>
        <w:t>Effective control profile and product/system baseline remain separate.</w:t>
      </w:r>
    </w:p>
    <w:p>
      <w:pPr>
        <w:pStyle w:val="ListBullet"/>
        <w:spacing w:after="40"/>
      </w:pPr>
      <w:r>
        <w:rPr>
          <w:rFonts w:ascii="Aptos" w:hAnsi="Aptos"/>
          <w:sz w:val="18"/>
        </w:rPr>
        <w:t>Findings, remediation, risk, and POA&amp;M are related but distinct.</w:t>
      </w:r>
    </w:p>
    <w:p>
      <w:pPr>
        <w:pStyle w:val="ListBullet"/>
        <w:spacing w:after="40"/>
      </w:pPr>
      <w:r>
        <w:rPr>
          <w:rFonts w:ascii="Aptos" w:hAnsi="Aptos"/>
          <w:sz w:val="18"/>
        </w:rPr>
        <w:t>Published assurance/baseline/result history is versioned and reconstructable.</w:t>
      </w:r>
    </w:p>
    <w:p>
      <w:pPr>
        <w:pStyle w:val="ListBullet"/>
        <w:spacing w:after="40"/>
      </w:pPr>
      <w:r>
        <w:rPr>
          <w:rFonts w:ascii="Aptos" w:hAnsi="Aptos"/>
          <w:sz w:val="18"/>
        </w:rPr>
        <w:t>Conflicts are first-class and adjudicated rather than overwritten.</w:t>
      </w:r>
    </w:p>
    <w:p>
      <w:pPr>
        <w:pStyle w:val="ListBullet"/>
        <w:spacing w:after="40"/>
      </w:pPr>
      <w:r>
        <w:rPr>
          <w:rFonts w:ascii="Aptos" w:hAnsi="Aptos"/>
          <w:sz w:val="18"/>
        </w:rPr>
        <w:t>No proprietary maturity/coverage score is required.</w:t>
      </w:r>
    </w:p>
    <w:p>
      <w:pPr>
        <w:pStyle w:val="ListBullet"/>
        <w:spacing w:after="40"/>
      </w:pPr>
      <w:r>
        <w:rPr>
          <w:rFonts w:ascii="Aptos" w:hAnsi="Aptos"/>
          <w:sz w:val="18"/>
        </w:rPr>
        <w:t>OSCAL is an interoperability target, not the primary interaction model.</w:t>
      </w:r>
    </w:p>
    <w:p>
      <w:pPr>
        <w:pStyle w:val="Heading1"/>
      </w:pPr>
      <w:r>
        <w:rPr>
          <w:rFonts w:ascii="Aptos" w:hAnsi="Aptos"/>
          <w:sz w:val="32"/>
        </w:rPr>
        <w:t>12. Open Product Questions</w:t>
      </w:r>
    </w:p>
    <w:p>
      <w:pPr>
        <w:spacing w:after="40"/>
        <w:ind w:left="202" w:hanging="202"/>
      </w:pPr>
      <w:r>
        <w:rPr>
          <w:rFonts w:ascii="Aptos" w:hAnsi="Aptos"/>
          <w:sz w:val="18"/>
        </w:rPr>
        <w:t>1. What initial organizational hierarchy depth gives useful ownership/routing without recreating the HR org chart?</w:t>
      </w:r>
    </w:p>
    <w:p>
      <w:pPr>
        <w:spacing w:after="40"/>
        <w:ind w:left="202" w:hanging="202"/>
      </w:pPr>
      <w:r>
        <w:rPr>
          <w:rFonts w:ascii="Aptos" w:hAnsi="Aptos"/>
          <w:sz w:val="18"/>
        </w:rPr>
        <w:t>2. Which asset types must be strongly typed in R1 versus represented as generic assets with attributes?</w:t>
      </w:r>
    </w:p>
    <w:p>
      <w:pPr>
        <w:spacing w:after="40"/>
        <w:ind w:left="202" w:hanging="202"/>
      </w:pPr>
      <w:r>
        <w:rPr>
          <w:rFonts w:ascii="Aptos" w:hAnsi="Aptos"/>
          <w:sz w:val="18"/>
        </w:rPr>
        <w:t>3. Who is allowed to publish a Reusable Assurance Package at organization, unit, product, and system scope?</w:t>
      </w:r>
    </w:p>
    <w:p>
      <w:pPr>
        <w:spacing w:after="40"/>
        <w:ind w:left="202" w:hanging="202"/>
      </w:pPr>
      <w:r>
        <w:rPr>
          <w:rFonts w:ascii="Aptos" w:hAnsi="Aptos"/>
          <w:sz w:val="18"/>
        </w:rPr>
        <w:t>4. Which reusable assessment determinations may be inherited across programs under policy, and which require local attestation or reassessment?</w:t>
      </w:r>
    </w:p>
    <w:p>
      <w:pPr>
        <w:spacing w:after="40"/>
        <w:ind w:left="202" w:hanging="202"/>
      </w:pPr>
      <w:r>
        <w:rPr>
          <w:rFonts w:ascii="Aptos" w:hAnsi="Aptos"/>
          <w:sz w:val="18"/>
        </w:rPr>
        <w:t>5. What information may be inherited when underlying evidence is restricted from the consuming program?</w:t>
      </w:r>
    </w:p>
    <w:p>
      <w:pPr>
        <w:spacing w:after="40"/>
        <w:ind w:left="202" w:hanging="202"/>
      </w:pPr>
      <w:r>
        <w:rPr>
          <w:rFonts w:ascii="Aptos" w:hAnsi="Aptos"/>
          <w:sz w:val="18"/>
        </w:rPr>
        <w:t>6. What are the minimum snapshot semantics required for formal assessment/authorization traceability?</w:t>
      </w:r>
    </w:p>
    <w:p>
      <w:pPr>
        <w:spacing w:after="40"/>
        <w:ind w:left="202" w:hanging="202"/>
      </w:pPr>
      <w:r>
        <w:rPr>
          <w:rFonts w:ascii="Aptos" w:hAnsi="Aptos"/>
          <w:sz w:val="18"/>
        </w:rPr>
        <w:t>7. Which conflict types must require security/governance adjudication versus asset-owner resolution?</w:t>
      </w:r>
    </w:p>
    <w:p>
      <w:pPr>
        <w:spacing w:after="40"/>
        <w:ind w:left="202" w:hanging="202"/>
      </w:pPr>
      <w:r>
        <w:rPr>
          <w:rFonts w:ascii="Aptos" w:hAnsi="Aptos"/>
          <w:sz w:val="18"/>
        </w:rPr>
        <w:t>8. What external source should be integrated first for the pilot: directory/org ownership, asset/CMDB/PLM, documents, or test/evidence?</w:t>
      </w:r>
    </w:p>
    <w:p>
      <w:pPr>
        <w:spacing w:after="40"/>
        <w:ind w:left="202" w:hanging="202"/>
      </w:pPr>
      <w:r>
        <w:rPr>
          <w:rFonts w:ascii="Aptos" w:hAnsi="Aptos"/>
          <w:sz w:val="18"/>
        </w:rPr>
        <w:t>9. Which exact CNSSI 1253 artifacts and organization-specific workflow must be represented for target NSS programs?</w:t>
      </w:r>
    </w:p>
    <w:p>
      <w:pPr>
        <w:spacing w:after="40"/>
        <w:ind w:left="202" w:hanging="202"/>
      </w:pPr>
      <w:r>
        <w:rPr>
          <w:rFonts w:ascii="Aptos" w:hAnsi="Aptos"/>
          <w:sz w:val="18"/>
        </w:rPr>
        <w:t>10. Which OSCAL exports are contractual/authorization deliverables versus simply useful interchange?</w:t>
      </w:r>
    </w:p>
    <w:p>
      <w:pPr>
        <w:spacing w:after="40"/>
        <w:ind w:left="202" w:hanging="202"/>
      </w:pPr>
      <w:r>
        <w:rPr>
          <w:rFonts w:ascii="Aptos" w:hAnsi="Aptos"/>
          <w:sz w:val="18"/>
        </w:rPr>
        <w:t>11. What is the minimum viable applicability rule syntax that is expressive enough without becoming a policy-programming language?</w:t>
      </w:r>
    </w:p>
    <w:p>
      <w:pPr>
        <w:spacing w:after="40"/>
        <w:ind w:left="202" w:hanging="202"/>
      </w:pPr>
      <w:r>
        <w:rPr>
          <w:rFonts w:ascii="Aptos" w:hAnsi="Aptos"/>
          <w:sz w:val="18"/>
        </w:rPr>
        <w:t>12. Which evidence trust/visibility classifications are required by the organization’s information-sharing rules?</w:t>
      </w:r>
    </w:p>
    <w:p>
      <w:pPr>
        <w:pStyle w:val="Heading1"/>
      </w:pPr>
      <w:r>
        <w:rPr>
          <w:rFonts w:ascii="Aptos" w:hAnsi="Aptos"/>
          <w:sz w:val="32"/>
        </w:rPr>
        <w:t>Appendix A. Product Glossary</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321"/>
            <w:vAlign w:val="top"/>
            <w:tcMar>
              <w:top w:w="70" w:type="dxa"/>
              <w:start w:w="85" w:type="dxa"/>
              <w:bottom w:w="70" w:type="dxa"/>
              <w:end w:w="85" w:type="dxa"/>
            </w:tcMar>
            <w:shd w:fill="D9EAF7"/>
          </w:tcPr>
          <w:p>
            <w:pPr>
              <w:pStyle w:val="Compact"/>
            </w:pPr>
            <w:r>
              <w:rPr>
                <w:rFonts w:ascii="Aptos" w:hAnsi="Aptos"/>
                <w:b/>
                <w:color w:val="17365D"/>
                <w:sz w:val="16"/>
              </w:rPr>
              <w:t>Term</w:t>
            </w:r>
          </w:p>
        </w:tc>
        <w:tc>
          <w:tcPr>
            <w:tcW w:type="dxa" w:w="7399"/>
            <w:vAlign w:val="top"/>
            <w:tcMar>
              <w:top w:w="70" w:type="dxa"/>
              <w:start w:w="85" w:type="dxa"/>
              <w:bottom w:w="70" w:type="dxa"/>
              <w:end w:w="85" w:type="dxa"/>
            </w:tcMar>
            <w:shd w:fill="D9EAF7"/>
          </w:tcPr>
          <w:p>
            <w:pPr>
              <w:pStyle w:val="Compact"/>
            </w:pPr>
            <w:r>
              <w:rPr>
                <w:rFonts w:ascii="Aptos" w:hAnsi="Aptos"/>
                <w:b/>
                <w:color w:val="17365D"/>
                <w:sz w:val="16"/>
              </w:rPr>
              <w:t>Product meaning</w:t>
            </w:r>
          </w:p>
        </w:tc>
      </w:tr>
      <w:tr>
        <w:tc>
          <w:tcPr>
            <w:tcW w:type="dxa" w:w="2321"/>
            <w:vAlign w:val="top"/>
            <w:tcMar>
              <w:top w:w="70" w:type="dxa"/>
              <w:start w:w="85" w:type="dxa"/>
              <w:bottom w:w="70" w:type="dxa"/>
              <w:end w:w="85" w:type="dxa"/>
            </w:tcMar>
          </w:tcPr>
          <w:p>
            <w:pPr>
              <w:pStyle w:val="Compact"/>
            </w:pPr>
            <w:r>
              <w:rPr>
                <w:rFonts w:ascii="Aptos" w:hAnsi="Aptos"/>
                <w:b/>
                <w:sz w:val="16"/>
              </w:rPr>
              <w:t>Asset</w:t>
            </w:r>
          </w:p>
        </w:tc>
        <w:tc>
          <w:tcPr>
            <w:tcW w:type="dxa" w:w="7399"/>
            <w:vAlign w:val="top"/>
            <w:tcMar>
              <w:top w:w="70" w:type="dxa"/>
              <w:start w:w="85" w:type="dxa"/>
              <w:bottom w:w="70" w:type="dxa"/>
              <w:end w:w="85" w:type="dxa"/>
            </w:tcMar>
          </w:tcPr>
          <w:p>
            <w:pPr>
              <w:pStyle w:val="Compact"/>
            </w:pPr>
            <w:r>
              <w:rPr>
                <w:rFonts w:ascii="Aptos" w:hAnsi="Aptos"/>
                <w:sz w:val="16"/>
              </w:rPr>
              <w:t>Any assurance-relevant subject with stable identity and ownership: service, policy, procedure, product, system, component, process, etc.</w:t>
            </w:r>
          </w:p>
        </w:tc>
      </w:tr>
      <w:tr>
        <w:tc>
          <w:tcPr>
            <w:tcW w:type="dxa" w:w="2321"/>
            <w:vAlign w:val="top"/>
            <w:tcMar>
              <w:top w:w="70" w:type="dxa"/>
              <w:start w:w="85" w:type="dxa"/>
              <w:bottom w:w="70" w:type="dxa"/>
              <w:end w:w="85" w:type="dxa"/>
            </w:tcMar>
            <w:shd w:fill="FAFCFD"/>
          </w:tcPr>
          <w:p>
            <w:pPr>
              <w:pStyle w:val="Compact"/>
            </w:pPr>
            <w:r>
              <w:rPr>
                <w:rFonts w:ascii="Aptos" w:hAnsi="Aptos"/>
                <w:b/>
                <w:sz w:val="16"/>
              </w:rPr>
              <w:t>Assessment Objective</w:t>
            </w:r>
          </w:p>
        </w:tc>
        <w:tc>
          <w:tcPr>
            <w:tcW w:type="dxa" w:w="7399"/>
            <w:vAlign w:val="top"/>
            <w:tcMar>
              <w:top w:w="70" w:type="dxa"/>
              <w:start w:w="85" w:type="dxa"/>
              <w:bottom w:w="70" w:type="dxa"/>
              <w:end w:w="85" w:type="dxa"/>
            </w:tcMar>
            <w:shd w:fill="FAFCFD"/>
          </w:tcPr>
          <w:p>
            <w:pPr>
              <w:pStyle w:val="Compact"/>
            </w:pPr>
            <w:r>
              <w:rPr>
                <w:rFonts w:ascii="Aptos" w:hAnsi="Aptos"/>
                <w:sz w:val="16"/>
              </w:rPr>
              <w:t>Canonical determination target, typically imported from SP 800-53A for NIST controls.</w:t>
            </w:r>
          </w:p>
        </w:tc>
      </w:tr>
      <w:tr>
        <w:tc>
          <w:tcPr>
            <w:tcW w:type="dxa" w:w="2321"/>
            <w:vAlign w:val="top"/>
            <w:tcMar>
              <w:top w:w="70" w:type="dxa"/>
              <w:start w:w="85" w:type="dxa"/>
              <w:bottom w:w="70" w:type="dxa"/>
              <w:end w:w="85" w:type="dxa"/>
            </w:tcMar>
          </w:tcPr>
          <w:p>
            <w:pPr>
              <w:pStyle w:val="Compact"/>
            </w:pPr>
            <w:r>
              <w:rPr>
                <w:rFonts w:ascii="Aptos" w:hAnsi="Aptos"/>
                <w:b/>
                <w:sz w:val="16"/>
              </w:rPr>
              <w:t>Assessment Template</w:t>
            </w:r>
          </w:p>
        </w:tc>
        <w:tc>
          <w:tcPr>
            <w:tcW w:type="dxa" w:w="7399"/>
            <w:vAlign w:val="top"/>
            <w:tcMar>
              <w:top w:w="70" w:type="dxa"/>
              <w:start w:w="85" w:type="dxa"/>
              <w:bottom w:w="70" w:type="dxa"/>
              <w:end w:w="85" w:type="dxa"/>
            </w:tcMar>
          </w:tcPr>
          <w:p>
            <w:pPr>
              <w:pStyle w:val="Compact"/>
            </w:pPr>
            <w:r>
              <w:rPr>
                <w:rFonts w:ascii="Aptos" w:hAnsi="Aptos"/>
                <w:sz w:val="16"/>
              </w:rPr>
              <w:t>Organization-authored practical way to gather/produce information for one or more objectives.</w:t>
            </w:r>
          </w:p>
        </w:tc>
      </w:tr>
      <w:tr>
        <w:tc>
          <w:tcPr>
            <w:tcW w:type="dxa" w:w="2321"/>
            <w:vAlign w:val="top"/>
            <w:tcMar>
              <w:top w:w="70" w:type="dxa"/>
              <w:start w:w="85" w:type="dxa"/>
              <w:bottom w:w="70" w:type="dxa"/>
              <w:end w:w="85" w:type="dxa"/>
            </w:tcMar>
            <w:shd w:fill="FAFCFD"/>
          </w:tcPr>
          <w:p>
            <w:pPr>
              <w:pStyle w:val="Compact"/>
            </w:pPr>
            <w:r>
              <w:rPr>
                <w:rFonts w:ascii="Aptos" w:hAnsi="Aptos"/>
                <w:b/>
                <w:sz w:val="16"/>
              </w:rPr>
              <w:t>Reusable Assurance Package</w:t>
            </w:r>
          </w:p>
        </w:tc>
        <w:tc>
          <w:tcPr>
            <w:tcW w:type="dxa" w:w="7399"/>
            <w:vAlign w:val="top"/>
            <w:tcMar>
              <w:top w:w="70" w:type="dxa"/>
              <w:start w:w="85" w:type="dxa"/>
              <w:bottom w:w="70" w:type="dxa"/>
              <w:end w:w="85" w:type="dxa"/>
            </w:tcMar>
            <w:shd w:fill="FAFCFD"/>
          </w:tcPr>
          <w:p>
            <w:pPr>
              <w:pStyle w:val="Compact"/>
            </w:pPr>
            <w:r>
              <w:rPr>
                <w:rFonts w:ascii="Aptos" w:hAnsi="Aptos"/>
                <w:sz w:val="16"/>
              </w:rPr>
              <w:t>Published versioned bundle stating what assurance a provider offers consumers, under what conditions, supported by what results/evidence, and with what residual responsibilities.</w:t>
            </w:r>
          </w:p>
        </w:tc>
      </w:tr>
      <w:tr>
        <w:tc>
          <w:tcPr>
            <w:tcW w:type="dxa" w:w="2321"/>
            <w:vAlign w:val="top"/>
            <w:tcMar>
              <w:top w:w="70" w:type="dxa"/>
              <w:start w:w="85" w:type="dxa"/>
              <w:bottom w:w="70" w:type="dxa"/>
              <w:end w:w="85" w:type="dxa"/>
            </w:tcMar>
          </w:tcPr>
          <w:p>
            <w:pPr>
              <w:pStyle w:val="Compact"/>
            </w:pPr>
            <w:r>
              <w:rPr>
                <w:rFonts w:ascii="Aptos" w:hAnsi="Aptos"/>
                <w:b/>
                <w:sz w:val="16"/>
              </w:rPr>
              <w:t>Implementation Assertion</w:t>
            </w:r>
          </w:p>
        </w:tc>
        <w:tc>
          <w:tcPr>
            <w:tcW w:type="dxa" w:w="7399"/>
            <w:vAlign w:val="top"/>
            <w:tcMar>
              <w:top w:w="70" w:type="dxa"/>
              <w:start w:w="85" w:type="dxa"/>
              <w:bottom w:w="70" w:type="dxa"/>
              <w:end w:w="85" w:type="dxa"/>
            </w:tcMar>
          </w:tcPr>
          <w:p>
            <w:pPr>
              <w:pStyle w:val="Compact"/>
            </w:pPr>
            <w:r>
              <w:rPr>
                <w:rFonts w:ascii="Aptos" w:hAnsi="Aptos"/>
                <w:sz w:val="16"/>
              </w:rPr>
              <w:t>Statement explaining how an asset/system/component supports an obligation under stated conditions.</w:t>
            </w:r>
          </w:p>
        </w:tc>
      </w:tr>
      <w:tr>
        <w:tc>
          <w:tcPr>
            <w:tcW w:type="dxa" w:w="2321"/>
            <w:vAlign w:val="top"/>
            <w:tcMar>
              <w:top w:w="70" w:type="dxa"/>
              <w:start w:w="85" w:type="dxa"/>
              <w:bottom w:w="70" w:type="dxa"/>
              <w:end w:w="85" w:type="dxa"/>
            </w:tcMar>
            <w:shd w:fill="FAFCFD"/>
          </w:tcPr>
          <w:p>
            <w:pPr>
              <w:pStyle w:val="Compact"/>
            </w:pPr>
            <w:r>
              <w:rPr>
                <w:rFonts w:ascii="Aptos" w:hAnsi="Aptos"/>
                <w:b/>
                <w:sz w:val="16"/>
              </w:rPr>
              <w:t>Response</w:t>
            </w:r>
          </w:p>
        </w:tc>
        <w:tc>
          <w:tcPr>
            <w:tcW w:type="dxa" w:w="7399"/>
            <w:vAlign w:val="top"/>
            <w:tcMar>
              <w:top w:w="70" w:type="dxa"/>
              <w:start w:w="85" w:type="dxa"/>
              <w:bottom w:w="70" w:type="dxa"/>
              <w:end w:w="85" w:type="dxa"/>
            </w:tcMar>
            <w:shd w:fill="FAFCFD"/>
          </w:tcPr>
          <w:p>
            <w:pPr>
              <w:pStyle w:val="Compact"/>
            </w:pPr>
            <w:r>
              <w:rPr>
                <w:rFonts w:ascii="Aptos" w:hAnsi="Aptos"/>
                <w:sz w:val="16"/>
              </w:rPr>
              <w:t>Contributor answer/submission to an assessment task.</w:t>
            </w:r>
          </w:p>
        </w:tc>
      </w:tr>
      <w:tr>
        <w:tc>
          <w:tcPr>
            <w:tcW w:type="dxa" w:w="2321"/>
            <w:vAlign w:val="top"/>
            <w:tcMar>
              <w:top w:w="70" w:type="dxa"/>
              <w:start w:w="85" w:type="dxa"/>
              <w:bottom w:w="70" w:type="dxa"/>
              <w:end w:w="85" w:type="dxa"/>
            </w:tcMar>
          </w:tcPr>
          <w:p>
            <w:pPr>
              <w:pStyle w:val="Compact"/>
            </w:pPr>
            <w:r>
              <w:rPr>
                <w:rFonts w:ascii="Aptos" w:hAnsi="Aptos"/>
                <w:b/>
                <w:sz w:val="16"/>
              </w:rPr>
              <w:t>Observation</w:t>
            </w:r>
          </w:p>
        </w:tc>
        <w:tc>
          <w:tcPr>
            <w:tcW w:type="dxa" w:w="7399"/>
            <w:vAlign w:val="top"/>
            <w:tcMar>
              <w:top w:w="70" w:type="dxa"/>
              <w:start w:w="85" w:type="dxa"/>
              <w:bottom w:w="70" w:type="dxa"/>
              <w:end w:w="85" w:type="dxa"/>
            </w:tcMar>
          </w:tcPr>
          <w:p>
            <w:pPr>
              <w:pStyle w:val="Compact"/>
            </w:pPr>
            <w:r>
              <w:rPr>
                <w:rFonts w:ascii="Aptos" w:hAnsi="Aptos"/>
                <w:sz w:val="16"/>
              </w:rPr>
              <w:t>Structured fact/evidence accepted or generated during assessment.</w:t>
            </w:r>
          </w:p>
        </w:tc>
      </w:tr>
      <w:tr>
        <w:tc>
          <w:tcPr>
            <w:tcW w:type="dxa" w:w="2321"/>
            <w:vAlign w:val="top"/>
            <w:tcMar>
              <w:top w:w="70" w:type="dxa"/>
              <w:start w:w="85" w:type="dxa"/>
              <w:bottom w:w="70" w:type="dxa"/>
              <w:end w:w="85" w:type="dxa"/>
            </w:tcMar>
            <w:shd w:fill="FAFCFD"/>
          </w:tcPr>
          <w:p>
            <w:pPr>
              <w:pStyle w:val="Compact"/>
            </w:pPr>
            <w:r>
              <w:rPr>
                <w:rFonts w:ascii="Aptos" w:hAnsi="Aptos"/>
                <w:b/>
                <w:sz w:val="16"/>
              </w:rPr>
              <w:t>Determination</w:t>
            </w:r>
          </w:p>
        </w:tc>
        <w:tc>
          <w:tcPr>
            <w:tcW w:type="dxa" w:w="7399"/>
            <w:vAlign w:val="top"/>
            <w:tcMar>
              <w:top w:w="70" w:type="dxa"/>
              <w:start w:w="85" w:type="dxa"/>
              <w:bottom w:w="70" w:type="dxa"/>
              <w:end w:w="85" w:type="dxa"/>
            </w:tcMar>
            <w:shd w:fill="FAFCFD"/>
          </w:tcPr>
          <w:p>
            <w:pPr>
              <w:pStyle w:val="Compact"/>
            </w:pPr>
            <w:r>
              <w:rPr>
                <w:rFonts w:ascii="Aptos" w:hAnsi="Aptos"/>
                <w:sz w:val="16"/>
              </w:rPr>
              <w:t>Authorized reviewer conclusion for an assessment objective.</w:t>
            </w:r>
          </w:p>
        </w:tc>
      </w:tr>
      <w:tr>
        <w:tc>
          <w:tcPr>
            <w:tcW w:type="dxa" w:w="2321"/>
            <w:vAlign w:val="top"/>
            <w:tcMar>
              <w:top w:w="70" w:type="dxa"/>
              <w:start w:w="85" w:type="dxa"/>
              <w:bottom w:w="70" w:type="dxa"/>
              <w:end w:w="85" w:type="dxa"/>
            </w:tcMar>
          </w:tcPr>
          <w:p>
            <w:pPr>
              <w:pStyle w:val="Compact"/>
            </w:pPr>
            <w:r>
              <w:rPr>
                <w:rFonts w:ascii="Aptos" w:hAnsi="Aptos"/>
                <w:b/>
                <w:sz w:val="16"/>
              </w:rPr>
              <w:t>Finding</w:t>
            </w:r>
          </w:p>
        </w:tc>
        <w:tc>
          <w:tcPr>
            <w:tcW w:type="dxa" w:w="7399"/>
            <w:vAlign w:val="top"/>
            <w:tcMar>
              <w:top w:w="70" w:type="dxa"/>
              <w:start w:w="85" w:type="dxa"/>
              <w:bottom w:w="70" w:type="dxa"/>
              <w:end w:w="85" w:type="dxa"/>
            </w:tcMar>
          </w:tcPr>
          <w:p>
            <w:pPr>
              <w:pStyle w:val="Compact"/>
            </w:pPr>
            <w:r>
              <w:rPr>
                <w:rFonts w:ascii="Aptos" w:hAnsi="Aptos"/>
                <w:sz w:val="16"/>
              </w:rPr>
              <w:t>Gap/issue identified from assessment evidence/observations/determinations.</w:t>
            </w:r>
          </w:p>
        </w:tc>
      </w:tr>
      <w:tr>
        <w:tc>
          <w:tcPr>
            <w:tcW w:type="dxa" w:w="2321"/>
            <w:vAlign w:val="top"/>
            <w:tcMar>
              <w:top w:w="70" w:type="dxa"/>
              <w:start w:w="85" w:type="dxa"/>
              <w:bottom w:w="70" w:type="dxa"/>
              <w:end w:w="85" w:type="dxa"/>
            </w:tcMar>
            <w:shd w:fill="FAFCFD"/>
          </w:tcPr>
          <w:p>
            <w:pPr>
              <w:pStyle w:val="Compact"/>
            </w:pPr>
            <w:r>
              <w:rPr>
                <w:rFonts w:ascii="Aptos" w:hAnsi="Aptos"/>
                <w:b/>
                <w:sz w:val="16"/>
              </w:rPr>
              <w:t>Remediation Initiative</w:t>
            </w:r>
          </w:p>
        </w:tc>
        <w:tc>
          <w:tcPr>
            <w:tcW w:type="dxa" w:w="7399"/>
            <w:vAlign w:val="top"/>
            <w:tcMar>
              <w:top w:w="70" w:type="dxa"/>
              <w:start w:w="85" w:type="dxa"/>
              <w:bottom w:w="70" w:type="dxa"/>
              <w:end w:w="85" w:type="dxa"/>
            </w:tcMar>
            <w:shd w:fill="FAFCFD"/>
          </w:tcPr>
          <w:p>
            <w:pPr>
              <w:pStyle w:val="Compact"/>
            </w:pPr>
            <w:r>
              <w:rPr>
                <w:rFonts w:ascii="Aptos" w:hAnsi="Aptos"/>
                <w:sz w:val="16"/>
              </w:rPr>
              <w:t>Grouped assurance-specific effort addressing one or more related findings.</w:t>
            </w:r>
          </w:p>
        </w:tc>
      </w:tr>
      <w:tr>
        <w:tc>
          <w:tcPr>
            <w:tcW w:type="dxa" w:w="2321"/>
            <w:vAlign w:val="top"/>
            <w:tcMar>
              <w:top w:w="70" w:type="dxa"/>
              <w:start w:w="85" w:type="dxa"/>
              <w:bottom w:w="70" w:type="dxa"/>
              <w:end w:w="85" w:type="dxa"/>
            </w:tcMar>
          </w:tcPr>
          <w:p>
            <w:pPr>
              <w:pStyle w:val="Compact"/>
            </w:pPr>
            <w:r>
              <w:rPr>
                <w:rFonts w:ascii="Aptos" w:hAnsi="Aptos"/>
                <w:b/>
                <w:sz w:val="16"/>
              </w:rPr>
              <w:t>Promotion</w:t>
            </w:r>
          </w:p>
        </w:tc>
        <w:tc>
          <w:tcPr>
            <w:tcW w:type="dxa" w:w="7399"/>
            <w:vAlign w:val="top"/>
            <w:tcMar>
              <w:top w:w="70" w:type="dxa"/>
              <w:start w:w="85" w:type="dxa"/>
              <w:bottom w:w="70" w:type="dxa"/>
              <w:end w:w="85" w:type="dxa"/>
            </w:tcMar>
          </w:tcPr>
          <w:p>
            <w:pPr>
              <w:pStyle w:val="Compact"/>
            </w:pPr>
            <w:r>
              <w:rPr>
                <w:rFonts w:ascii="Aptos" w:hAnsi="Aptos"/>
                <w:sz w:val="16"/>
              </w:rPr>
              <w:t>Governed movement of validated local knowledge to a broader reusable scope without rewriting history.</w:t>
            </w:r>
          </w:p>
        </w:tc>
      </w:tr>
      <w:tr>
        <w:tc>
          <w:tcPr>
            <w:tcW w:type="dxa" w:w="2321"/>
            <w:vAlign w:val="top"/>
            <w:tcMar>
              <w:top w:w="70" w:type="dxa"/>
              <w:start w:w="85" w:type="dxa"/>
              <w:bottom w:w="70" w:type="dxa"/>
              <w:end w:w="85" w:type="dxa"/>
            </w:tcMar>
            <w:shd w:fill="FAFCFD"/>
          </w:tcPr>
          <w:p>
            <w:pPr>
              <w:pStyle w:val="Compact"/>
            </w:pPr>
            <w:r>
              <w:rPr>
                <w:rFonts w:ascii="Aptos" w:hAnsi="Aptos"/>
                <w:b/>
                <w:sz w:val="16"/>
              </w:rPr>
              <w:t>Assessment Snapshot</w:t>
            </w:r>
          </w:p>
        </w:tc>
        <w:tc>
          <w:tcPr>
            <w:tcW w:type="dxa" w:w="7399"/>
            <w:vAlign w:val="top"/>
            <w:tcMar>
              <w:top w:w="70" w:type="dxa"/>
              <w:start w:w="85" w:type="dxa"/>
              <w:bottom w:w="70" w:type="dxa"/>
              <w:end w:w="85" w:type="dxa"/>
            </w:tcMar>
            <w:shd w:fill="FAFCFD"/>
          </w:tcPr>
          <w:p>
            <w:pPr>
              <w:pStyle w:val="Compact"/>
            </w:pPr>
            <w:r>
              <w:rPr>
                <w:rFonts w:ascii="Aptos" w:hAnsi="Aptos"/>
                <w:sz w:val="16"/>
              </w:rPr>
              <w:t>Immutable record of the profile, asset/system state, assurance packages, evidence/result versions, roles, and scope against which an assessment determination was made.</w:t>
            </w:r>
          </w:p>
        </w:tc>
      </w:tr>
      <w:tr>
        <w:tc>
          <w:tcPr>
            <w:tcW w:type="dxa" w:w="2321"/>
            <w:vAlign w:val="top"/>
            <w:tcMar>
              <w:top w:w="70" w:type="dxa"/>
              <w:start w:w="85" w:type="dxa"/>
              <w:bottom w:w="70" w:type="dxa"/>
              <w:end w:w="85" w:type="dxa"/>
            </w:tcMar>
          </w:tcPr>
          <w:p>
            <w:pPr>
              <w:pStyle w:val="Compact"/>
            </w:pPr>
            <w:r>
              <w:rPr>
                <w:rFonts w:ascii="Aptos" w:hAnsi="Aptos"/>
                <w:b/>
                <w:sz w:val="16"/>
              </w:rPr>
              <w:t>Source Conflict</w:t>
            </w:r>
          </w:p>
        </w:tc>
        <w:tc>
          <w:tcPr>
            <w:tcW w:type="dxa" w:w="7399"/>
            <w:vAlign w:val="top"/>
            <w:tcMar>
              <w:top w:w="70" w:type="dxa"/>
              <w:start w:w="85" w:type="dxa"/>
              <w:bottom w:w="70" w:type="dxa"/>
              <w:end w:w="85" w:type="dxa"/>
            </w:tcMar>
          </w:tcPr>
          <w:p>
            <w:pPr>
              <w:pStyle w:val="Compact"/>
            </w:pPr>
            <w:r>
              <w:rPr>
                <w:rFonts w:ascii="Aptos" w:hAnsi="Aptos"/>
                <w:sz w:val="16"/>
              </w:rPr>
              <w:t>Explicit unresolved disagreement between two authoritative or material assertions about the same fact/attribute.</w:t>
            </w:r>
          </w:p>
        </w:tc>
      </w:tr>
      <w:tr>
        <w:tc>
          <w:tcPr>
            <w:tcW w:type="dxa" w:w="2321"/>
            <w:vAlign w:val="top"/>
            <w:tcMar>
              <w:top w:w="70" w:type="dxa"/>
              <w:start w:w="85" w:type="dxa"/>
              <w:bottom w:w="70" w:type="dxa"/>
              <w:end w:w="85" w:type="dxa"/>
            </w:tcMar>
          </w:tcPr>
          <w:p>
            <w:pPr>
              <w:pStyle w:val="Compact"/>
            </w:pPr>
            <w:r>
              <w:rPr>
                <w:rFonts w:ascii="Aptos" w:hAnsi="Aptos"/>
                <w:b/>
                <w:sz w:val="16"/>
              </w:rPr>
              <w:t>SCTM (Security Controls Traceability Matrix)</w:t>
            </w:r>
          </w:p>
        </w:tc>
        <w:tc>
          <w:tcPr>
            <w:tcW w:type="dxa" w:w="7399"/>
            <w:vAlign w:val="top"/>
            <w:tcMar>
              <w:top w:w="70" w:type="dxa"/>
              <w:start w:w="85" w:type="dxa"/>
              <w:bottom w:w="70" w:type="dxa"/>
              <w:end w:w="85" w:type="dxa"/>
            </w:tcMar>
          </w:tcPr>
          <w:p>
            <w:pPr>
              <w:pStyle w:val="Compact"/>
            </w:pPr>
            <w:r>
              <w:rPr>
                <w:rFonts w:ascii="Aptos" w:hAnsi="Aptos"/>
                <w:sz w:val="16"/>
              </w:rPr>
              <w:t>Derived traceability view generated from the live graph for a scope/snapshot: effective obligation, allocation, implementation, evidence, assessment state, and disposition. Exported as the program workbook artifact; never handcrafted or independently edited.</w:t>
            </w:r>
          </w:p>
        </w:tc>
      </w:tr>
    </w:tbl>
    <w:p>
      <w:pPr>
        <w:spacing w:after="0"/>
      </w:pPr>
    </w:p>
    <w:sectPr w:rsidR="00FC693F" w:rsidRPr="0006063C" w:rsidSect="00034616">
      <w:headerReference w:type="default" r:id="rId9"/>
      <w:footerReference w:type="default" r:id="rId10"/>
      <w:pgSz w:w="12240" w:h="15840"/>
      <w:pgMar w:top="979" w:right="1123" w:bottom="893"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57386"/>
        <w:sz w:val="14"/>
      </w:rPr>
      <w:t xml:space="preserve">Internal Draft | v1.0 | 11 Aug 2026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57386"/>
        <w:sz w:val="14"/>
      </w:rPr>
      <w:t>PROGRAM ASSURANCE PLATFORM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30" w:line="240" w:lineRule="auto"/>
    </w:pPr>
    <w:rPr>
      <w:rFonts w:ascii="Aptos" w:hAnsi="Aptos"/>
      <w:sz w:val="16"/>
    </w:rPr>
  </w:style>
  <w:style w:type="paragraph" w:customStyle="1" w:styleId="Callout">
    <w:name w:val="Callout"/>
    <w:pPr>
      <w:spacing w:before="80" w:after="120"/>
      <w:ind w:left="259" w:right="259"/>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Assurance Platform | Product Requirements Document</dc:title>
  <dc:subject>Product Requirements Document</dc:subject>
  <dc:creator>python-docx</dc:creator>
  <cp:keywords/>
  <dc:description>Draft generated from Program Assurance Platform v0.2 restructuring work.</dc:description>
  <cp:lastModifiedBy/>
  <cp:revision>1</cp:revision>
  <dcterms:created xsi:type="dcterms:W3CDTF">2013-12-23T23:15:00Z</dcterms:created>
  <dcterms:modified xsi:type="dcterms:W3CDTF">2013-12-23T23:15:00Z</dcterms:modified>
  <cp:category/>
</cp:coreProperties>
</file>