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3E978" w14:textId="77777777" w:rsidR="009453A0" w:rsidRPr="009453A0" w:rsidRDefault="009453A0" w:rsidP="009453A0">
      <w:r w:rsidRPr="009453A0">
        <w:t xml:space="preserve">El libro </w:t>
      </w:r>
      <w:r w:rsidRPr="009453A0">
        <w:rPr>
          <w:b/>
          <w:bCs/>
          <w:i/>
          <w:iCs/>
        </w:rPr>
        <w:t xml:space="preserve">Robótica, Biónica y Domótica: usando Arduino y </w:t>
      </w:r>
      <w:proofErr w:type="spellStart"/>
      <w:r w:rsidRPr="009453A0">
        <w:rPr>
          <w:b/>
          <w:bCs/>
          <w:i/>
          <w:iCs/>
        </w:rPr>
        <w:t>Tinkercad</w:t>
      </w:r>
      <w:proofErr w:type="spellEnd"/>
      <w:r w:rsidRPr="009453A0">
        <w:t xml:space="preserve"> de Star Learn constituye una aportación significativa al aprendizaje tecnológico contemporáneo, ya que integra tres áreas fundamentales del desarrollo científico y de la ingeniería moderna: la robótica, la biónica y la domótica. A lo largo de su contenido, la obra demuestra que estas disciplinas, lejos de ser campos aislados o exclusivamente teóricos, están profundamente interconectadas y tienen un impacto directo en la vida cotidiana, la industria, la medicina y el futuro de la sociedad.</w:t>
      </w:r>
    </w:p>
    <w:p w14:paraId="36909076" w14:textId="77777777" w:rsidR="009453A0" w:rsidRPr="009453A0" w:rsidRDefault="009453A0" w:rsidP="009453A0">
      <w:r w:rsidRPr="009453A0">
        <w:t xml:space="preserve">Uno de los principales aciertos del libro es su enfoque pedagógico. En lugar de presentar los temas desde una perspectiva abstracta o excesivamente técnica, el autor opta por una metodología práctica y experiencial basada en proyectos con </w:t>
      </w:r>
      <w:r w:rsidRPr="009453A0">
        <w:rPr>
          <w:b/>
          <w:bCs/>
        </w:rPr>
        <w:t xml:space="preserve">Arduino y </w:t>
      </w:r>
      <w:proofErr w:type="spellStart"/>
      <w:r w:rsidRPr="009453A0">
        <w:rPr>
          <w:b/>
          <w:bCs/>
        </w:rPr>
        <w:t>Tinkercad</w:t>
      </w:r>
      <w:proofErr w:type="spellEnd"/>
      <w:r w:rsidRPr="009453A0">
        <w:t xml:space="preserve">. Esta decisión didáctica es especialmente valiosa porque permite que el lector no solo comprenda los conceptos, sino que los </w:t>
      </w:r>
      <w:r w:rsidRPr="009453A0">
        <w:rPr>
          <w:b/>
          <w:bCs/>
        </w:rPr>
        <w:t>aplique activamente</w:t>
      </w:r>
      <w:r w:rsidRPr="009453A0">
        <w:t>, construyendo circuitos, programando dispositivos y simulando sistemas reales. De esta manera, el aprendizaje deja de ser pasivo y se convierte en un proceso creativo, experimental y motivador.</w:t>
      </w:r>
    </w:p>
    <w:p w14:paraId="6302DFF9" w14:textId="77777777" w:rsidR="009453A0" w:rsidRPr="009453A0" w:rsidRDefault="009453A0" w:rsidP="009453A0">
      <w:r w:rsidRPr="009453A0">
        <w:t xml:space="preserve">En el ámbito de la </w:t>
      </w:r>
      <w:r w:rsidRPr="009453A0">
        <w:rPr>
          <w:b/>
          <w:bCs/>
        </w:rPr>
        <w:t>robótica</w:t>
      </w:r>
      <w:r w:rsidRPr="009453A0">
        <w:t>, el libro muestra cómo los robots no son simplemente máquinas complejas, sino sistemas inteligentes compuestos por sensores, actuadores y programación. A través de ejemplos y ejercicios, el lector aprende que la robótica combina electrónica, lógica computacional y diseño mecánico, lo que fomenta el pensamiento interdisciplinario. Esto es fundamental en la formación de nuevas generaciones de ingenieros, científicos y tecnólogos, ya que el futuro laboral demandará cada vez más profesionales con habilidades integrales en estas áreas.</w:t>
      </w:r>
    </w:p>
    <w:p w14:paraId="00573CE3" w14:textId="77777777" w:rsidR="009453A0" w:rsidRPr="009453A0" w:rsidRDefault="009453A0" w:rsidP="009453A0">
      <w:r w:rsidRPr="009453A0">
        <w:t xml:space="preserve">Por su parte, la sección dedicada a la </w:t>
      </w:r>
      <w:r w:rsidRPr="009453A0">
        <w:rPr>
          <w:b/>
          <w:bCs/>
        </w:rPr>
        <w:t>biónica</w:t>
      </w:r>
      <w:r w:rsidRPr="009453A0">
        <w:t xml:space="preserve"> introduce una dimensión profundamente humana y ética de la tecnología. Al explorar cómo los principios de la naturaleza pueden inspirar dispositivos artificiales y prótesis avanzadas, el libro invita a reflexionar sobre el papel de la ingeniería en la mejora de la calidad de vida. La biónica no se presenta solo como una rama de la ciencia, sino como un puente entre la biología y la tecnología, con aplicaciones en medicina, rehabilitación y accesibilidad. Esto convierte a la obra en algo más que un manual técnico: también es un texto que promueve una visión socialmente responsable de la innovación tecnológica.</w:t>
      </w:r>
    </w:p>
    <w:p w14:paraId="2DC77362" w14:textId="77777777" w:rsidR="009453A0" w:rsidRPr="009453A0" w:rsidRDefault="009453A0" w:rsidP="009453A0">
      <w:r w:rsidRPr="009453A0">
        <w:t xml:space="preserve">En cuanto a la </w:t>
      </w:r>
      <w:r w:rsidRPr="009453A0">
        <w:rPr>
          <w:b/>
          <w:bCs/>
        </w:rPr>
        <w:t>domótica</w:t>
      </w:r>
      <w:r w:rsidRPr="009453A0">
        <w:t xml:space="preserve">, el libro logra transmitir la idea de que los hogares inteligentes no pertenecen al futuro lejano, sino que ya forman parte de nuestra realidad. Mediante proyectos prácticos, el lector comprende cómo los sensores, microcontroladores y sistemas de comunicación pueden automatizar tareas cotidianas como la iluminación, la seguridad o el control ambiental. Esto no solo </w:t>
      </w:r>
      <w:r w:rsidRPr="009453A0">
        <w:lastRenderedPageBreak/>
        <w:t>desarrolla habilidades técnicas, sino que también fomenta la conciencia sobre el uso eficiente de la energía y la importancia de la tecnología en la sostenibilidad y el bienestar.</w:t>
      </w:r>
    </w:p>
    <w:p w14:paraId="57A242CE" w14:textId="77777777" w:rsidR="009453A0" w:rsidRPr="009453A0" w:rsidRDefault="009453A0" w:rsidP="009453A0">
      <w:r w:rsidRPr="009453A0">
        <w:t xml:space="preserve">Otro aspecto destacable de la obra es el uso de </w:t>
      </w:r>
      <w:proofErr w:type="spellStart"/>
      <w:r w:rsidRPr="009453A0">
        <w:rPr>
          <w:b/>
          <w:bCs/>
        </w:rPr>
        <w:t>Tinkercad</w:t>
      </w:r>
      <w:proofErr w:type="spellEnd"/>
      <w:r w:rsidRPr="009453A0">
        <w:rPr>
          <w:b/>
          <w:bCs/>
        </w:rPr>
        <w:t xml:space="preserve"> como entorno de simulación</w:t>
      </w:r>
      <w:r w:rsidRPr="009453A0">
        <w:t>, lo cual elimina barreras económicas y técnicas para el aprendizaje. Al no requerir necesariamente hardware físico, cualquier estudiante puede experimentar con circuitos y programación sin riesgo de dañar componentes o incurrir en altos costos. Esto democratiza el acceso al conocimiento tecnológico y hace que el libro sea especialmente útil en contextos educativos con recursos limitados.</w:t>
      </w:r>
    </w:p>
    <w:p w14:paraId="06E9B6A6" w14:textId="77777777" w:rsidR="009453A0" w:rsidRPr="009453A0" w:rsidRDefault="009453A0" w:rsidP="009453A0">
      <w:r w:rsidRPr="009453A0">
        <w:t>En un sentido más amplio, el libro contribuye al desarrollo de competencias clave del siglo XXI, tales como el pensamiento lógico, la resolución de problemas, la creatividad, el trabajo por proyectos y el aprendizaje autónomo. Estas habilidades son esenciales en un mundo cada vez más digitalizado y automatizado, donde la capacidad de comprender y manejar tecnología será tan importante como saber leer y escribir.</w:t>
      </w:r>
    </w:p>
    <w:p w14:paraId="4F10C1AA" w14:textId="77777777" w:rsidR="009453A0" w:rsidRPr="009453A0" w:rsidRDefault="009453A0" w:rsidP="009453A0">
      <w:r w:rsidRPr="009453A0">
        <w:t xml:space="preserve">En síntesis, </w:t>
      </w:r>
      <w:r w:rsidRPr="009453A0">
        <w:rPr>
          <w:b/>
          <w:bCs/>
          <w:i/>
          <w:iCs/>
        </w:rPr>
        <w:t xml:space="preserve">Robótica, Biónica y Domótica: usando Arduino y </w:t>
      </w:r>
      <w:proofErr w:type="spellStart"/>
      <w:r w:rsidRPr="009453A0">
        <w:rPr>
          <w:b/>
          <w:bCs/>
          <w:i/>
          <w:iCs/>
        </w:rPr>
        <w:t>Tinkercad</w:t>
      </w:r>
      <w:proofErr w:type="spellEnd"/>
      <w:r w:rsidRPr="009453A0">
        <w:t xml:space="preserve"> no es solo un libro introductorio a la electrónica y la programación, sino una puerta de entrada al universo de la innovación tecnológica. Su combinación de teoría clara, práctica guiada y aplicaciones reales lo convierte en una herramienta educativa integral, capaz de inspirar vocaciones científicas y tecnológicas en estudiantes y lectores interesados en el futuro de la ingeniería y la tecnología.</w:t>
      </w:r>
    </w:p>
    <w:p w14:paraId="50E27BE9" w14:textId="77777777" w:rsidR="009453A0" w:rsidRPr="009453A0" w:rsidRDefault="009453A0" w:rsidP="009453A0">
      <w:r w:rsidRPr="009453A0">
        <w:t xml:space="preserve">Finalmente, la obra cumple con su propósito fundamental: </w:t>
      </w:r>
      <w:r w:rsidRPr="009453A0">
        <w:rPr>
          <w:b/>
          <w:bCs/>
        </w:rPr>
        <w:t>formar aprendices activos, críticos y creativos</w:t>
      </w:r>
      <w:r w:rsidRPr="009453A0">
        <w:t>, capaces de comprender, construir y transformar el mundo tecnológico que los rodea. En este sentido, el libro no solo enseña a programar o a armar circuitos, sino que también contribuye a formar ciudadanos más preparados para enfrentar los desafíos de una sociedad cada vez más automatizada e interconectada.</w:t>
      </w:r>
    </w:p>
    <w:p w14:paraId="5EE4BA60" w14:textId="77777777" w:rsidR="009F61DE" w:rsidRDefault="009F61DE"/>
    <w:sectPr w:rsidR="009F61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3A0"/>
    <w:rsid w:val="004175CC"/>
    <w:rsid w:val="004305F5"/>
    <w:rsid w:val="005A7732"/>
    <w:rsid w:val="008952A7"/>
    <w:rsid w:val="008F513D"/>
    <w:rsid w:val="009453A0"/>
    <w:rsid w:val="009F61D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8C631"/>
  <w15:chartTrackingRefBased/>
  <w15:docId w15:val="{28F5DA09-D983-42C1-A4B2-021479F2A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453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453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453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453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453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453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53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53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53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53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453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453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453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453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453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453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453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453A0"/>
    <w:rPr>
      <w:rFonts w:eastAsiaTheme="majorEastAsia" w:cstheme="majorBidi"/>
      <w:color w:val="272727" w:themeColor="text1" w:themeTint="D8"/>
    </w:rPr>
  </w:style>
  <w:style w:type="paragraph" w:styleId="Ttulo">
    <w:name w:val="Title"/>
    <w:basedOn w:val="Normal"/>
    <w:next w:val="Normal"/>
    <w:link w:val="TtuloCar"/>
    <w:uiPriority w:val="10"/>
    <w:qFormat/>
    <w:rsid w:val="00945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53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453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53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453A0"/>
    <w:pPr>
      <w:spacing w:before="160"/>
      <w:jc w:val="center"/>
    </w:pPr>
    <w:rPr>
      <w:i/>
      <w:iCs/>
      <w:color w:val="404040" w:themeColor="text1" w:themeTint="BF"/>
    </w:rPr>
  </w:style>
  <w:style w:type="character" w:customStyle="1" w:styleId="CitaCar">
    <w:name w:val="Cita Car"/>
    <w:basedOn w:val="Fuentedeprrafopredeter"/>
    <w:link w:val="Cita"/>
    <w:uiPriority w:val="29"/>
    <w:rsid w:val="009453A0"/>
    <w:rPr>
      <w:i/>
      <w:iCs/>
      <w:color w:val="404040" w:themeColor="text1" w:themeTint="BF"/>
    </w:rPr>
  </w:style>
  <w:style w:type="paragraph" w:styleId="Prrafodelista">
    <w:name w:val="List Paragraph"/>
    <w:basedOn w:val="Normal"/>
    <w:uiPriority w:val="34"/>
    <w:qFormat/>
    <w:rsid w:val="009453A0"/>
    <w:pPr>
      <w:ind w:left="720"/>
      <w:contextualSpacing/>
    </w:pPr>
  </w:style>
  <w:style w:type="character" w:styleId="nfasisintenso">
    <w:name w:val="Intense Emphasis"/>
    <w:basedOn w:val="Fuentedeprrafopredeter"/>
    <w:uiPriority w:val="21"/>
    <w:qFormat/>
    <w:rsid w:val="009453A0"/>
    <w:rPr>
      <w:i/>
      <w:iCs/>
      <w:color w:val="0F4761" w:themeColor="accent1" w:themeShade="BF"/>
    </w:rPr>
  </w:style>
  <w:style w:type="paragraph" w:styleId="Citadestacada">
    <w:name w:val="Intense Quote"/>
    <w:basedOn w:val="Normal"/>
    <w:next w:val="Normal"/>
    <w:link w:val="CitadestacadaCar"/>
    <w:uiPriority w:val="30"/>
    <w:qFormat/>
    <w:rsid w:val="009453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453A0"/>
    <w:rPr>
      <w:i/>
      <w:iCs/>
      <w:color w:val="0F4761" w:themeColor="accent1" w:themeShade="BF"/>
    </w:rPr>
  </w:style>
  <w:style w:type="character" w:styleId="Referenciaintensa">
    <w:name w:val="Intense Reference"/>
    <w:basedOn w:val="Fuentedeprrafopredeter"/>
    <w:uiPriority w:val="32"/>
    <w:qFormat/>
    <w:rsid w:val="009453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2</Pages>
  <Words>788</Words>
  <Characters>3950</Characters>
  <Application>Microsoft Office Word</Application>
  <DocSecurity>0</DocSecurity>
  <Lines>116</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LANDA</dc:creator>
  <cp:keywords/>
  <dc:description/>
  <cp:lastModifiedBy>J LANDA</cp:lastModifiedBy>
  <cp:revision>2</cp:revision>
  <dcterms:created xsi:type="dcterms:W3CDTF">2026-01-18T04:27:00Z</dcterms:created>
  <dcterms:modified xsi:type="dcterms:W3CDTF">2026-01-25T03:42:00Z</dcterms:modified>
</cp:coreProperties>
</file>