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F9C69" w14:textId="77777777" w:rsidR="00770A25" w:rsidRPr="007263D7" w:rsidRDefault="00D6354C" w:rsidP="00C87B5A">
      <w:pPr>
        <w:tabs>
          <w:tab w:val="center" w:pos="4252"/>
          <w:tab w:val="right" w:pos="8504"/>
        </w:tabs>
        <w:contextualSpacing/>
        <w:jc w:val="center"/>
        <w:rPr>
          <w:rFonts w:ascii="Times New Roman" w:eastAsia="Times New Roman" w:hAnsi="Times New Roman" w:cs="Times New Roman"/>
          <w:b/>
          <w:color w:val="000000" w:themeColor="text1"/>
          <w:sz w:val="28"/>
          <w:szCs w:val="28"/>
          <w:lang w:val="es-ES"/>
        </w:rPr>
      </w:pPr>
      <w:bookmarkStart w:id="0" w:name="_GoBack"/>
      <w:bookmarkEnd w:id="0"/>
      <w:r w:rsidRPr="007263D7">
        <w:rPr>
          <w:rFonts w:ascii="Times New Roman" w:hAnsi="Times New Roman" w:cs="Times New Roman"/>
          <w:noProof/>
          <w:color w:val="000000" w:themeColor="text1"/>
          <w:sz w:val="28"/>
          <w:lang w:eastAsia="es-CO"/>
        </w:rPr>
        <w:drawing>
          <wp:anchor distT="0" distB="0" distL="0" distR="0" simplePos="0" relativeHeight="2" behindDoc="1" locked="0" layoutInCell="0" allowOverlap="1" wp14:anchorId="71F53944" wp14:editId="67A2CD1A">
            <wp:simplePos x="0" y="0"/>
            <wp:positionH relativeFrom="column">
              <wp:posOffset>2416810</wp:posOffset>
            </wp:positionH>
            <wp:positionV relativeFrom="paragraph">
              <wp:posOffset>203200</wp:posOffset>
            </wp:positionV>
            <wp:extent cx="720090" cy="720090"/>
            <wp:effectExtent l="0" t="0" r="0" b="0"/>
            <wp:wrapNone/>
            <wp:docPr id="1" name="Imagen 114371582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43715826" descr="Logotipo&#10;&#10;Descripción generada automáticamente"/>
                    <pic:cNvPicPr>
                      <a:picLocks noChangeAspect="1" noChangeArrowheads="1"/>
                    </pic:cNvPicPr>
                  </pic:nvPicPr>
                  <pic:blipFill>
                    <a:blip r:embed="rId7"/>
                    <a:stretch>
                      <a:fillRect/>
                    </a:stretch>
                  </pic:blipFill>
                  <pic:spPr bwMode="auto">
                    <a:xfrm>
                      <a:off x="0" y="0"/>
                      <a:ext cx="720090" cy="720090"/>
                    </a:xfrm>
                    <a:prstGeom prst="rect">
                      <a:avLst/>
                    </a:prstGeom>
                  </pic:spPr>
                </pic:pic>
              </a:graphicData>
            </a:graphic>
          </wp:anchor>
        </w:drawing>
      </w:r>
      <w:r w:rsidRPr="007263D7">
        <w:rPr>
          <w:rFonts w:ascii="Times New Roman" w:eastAsia="Times New Roman" w:hAnsi="Times New Roman" w:cs="Times New Roman"/>
          <w:b/>
          <w:color w:val="000000" w:themeColor="text1"/>
          <w:sz w:val="28"/>
          <w:szCs w:val="28"/>
          <w:lang w:val="es-ES"/>
        </w:rPr>
        <w:t>REPÚBLICA DE COLOMBIA</w:t>
      </w:r>
    </w:p>
    <w:p w14:paraId="56801B52" w14:textId="77777777" w:rsidR="00770A25" w:rsidRPr="007263D7" w:rsidRDefault="00770A25" w:rsidP="00C87B5A">
      <w:pPr>
        <w:tabs>
          <w:tab w:val="center" w:pos="4252"/>
          <w:tab w:val="right" w:pos="8504"/>
        </w:tabs>
        <w:contextualSpacing/>
        <w:jc w:val="center"/>
        <w:rPr>
          <w:rFonts w:ascii="Times New Roman" w:eastAsia="Times New Roman" w:hAnsi="Times New Roman" w:cs="Times New Roman"/>
          <w:b/>
          <w:color w:val="000000" w:themeColor="text1"/>
          <w:sz w:val="28"/>
          <w:szCs w:val="28"/>
          <w:lang w:val="es-ES"/>
        </w:rPr>
      </w:pPr>
    </w:p>
    <w:p w14:paraId="0BA4F4F4" w14:textId="77777777" w:rsidR="00770A25" w:rsidRPr="007263D7" w:rsidRDefault="00770A25" w:rsidP="00C87B5A">
      <w:pPr>
        <w:ind w:left="360"/>
        <w:contextualSpacing/>
        <w:jc w:val="center"/>
        <w:rPr>
          <w:rFonts w:ascii="Times New Roman" w:eastAsia="Times New Roman" w:hAnsi="Times New Roman" w:cs="Times New Roman"/>
          <w:b/>
          <w:color w:val="000000" w:themeColor="text1"/>
          <w:sz w:val="28"/>
          <w:szCs w:val="28"/>
          <w:lang w:val="es-ES"/>
        </w:rPr>
      </w:pPr>
    </w:p>
    <w:p w14:paraId="5255F826" w14:textId="77777777" w:rsidR="00770A25" w:rsidRPr="007263D7" w:rsidRDefault="00770A25" w:rsidP="00C87B5A">
      <w:pPr>
        <w:ind w:left="360"/>
        <w:contextualSpacing/>
        <w:jc w:val="center"/>
        <w:rPr>
          <w:rFonts w:ascii="Times New Roman" w:eastAsia="Times New Roman" w:hAnsi="Times New Roman" w:cs="Times New Roman"/>
          <w:b/>
          <w:color w:val="000000" w:themeColor="text1"/>
          <w:sz w:val="28"/>
          <w:szCs w:val="28"/>
          <w:lang w:val="es-ES"/>
        </w:rPr>
      </w:pPr>
    </w:p>
    <w:p w14:paraId="471DBCE5" w14:textId="77777777" w:rsidR="00770A25" w:rsidRPr="007263D7" w:rsidRDefault="00770A25" w:rsidP="00C87B5A">
      <w:pPr>
        <w:contextualSpacing/>
        <w:jc w:val="center"/>
        <w:rPr>
          <w:rFonts w:ascii="Times New Roman" w:eastAsia="Times New Roman" w:hAnsi="Times New Roman" w:cs="Times New Roman"/>
          <w:b/>
          <w:color w:val="000000" w:themeColor="text1"/>
          <w:sz w:val="28"/>
          <w:szCs w:val="28"/>
          <w:lang w:val="es-ES"/>
        </w:rPr>
      </w:pPr>
    </w:p>
    <w:p w14:paraId="5AE47707" w14:textId="77777777" w:rsidR="00770A25" w:rsidRPr="007263D7" w:rsidRDefault="00D6354C" w:rsidP="00C87B5A">
      <w:pPr>
        <w:tabs>
          <w:tab w:val="center" w:pos="4252"/>
          <w:tab w:val="right" w:pos="8504"/>
        </w:tabs>
        <w:contextualSpacing/>
        <w:jc w:val="center"/>
        <w:rPr>
          <w:rFonts w:ascii="Times New Roman" w:eastAsia="Times New Roman" w:hAnsi="Times New Roman" w:cs="Times New Roman"/>
          <w:b/>
          <w:color w:val="000000" w:themeColor="text1"/>
          <w:sz w:val="28"/>
          <w:szCs w:val="28"/>
          <w:lang w:val="es-ES"/>
        </w:rPr>
      </w:pPr>
      <w:r w:rsidRPr="007263D7">
        <w:rPr>
          <w:rFonts w:ascii="Times New Roman" w:eastAsia="Times New Roman" w:hAnsi="Times New Roman" w:cs="Times New Roman"/>
          <w:b/>
          <w:color w:val="000000" w:themeColor="text1"/>
          <w:sz w:val="28"/>
          <w:szCs w:val="28"/>
          <w:lang w:val="es-ES"/>
        </w:rPr>
        <w:t>CORTE CONSTITUCIONAL</w:t>
      </w:r>
    </w:p>
    <w:p w14:paraId="09B73F95" w14:textId="77777777" w:rsidR="00770A25" w:rsidRPr="007263D7" w:rsidRDefault="00D6354C" w:rsidP="00C87B5A">
      <w:pPr>
        <w:ind w:right="49"/>
        <w:jc w:val="center"/>
        <w:outlineLvl w:val="0"/>
        <w:rPr>
          <w:rFonts w:ascii="Times New Roman" w:hAnsi="Times New Roman" w:cs="Times New Roman"/>
          <w:b/>
          <w:bCs/>
          <w:color w:val="000000" w:themeColor="text1"/>
          <w:sz w:val="28"/>
          <w:szCs w:val="28"/>
          <w:lang w:val="es-ES"/>
        </w:rPr>
      </w:pPr>
      <w:r w:rsidRPr="007263D7">
        <w:rPr>
          <w:rFonts w:ascii="Times New Roman" w:hAnsi="Times New Roman" w:cs="Times New Roman"/>
          <w:b/>
          <w:bCs/>
          <w:color w:val="000000" w:themeColor="text1"/>
          <w:sz w:val="28"/>
          <w:szCs w:val="28"/>
          <w:lang w:val="es-ES"/>
        </w:rPr>
        <w:t>Sala Plena</w:t>
      </w:r>
    </w:p>
    <w:p w14:paraId="4EDE1B4A" w14:textId="77777777" w:rsidR="005950C5" w:rsidRPr="007263D7" w:rsidRDefault="005950C5" w:rsidP="00C87B5A">
      <w:pPr>
        <w:ind w:right="49"/>
        <w:jc w:val="center"/>
        <w:outlineLvl w:val="0"/>
        <w:rPr>
          <w:rFonts w:ascii="Times New Roman" w:hAnsi="Times New Roman" w:cs="Times New Roman"/>
          <w:b/>
          <w:bCs/>
          <w:color w:val="000000" w:themeColor="text1"/>
          <w:sz w:val="28"/>
          <w:szCs w:val="28"/>
          <w:lang w:val="es-ES"/>
        </w:rPr>
      </w:pPr>
    </w:p>
    <w:p w14:paraId="0DA7388B" w14:textId="795C3AA7" w:rsidR="005950C5" w:rsidRPr="007263D7" w:rsidRDefault="005950C5" w:rsidP="00C87B5A">
      <w:pPr>
        <w:ind w:right="49"/>
        <w:jc w:val="center"/>
        <w:outlineLvl w:val="0"/>
        <w:rPr>
          <w:rFonts w:ascii="Times New Roman" w:hAnsi="Times New Roman" w:cs="Times New Roman"/>
          <w:b/>
          <w:bCs/>
          <w:color w:val="000000" w:themeColor="text1"/>
          <w:sz w:val="28"/>
          <w:szCs w:val="28"/>
          <w:lang w:val="es-ES"/>
        </w:rPr>
      </w:pPr>
      <w:r w:rsidRPr="007263D7">
        <w:rPr>
          <w:rFonts w:ascii="Times New Roman" w:hAnsi="Times New Roman" w:cs="Times New Roman"/>
          <w:b/>
          <w:bCs/>
          <w:color w:val="000000" w:themeColor="text1"/>
          <w:sz w:val="28"/>
          <w:szCs w:val="28"/>
          <w:lang w:val="es-ES"/>
        </w:rPr>
        <w:t xml:space="preserve">SENTENCIA C-110 </w:t>
      </w:r>
      <w:r w:rsidR="00DC5588" w:rsidRPr="007263D7">
        <w:rPr>
          <w:rFonts w:ascii="Times New Roman" w:hAnsi="Times New Roman" w:cs="Times New Roman"/>
          <w:b/>
          <w:bCs/>
          <w:color w:val="000000" w:themeColor="text1"/>
          <w:sz w:val="28"/>
          <w:szCs w:val="28"/>
          <w:lang w:val="es-ES"/>
        </w:rPr>
        <w:t>DE</w:t>
      </w:r>
      <w:r w:rsidRPr="007263D7">
        <w:rPr>
          <w:rFonts w:ascii="Times New Roman" w:hAnsi="Times New Roman" w:cs="Times New Roman"/>
          <w:b/>
          <w:bCs/>
          <w:color w:val="000000" w:themeColor="text1"/>
          <w:sz w:val="28"/>
          <w:szCs w:val="28"/>
          <w:lang w:val="es-ES"/>
        </w:rPr>
        <w:t xml:space="preserve"> 2025</w:t>
      </w:r>
    </w:p>
    <w:p w14:paraId="560EEA27" w14:textId="77777777" w:rsidR="00770A25" w:rsidRPr="007263D7" w:rsidRDefault="00770A25" w:rsidP="00C87B5A">
      <w:pPr>
        <w:ind w:left="3828" w:right="49"/>
        <w:jc w:val="both"/>
        <w:rPr>
          <w:rFonts w:ascii="Times New Roman" w:hAnsi="Times New Roman" w:cs="Times New Roman"/>
          <w:b/>
          <w:bCs/>
          <w:color w:val="000000" w:themeColor="text1"/>
          <w:sz w:val="28"/>
          <w:szCs w:val="28"/>
          <w:lang w:val="es-ES_tradnl"/>
        </w:rPr>
      </w:pPr>
    </w:p>
    <w:p w14:paraId="1539CEC2" w14:textId="77777777" w:rsidR="00770A25" w:rsidRPr="007263D7" w:rsidRDefault="00D6354C" w:rsidP="00C87B5A">
      <w:pPr>
        <w:ind w:left="4395" w:right="49"/>
        <w:jc w:val="both"/>
        <w:rPr>
          <w:rFonts w:ascii="Times New Roman" w:hAnsi="Times New Roman" w:cs="Times New Roman"/>
          <w:color w:val="000000" w:themeColor="text1"/>
          <w:sz w:val="28"/>
          <w:szCs w:val="28"/>
          <w:lang w:val="es-ES"/>
        </w:rPr>
      </w:pPr>
      <w:r w:rsidRPr="007263D7">
        <w:rPr>
          <w:rFonts w:ascii="Times New Roman" w:hAnsi="Times New Roman" w:cs="Times New Roman"/>
          <w:b/>
          <w:bCs/>
          <w:color w:val="000000" w:themeColor="text1"/>
          <w:sz w:val="28"/>
          <w:szCs w:val="28"/>
          <w:lang w:val="es-ES"/>
        </w:rPr>
        <w:t xml:space="preserve">Referencia: </w:t>
      </w:r>
      <w:r w:rsidRPr="007263D7">
        <w:rPr>
          <w:rFonts w:ascii="Times New Roman" w:hAnsi="Times New Roman" w:cs="Times New Roman"/>
          <w:color w:val="000000" w:themeColor="text1"/>
          <w:sz w:val="28"/>
          <w:szCs w:val="28"/>
          <w:lang w:val="es-ES"/>
        </w:rPr>
        <w:t>expediente D-15683.</w:t>
      </w:r>
    </w:p>
    <w:p w14:paraId="65BDB43A" w14:textId="77777777" w:rsidR="00770A25" w:rsidRPr="007263D7" w:rsidRDefault="00770A25" w:rsidP="00C87B5A">
      <w:pPr>
        <w:ind w:left="4395" w:right="49"/>
        <w:jc w:val="both"/>
        <w:rPr>
          <w:rFonts w:ascii="Times New Roman" w:hAnsi="Times New Roman" w:cs="Times New Roman"/>
          <w:color w:val="000000" w:themeColor="text1"/>
          <w:sz w:val="28"/>
          <w:szCs w:val="28"/>
          <w:lang w:val="es-ES_tradnl"/>
        </w:rPr>
      </w:pPr>
    </w:p>
    <w:p w14:paraId="39B80769" w14:textId="2CD393E8" w:rsidR="00770A25" w:rsidRPr="007263D7" w:rsidRDefault="00D6354C" w:rsidP="00C87B5A">
      <w:pPr>
        <w:ind w:left="4395" w:right="49"/>
        <w:jc w:val="both"/>
        <w:rPr>
          <w:rFonts w:ascii="Times New Roman" w:hAnsi="Times New Roman" w:cs="Times New Roman"/>
          <w:color w:val="000000" w:themeColor="text1"/>
          <w:sz w:val="28"/>
          <w:szCs w:val="28"/>
          <w:lang w:val="es-ES"/>
        </w:rPr>
      </w:pPr>
      <w:r w:rsidRPr="007263D7">
        <w:rPr>
          <w:rFonts w:ascii="Times New Roman" w:hAnsi="Times New Roman" w:cs="Times New Roman"/>
          <w:color w:val="000000" w:themeColor="text1"/>
          <w:sz w:val="28"/>
          <w:szCs w:val="28"/>
          <w:lang w:val="es-ES"/>
        </w:rPr>
        <w:t>Acción pública de inconstitucionalidad en contra</w:t>
      </w:r>
      <w:r w:rsidRPr="007263D7">
        <w:rPr>
          <w:rFonts w:ascii="Times New Roman" w:eastAsia="Times New Roman" w:hAnsi="Times New Roman" w:cs="Times New Roman"/>
          <w:color w:val="000000" w:themeColor="text1"/>
          <w:sz w:val="28"/>
          <w:szCs w:val="28"/>
          <w:lang w:val="es-ES"/>
        </w:rPr>
        <w:t xml:space="preserve"> de la Ley 2281 de 2023, “por medio de la cual se crea el Ministerio de la Igualdad y Equidad y se dictan otras disposiciones”</w:t>
      </w:r>
      <w:r w:rsidRPr="007263D7">
        <w:rPr>
          <w:rFonts w:ascii="Times New Roman" w:hAnsi="Times New Roman" w:cs="Times New Roman"/>
          <w:color w:val="000000" w:themeColor="text1"/>
          <w:sz w:val="28"/>
          <w:szCs w:val="28"/>
          <w:lang w:val="es-ES"/>
        </w:rPr>
        <w:t>.</w:t>
      </w:r>
    </w:p>
    <w:p w14:paraId="64012806" w14:textId="77777777" w:rsidR="00770A25" w:rsidRPr="007263D7" w:rsidRDefault="00770A25" w:rsidP="00C87B5A">
      <w:pPr>
        <w:ind w:left="4395" w:right="49"/>
        <w:jc w:val="both"/>
        <w:rPr>
          <w:rFonts w:ascii="Times New Roman" w:hAnsi="Times New Roman" w:cs="Times New Roman"/>
          <w:color w:val="000000" w:themeColor="text1"/>
          <w:sz w:val="28"/>
          <w:szCs w:val="28"/>
          <w:lang w:val="es-ES_tradnl"/>
        </w:rPr>
      </w:pPr>
    </w:p>
    <w:p w14:paraId="1B696911" w14:textId="77777777" w:rsidR="00770A25" w:rsidRPr="007263D7" w:rsidRDefault="00D6354C" w:rsidP="00C87B5A">
      <w:pPr>
        <w:ind w:left="4395" w:right="49"/>
        <w:jc w:val="both"/>
        <w:rPr>
          <w:rFonts w:ascii="Times New Roman" w:hAnsi="Times New Roman" w:cs="Times New Roman"/>
          <w:color w:val="000000" w:themeColor="text1"/>
          <w:sz w:val="28"/>
          <w:szCs w:val="28"/>
          <w:lang w:val="es-ES"/>
        </w:rPr>
      </w:pPr>
      <w:r w:rsidRPr="007263D7">
        <w:rPr>
          <w:rFonts w:ascii="Times New Roman" w:hAnsi="Times New Roman" w:cs="Times New Roman"/>
          <w:b/>
          <w:bCs/>
          <w:color w:val="000000" w:themeColor="text1"/>
          <w:sz w:val="28"/>
          <w:szCs w:val="28"/>
          <w:lang w:val="es-ES"/>
        </w:rPr>
        <w:t xml:space="preserve">Demandante: </w:t>
      </w:r>
      <w:r w:rsidRPr="007263D7">
        <w:rPr>
          <w:rFonts w:ascii="Times New Roman" w:hAnsi="Times New Roman" w:cs="Times New Roman"/>
          <w:color w:val="000000" w:themeColor="text1"/>
          <w:sz w:val="28"/>
          <w:szCs w:val="28"/>
          <w:lang w:val="es-ES"/>
        </w:rPr>
        <w:t>Harold Eduardo Sua Montaña.</w:t>
      </w:r>
    </w:p>
    <w:p w14:paraId="35F06075" w14:textId="77777777" w:rsidR="00770A25" w:rsidRPr="007263D7" w:rsidRDefault="00770A25" w:rsidP="00C87B5A">
      <w:pPr>
        <w:ind w:left="4395" w:right="49"/>
        <w:rPr>
          <w:rFonts w:ascii="Times New Roman" w:hAnsi="Times New Roman" w:cs="Times New Roman"/>
          <w:color w:val="000000" w:themeColor="text1"/>
          <w:sz w:val="28"/>
          <w:szCs w:val="28"/>
          <w:lang w:val="es-ES_tradnl"/>
        </w:rPr>
      </w:pPr>
    </w:p>
    <w:p w14:paraId="6614B51E" w14:textId="28E170D7" w:rsidR="00770A25" w:rsidRPr="007263D7" w:rsidRDefault="00D6354C" w:rsidP="00C87B5A">
      <w:pPr>
        <w:ind w:left="4395" w:right="49"/>
        <w:jc w:val="both"/>
        <w:outlineLvl w:val="0"/>
        <w:rPr>
          <w:rFonts w:ascii="Times New Roman" w:hAnsi="Times New Roman" w:cs="Times New Roman"/>
          <w:color w:val="000000" w:themeColor="text1"/>
          <w:sz w:val="28"/>
          <w:szCs w:val="28"/>
          <w:lang w:val="es-ES"/>
        </w:rPr>
      </w:pPr>
      <w:r w:rsidRPr="007263D7">
        <w:rPr>
          <w:rFonts w:ascii="Times New Roman" w:hAnsi="Times New Roman" w:cs="Times New Roman"/>
          <w:b/>
          <w:bCs/>
          <w:color w:val="000000" w:themeColor="text1"/>
          <w:sz w:val="28"/>
          <w:szCs w:val="28"/>
          <w:lang w:val="es-ES_tradnl"/>
        </w:rPr>
        <w:t xml:space="preserve">Magistrada </w:t>
      </w:r>
      <w:r w:rsidR="007C0553" w:rsidRPr="007263D7">
        <w:rPr>
          <w:rFonts w:ascii="Times New Roman" w:hAnsi="Times New Roman" w:cs="Times New Roman"/>
          <w:b/>
          <w:bCs/>
          <w:color w:val="000000" w:themeColor="text1"/>
          <w:sz w:val="28"/>
          <w:szCs w:val="28"/>
          <w:lang w:val="es-ES_tradnl"/>
        </w:rPr>
        <w:t>ponente</w:t>
      </w:r>
      <w:r w:rsidRPr="007263D7">
        <w:rPr>
          <w:rFonts w:ascii="Times New Roman" w:hAnsi="Times New Roman" w:cs="Times New Roman"/>
          <w:b/>
          <w:bCs/>
          <w:color w:val="000000" w:themeColor="text1"/>
          <w:sz w:val="28"/>
          <w:szCs w:val="28"/>
          <w:lang w:val="es-ES_tradnl"/>
        </w:rPr>
        <w:t>:</w:t>
      </w:r>
      <w:r w:rsidR="007C0553" w:rsidRPr="007263D7">
        <w:rPr>
          <w:rFonts w:ascii="Times New Roman" w:hAnsi="Times New Roman" w:cs="Times New Roman"/>
          <w:color w:val="000000" w:themeColor="text1"/>
          <w:sz w:val="28"/>
          <w:szCs w:val="28"/>
          <w:lang w:val="es-ES"/>
        </w:rPr>
        <w:t xml:space="preserve"> </w:t>
      </w:r>
      <w:r w:rsidRPr="007263D7">
        <w:rPr>
          <w:rFonts w:ascii="Times New Roman" w:hAnsi="Times New Roman" w:cs="Times New Roman"/>
          <w:color w:val="000000" w:themeColor="text1"/>
          <w:sz w:val="28"/>
          <w:szCs w:val="28"/>
          <w:lang w:val="es-ES"/>
        </w:rPr>
        <w:t>Natalia Ángel Cabo.</w:t>
      </w:r>
    </w:p>
    <w:p w14:paraId="43751F82" w14:textId="77777777" w:rsidR="00770A25" w:rsidRPr="007263D7" w:rsidRDefault="00770A25" w:rsidP="00C87B5A">
      <w:pPr>
        <w:ind w:right="49"/>
        <w:jc w:val="both"/>
        <w:rPr>
          <w:rFonts w:ascii="Times New Roman" w:hAnsi="Times New Roman" w:cs="Times New Roman"/>
          <w:color w:val="000000" w:themeColor="text1"/>
          <w:sz w:val="28"/>
          <w:szCs w:val="28"/>
          <w:lang w:val="es-ES_tradnl"/>
        </w:rPr>
      </w:pPr>
    </w:p>
    <w:p w14:paraId="7F468F5F" w14:textId="0B841BA8" w:rsidR="00770A25" w:rsidRPr="007263D7" w:rsidRDefault="00D6354C" w:rsidP="00C87B5A">
      <w:pPr>
        <w:ind w:right="49"/>
        <w:jc w:val="both"/>
        <w:rPr>
          <w:rFonts w:ascii="Times New Roman" w:hAnsi="Times New Roman" w:cs="Times New Roman"/>
          <w:color w:val="000000" w:themeColor="text1"/>
          <w:sz w:val="28"/>
          <w:szCs w:val="28"/>
          <w:lang w:val="es-ES"/>
        </w:rPr>
      </w:pPr>
      <w:r w:rsidRPr="007263D7">
        <w:rPr>
          <w:rFonts w:ascii="Times New Roman" w:hAnsi="Times New Roman" w:cs="Times New Roman"/>
          <w:color w:val="000000" w:themeColor="text1"/>
          <w:sz w:val="28"/>
          <w:szCs w:val="28"/>
          <w:lang w:val="es-ES"/>
        </w:rPr>
        <w:t xml:space="preserve">Bogotá, D.C., </w:t>
      </w:r>
      <w:r w:rsidR="00402BFC" w:rsidRPr="007263D7">
        <w:rPr>
          <w:rFonts w:ascii="Times New Roman" w:hAnsi="Times New Roman" w:cs="Times New Roman"/>
          <w:color w:val="000000" w:themeColor="text1"/>
          <w:sz w:val="28"/>
          <w:szCs w:val="28"/>
          <w:lang w:val="es-ES"/>
        </w:rPr>
        <w:t>veintiséis (26) de marzo de dos mil veinticinco (2025).</w:t>
      </w:r>
    </w:p>
    <w:p w14:paraId="50F724D9" w14:textId="77777777" w:rsidR="00770A25" w:rsidRPr="007263D7" w:rsidRDefault="00770A25" w:rsidP="00C87B5A">
      <w:pPr>
        <w:ind w:right="49"/>
        <w:jc w:val="both"/>
        <w:rPr>
          <w:rFonts w:ascii="Times New Roman" w:hAnsi="Times New Roman" w:cs="Times New Roman"/>
          <w:color w:val="000000" w:themeColor="text1"/>
          <w:sz w:val="28"/>
          <w:szCs w:val="28"/>
          <w:lang w:val="es-ES_tradnl"/>
        </w:rPr>
      </w:pPr>
    </w:p>
    <w:p w14:paraId="344D83E8" w14:textId="77777777" w:rsidR="00770A25" w:rsidRPr="007263D7" w:rsidRDefault="00D6354C" w:rsidP="00C87B5A">
      <w:pPr>
        <w:jc w:val="both"/>
        <w:rPr>
          <w:rFonts w:ascii="Times New Roman" w:hAnsi="Times New Roman" w:cs="Times New Roman"/>
          <w:color w:val="000000" w:themeColor="text1"/>
          <w:sz w:val="28"/>
        </w:rPr>
      </w:pPr>
      <w:r w:rsidRPr="007263D7">
        <w:rPr>
          <w:rFonts w:ascii="Times New Roman" w:hAnsi="Times New Roman" w:cs="Times New Roman"/>
          <w:color w:val="000000" w:themeColor="text1"/>
          <w:sz w:val="28"/>
          <w:szCs w:val="28"/>
          <w:shd w:val="clear" w:color="auto" w:fill="FFFFFF"/>
        </w:rPr>
        <w:t xml:space="preserve">La Sala Plena de la Corte Constitucional, en ejercicio de sus competencias constitucionales y en cumplimiento de los requisitos y trámites establecidos en el Decreto Ley 2067 de 1991, profiere la siguiente: </w:t>
      </w:r>
    </w:p>
    <w:p w14:paraId="1CCA246A" w14:textId="77777777" w:rsidR="00770A25" w:rsidRPr="007263D7" w:rsidRDefault="00770A25" w:rsidP="00C87B5A">
      <w:pPr>
        <w:tabs>
          <w:tab w:val="left" w:pos="2608"/>
        </w:tabs>
        <w:contextualSpacing/>
        <w:jc w:val="both"/>
        <w:rPr>
          <w:rFonts w:ascii="Times New Roman" w:hAnsi="Times New Roman" w:cs="Times New Roman"/>
          <w:color w:val="000000" w:themeColor="text1"/>
          <w:sz w:val="28"/>
          <w:szCs w:val="28"/>
          <w:lang w:val="es-ES"/>
        </w:rPr>
      </w:pPr>
    </w:p>
    <w:p w14:paraId="248F088F" w14:textId="329519CB" w:rsidR="009A27EC" w:rsidRPr="007263D7" w:rsidRDefault="00D6354C" w:rsidP="00C87B5A">
      <w:pPr>
        <w:ind w:right="49"/>
        <w:jc w:val="center"/>
        <w:rPr>
          <w:rFonts w:ascii="Times New Roman" w:hAnsi="Times New Roman" w:cs="Times New Roman"/>
          <w:b/>
          <w:bCs/>
          <w:color w:val="000000" w:themeColor="text1"/>
          <w:sz w:val="28"/>
          <w:szCs w:val="28"/>
        </w:rPr>
      </w:pPr>
      <w:r w:rsidRPr="007263D7">
        <w:rPr>
          <w:rFonts w:ascii="Times New Roman" w:hAnsi="Times New Roman" w:cs="Times New Roman"/>
          <w:b/>
          <w:bCs/>
          <w:color w:val="000000" w:themeColor="text1"/>
          <w:sz w:val="28"/>
          <w:szCs w:val="28"/>
        </w:rPr>
        <w:t xml:space="preserve">SENTENCIA. </w:t>
      </w:r>
    </w:p>
    <w:p w14:paraId="7E6151A9" w14:textId="77777777" w:rsidR="00514E64" w:rsidRPr="007263D7" w:rsidRDefault="00514E64" w:rsidP="00C87B5A">
      <w:pPr>
        <w:ind w:right="49"/>
        <w:jc w:val="center"/>
        <w:rPr>
          <w:rFonts w:ascii="Times New Roman" w:hAnsi="Times New Roman" w:cs="Times New Roman"/>
          <w:b/>
          <w:bCs/>
          <w:color w:val="000000" w:themeColor="text1"/>
          <w:sz w:val="28"/>
          <w:szCs w:val="28"/>
        </w:rPr>
      </w:pPr>
    </w:p>
    <w:p w14:paraId="2B21791F" w14:textId="2678E9DF" w:rsidR="00514E64" w:rsidRPr="007263D7" w:rsidRDefault="007C70E4" w:rsidP="00C87B5A">
      <w:pPr>
        <w:ind w:right="49"/>
        <w:jc w:val="both"/>
        <w:rPr>
          <w:rFonts w:ascii="Times New Roman" w:hAnsi="Times New Roman" w:cs="Times New Roman"/>
          <w:b/>
          <w:bCs/>
          <w:color w:val="000000" w:themeColor="text1"/>
          <w:sz w:val="28"/>
          <w:szCs w:val="28"/>
        </w:rPr>
      </w:pPr>
      <w:r w:rsidRPr="007263D7">
        <w:rPr>
          <w:rFonts w:ascii="Times New Roman" w:hAnsi="Times New Roman" w:cs="Times New Roman"/>
          <w:b/>
          <w:bCs/>
          <w:color w:val="000000" w:themeColor="text1"/>
          <w:sz w:val="28"/>
          <w:szCs w:val="28"/>
        </w:rPr>
        <w:t>Síntesis</w:t>
      </w:r>
    </w:p>
    <w:p w14:paraId="1EBC33DE" w14:textId="77777777" w:rsidR="00665263" w:rsidRPr="007263D7" w:rsidRDefault="00665263" w:rsidP="00C87B5A">
      <w:pPr>
        <w:ind w:right="49"/>
        <w:jc w:val="both"/>
        <w:rPr>
          <w:rFonts w:ascii="Times New Roman" w:hAnsi="Times New Roman" w:cs="Times New Roman"/>
          <w:b/>
          <w:bCs/>
          <w:color w:val="000000" w:themeColor="text1"/>
          <w:sz w:val="28"/>
          <w:szCs w:val="28"/>
        </w:rPr>
      </w:pPr>
    </w:p>
    <w:p w14:paraId="394CAD9F" w14:textId="31AB3A3C" w:rsidR="009A27EC" w:rsidRPr="007263D7" w:rsidRDefault="009A27EC" w:rsidP="00C87B5A">
      <w:pPr>
        <w:suppressAutoHyphens w:val="0"/>
        <w:jc w:val="both"/>
        <w:rPr>
          <w:rFonts w:ascii="Times New Roman" w:eastAsia="Times New Roman" w:hAnsi="Times New Roman" w:cs="Times New Roman"/>
          <w:color w:val="000000" w:themeColor="text1"/>
          <w:sz w:val="28"/>
          <w:szCs w:val="28"/>
          <w:lang w:val="es-ES_tradnl" w:eastAsia="es-MX"/>
        </w:rPr>
      </w:pPr>
      <w:r w:rsidRPr="007263D7">
        <w:rPr>
          <w:rFonts w:ascii="Times New Roman" w:eastAsia="Times New Roman" w:hAnsi="Times New Roman" w:cs="Times New Roman"/>
          <w:color w:val="000000" w:themeColor="text1"/>
          <w:sz w:val="28"/>
          <w:szCs w:val="28"/>
          <w:lang w:val="es-ES_tradnl" w:eastAsia="es-MX"/>
        </w:rPr>
        <w:t xml:space="preserve">La Corte Constitucional estudió una demanda de inconstitucionalidad presentada en contra </w:t>
      </w:r>
      <w:r w:rsidR="007C70E4" w:rsidRPr="007263D7">
        <w:rPr>
          <w:rFonts w:ascii="Times New Roman" w:eastAsia="Times New Roman" w:hAnsi="Times New Roman" w:cs="Times New Roman"/>
          <w:color w:val="000000" w:themeColor="text1"/>
          <w:sz w:val="28"/>
          <w:szCs w:val="28"/>
          <w:lang w:val="es-ES"/>
        </w:rPr>
        <w:t>de la Ley 2281 de 2023 “por medio de la cual se crea el Ministerio de la Igualdad y Equidad y se dictan otras disposiciones</w:t>
      </w:r>
      <w:r w:rsidR="009B6A6A" w:rsidRPr="007263D7">
        <w:rPr>
          <w:rFonts w:ascii="Times New Roman" w:eastAsia="Times New Roman" w:hAnsi="Times New Roman" w:cs="Times New Roman"/>
          <w:color w:val="000000" w:themeColor="text1"/>
          <w:sz w:val="28"/>
          <w:szCs w:val="28"/>
          <w:lang w:val="es-ES"/>
        </w:rPr>
        <w:t>”</w:t>
      </w:r>
      <w:r w:rsidR="00C158C8" w:rsidRPr="007263D7">
        <w:rPr>
          <w:rFonts w:ascii="Times New Roman" w:eastAsia="Times New Roman" w:hAnsi="Times New Roman" w:cs="Times New Roman"/>
          <w:color w:val="000000" w:themeColor="text1"/>
          <w:sz w:val="28"/>
          <w:szCs w:val="28"/>
          <w:lang w:val="es-ES"/>
        </w:rPr>
        <w:t>.</w:t>
      </w:r>
      <w:r w:rsidRPr="007263D7">
        <w:rPr>
          <w:rFonts w:ascii="Times New Roman" w:eastAsia="Times New Roman" w:hAnsi="Times New Roman" w:cs="Times New Roman"/>
          <w:color w:val="000000" w:themeColor="text1"/>
          <w:sz w:val="28"/>
          <w:szCs w:val="28"/>
          <w:lang w:val="es-ES_tradnl" w:eastAsia="es-MX"/>
        </w:rPr>
        <w:t xml:space="preserve"> </w:t>
      </w:r>
      <w:r w:rsidR="00197A82" w:rsidRPr="007263D7">
        <w:rPr>
          <w:rFonts w:ascii="Times New Roman" w:eastAsia="Times New Roman" w:hAnsi="Times New Roman" w:cs="Times New Roman"/>
          <w:color w:val="000000" w:themeColor="text1"/>
          <w:sz w:val="28"/>
          <w:szCs w:val="28"/>
          <w:lang w:val="es-ES_tradnl" w:eastAsia="es-MX"/>
        </w:rPr>
        <w:t xml:space="preserve">Para el </w:t>
      </w:r>
      <w:r w:rsidR="009B6A6A" w:rsidRPr="007263D7">
        <w:rPr>
          <w:rFonts w:ascii="Times New Roman" w:eastAsia="Times New Roman" w:hAnsi="Times New Roman" w:cs="Times New Roman"/>
          <w:color w:val="000000" w:themeColor="text1"/>
          <w:sz w:val="28"/>
          <w:szCs w:val="28"/>
          <w:lang w:val="es-ES_tradnl" w:eastAsia="es-MX"/>
        </w:rPr>
        <w:t>accionante</w:t>
      </w:r>
      <w:r w:rsidR="00197A82" w:rsidRPr="007263D7">
        <w:rPr>
          <w:rFonts w:ascii="Times New Roman" w:eastAsia="Times New Roman" w:hAnsi="Times New Roman" w:cs="Times New Roman"/>
          <w:color w:val="000000" w:themeColor="text1"/>
          <w:sz w:val="28"/>
          <w:szCs w:val="28"/>
          <w:lang w:val="es-ES_tradnl" w:eastAsia="es-MX"/>
        </w:rPr>
        <w:t xml:space="preserve">, la ley demandada </w:t>
      </w:r>
      <w:r w:rsidR="00197A82" w:rsidRPr="007263D7">
        <w:rPr>
          <w:rFonts w:ascii="Times New Roman" w:hAnsi="Times New Roman" w:cs="Times New Roman"/>
          <w:color w:val="000000" w:themeColor="text1"/>
          <w:sz w:val="28"/>
          <w:szCs w:val="28"/>
          <w:shd w:val="clear" w:color="auto" w:fill="FFFFFF"/>
          <w:lang w:val="es-ES"/>
        </w:rPr>
        <w:t xml:space="preserve">vulneró </w:t>
      </w:r>
      <w:r w:rsidR="00197A82" w:rsidRPr="007263D7">
        <w:rPr>
          <w:rFonts w:ascii="Times New Roman" w:hAnsi="Times New Roman" w:cs="Times New Roman"/>
          <w:color w:val="000000" w:themeColor="text1"/>
          <w:sz w:val="28"/>
          <w:szCs w:val="28"/>
        </w:rPr>
        <w:t xml:space="preserve">los artículos 334 de la Constitución y 7 de la Ley 819 de 2003. El </w:t>
      </w:r>
      <w:r w:rsidR="009B6A6A" w:rsidRPr="007263D7">
        <w:rPr>
          <w:rFonts w:ascii="Times New Roman" w:hAnsi="Times New Roman" w:cs="Times New Roman"/>
          <w:color w:val="000000" w:themeColor="text1"/>
          <w:sz w:val="28"/>
          <w:szCs w:val="28"/>
        </w:rPr>
        <w:t xml:space="preserve">demandante </w:t>
      </w:r>
      <w:r w:rsidR="00197A82" w:rsidRPr="007263D7">
        <w:rPr>
          <w:rFonts w:ascii="Times New Roman" w:hAnsi="Times New Roman" w:cs="Times New Roman"/>
          <w:color w:val="000000" w:themeColor="text1"/>
          <w:sz w:val="28"/>
          <w:szCs w:val="28"/>
        </w:rPr>
        <w:t>indicó que, durante el trámite legislativo, el Ministerio de Hacienda y Crédito Público no cumplió con su deber de analizar el impacto fiscal que generaría la creación de un nuevo ministerio</w:t>
      </w:r>
      <w:r w:rsidRPr="007263D7">
        <w:rPr>
          <w:rFonts w:ascii="Times New Roman" w:eastAsia="Times New Roman" w:hAnsi="Times New Roman" w:cs="Times New Roman"/>
          <w:color w:val="000000" w:themeColor="text1"/>
          <w:sz w:val="28"/>
          <w:szCs w:val="28"/>
          <w:lang w:val="es-ES_tradnl" w:eastAsia="es-MX"/>
        </w:rPr>
        <w:t>.</w:t>
      </w:r>
    </w:p>
    <w:p w14:paraId="3EB6DE88" w14:textId="77777777" w:rsidR="00402BFC" w:rsidRPr="007263D7" w:rsidRDefault="00402BFC" w:rsidP="00C87B5A">
      <w:pPr>
        <w:suppressAutoHyphens w:val="0"/>
        <w:jc w:val="both"/>
        <w:rPr>
          <w:rFonts w:ascii="Times New Roman" w:eastAsia="Times New Roman" w:hAnsi="Times New Roman" w:cs="Times New Roman"/>
          <w:color w:val="000000" w:themeColor="text1"/>
          <w:sz w:val="28"/>
          <w:szCs w:val="28"/>
          <w:lang w:val="es-ES_tradnl" w:eastAsia="es-MX"/>
        </w:rPr>
      </w:pPr>
    </w:p>
    <w:p w14:paraId="1DA76DAE" w14:textId="29858A1A" w:rsidR="00402BFC" w:rsidRPr="007263D7" w:rsidRDefault="00402BFC" w:rsidP="00C87B5A">
      <w:pPr>
        <w:suppressAutoHyphens w:val="0"/>
        <w:jc w:val="both"/>
        <w:rPr>
          <w:rFonts w:ascii="Times New Roman" w:eastAsia="Times New Roman" w:hAnsi="Times New Roman" w:cs="Times New Roman"/>
          <w:color w:val="000000" w:themeColor="text1"/>
          <w:sz w:val="28"/>
          <w:szCs w:val="28"/>
          <w:lang w:val="es-ES_tradnl" w:eastAsia="es-MX"/>
        </w:rPr>
      </w:pPr>
      <w:r w:rsidRPr="007263D7">
        <w:rPr>
          <w:rFonts w:ascii="Times New Roman" w:eastAsia="Times New Roman" w:hAnsi="Times New Roman" w:cs="Times New Roman"/>
          <w:color w:val="000000" w:themeColor="text1"/>
          <w:sz w:val="28"/>
          <w:szCs w:val="28"/>
          <w:lang w:val="es-ES_tradnl" w:eastAsia="es-MX"/>
        </w:rPr>
        <w:t>Al resolver el asunto, como cuestión previa, la Corte analizó la posible configuración de la cosa juzgada constitucional en este caso. Para esto, reiteró su jurisprudencia sobre esa institución y luego se refirió al contenido de la Sentencia C-161 de 2024 que declaró la inexequibilidad con efectos diferidos de la misma ley que ahora se demanda, por un cargo igual al que aquí se formuló. Los efectos de esa decisión fueron diferidos por el término de dos (2) legislaturas, contadas a partir del 20 de julio de 2024. Así, según la Sentencia C-161 de 2024, una vez culmine la legislatura 2025-2026, la Ley 2281 de 2023 dejará de producir efectos definitivamente y no formará parte del ordenamiento jurídico.</w:t>
      </w:r>
    </w:p>
    <w:p w14:paraId="6F615063" w14:textId="77777777" w:rsidR="00665263" w:rsidRPr="007263D7" w:rsidRDefault="00665263" w:rsidP="00C87B5A">
      <w:pPr>
        <w:suppressAutoHyphens w:val="0"/>
        <w:jc w:val="both"/>
        <w:rPr>
          <w:rFonts w:ascii="Times New Roman" w:eastAsia="Times New Roman" w:hAnsi="Times New Roman" w:cs="Times New Roman"/>
          <w:color w:val="000000" w:themeColor="text1"/>
          <w:sz w:val="28"/>
          <w:lang w:eastAsia="es-MX"/>
        </w:rPr>
      </w:pPr>
    </w:p>
    <w:p w14:paraId="4DAD7EF5" w14:textId="78C5E3DD" w:rsidR="009A27EC" w:rsidRPr="007263D7" w:rsidRDefault="00402BFC" w:rsidP="00C87B5A">
      <w:pPr>
        <w:suppressAutoHyphens w:val="0"/>
        <w:jc w:val="both"/>
        <w:rPr>
          <w:rFonts w:ascii="Times New Roman" w:eastAsia="Times New Roman" w:hAnsi="Times New Roman" w:cs="Times New Roman"/>
          <w:color w:val="000000" w:themeColor="text1"/>
          <w:sz w:val="28"/>
          <w:lang w:eastAsia="es-MX"/>
        </w:rPr>
      </w:pPr>
      <w:r w:rsidRPr="007263D7">
        <w:rPr>
          <w:rFonts w:ascii="Times New Roman" w:eastAsia="Times New Roman" w:hAnsi="Times New Roman" w:cs="Times New Roman"/>
          <w:color w:val="000000" w:themeColor="text1"/>
          <w:sz w:val="28"/>
          <w:szCs w:val="28"/>
          <w:lang w:val="es-ES" w:eastAsia="es-MX"/>
        </w:rPr>
        <w:t>Con base en esas consideraciones, l</w:t>
      </w:r>
      <w:r w:rsidR="009A27EC" w:rsidRPr="007263D7">
        <w:rPr>
          <w:rFonts w:ascii="Times New Roman" w:eastAsia="Times New Roman" w:hAnsi="Times New Roman" w:cs="Times New Roman"/>
          <w:color w:val="000000" w:themeColor="text1"/>
          <w:sz w:val="28"/>
          <w:szCs w:val="28"/>
          <w:lang w:val="es-ES" w:eastAsia="es-MX"/>
        </w:rPr>
        <w:t xml:space="preserve">a Corte resolvió estarse a lo resuelto en la </w:t>
      </w:r>
      <w:r w:rsidR="00197A82" w:rsidRPr="007263D7">
        <w:rPr>
          <w:rFonts w:ascii="Times New Roman" w:eastAsia="Times New Roman" w:hAnsi="Times New Roman" w:cs="Times New Roman"/>
          <w:color w:val="000000" w:themeColor="text1"/>
          <w:sz w:val="28"/>
          <w:szCs w:val="28"/>
          <w:lang w:val="es-ES" w:eastAsia="es-MX"/>
        </w:rPr>
        <w:t>S</w:t>
      </w:r>
      <w:r w:rsidR="009A27EC" w:rsidRPr="007263D7">
        <w:rPr>
          <w:rFonts w:ascii="Times New Roman" w:eastAsia="Times New Roman" w:hAnsi="Times New Roman" w:cs="Times New Roman"/>
          <w:color w:val="000000" w:themeColor="text1"/>
          <w:sz w:val="28"/>
          <w:szCs w:val="28"/>
          <w:lang w:val="es-ES" w:eastAsia="es-MX"/>
        </w:rPr>
        <w:t>entencia C-</w:t>
      </w:r>
      <w:r w:rsidR="00197A82" w:rsidRPr="007263D7">
        <w:rPr>
          <w:rFonts w:ascii="Times New Roman" w:eastAsia="Times New Roman" w:hAnsi="Times New Roman" w:cs="Times New Roman"/>
          <w:color w:val="000000" w:themeColor="text1"/>
          <w:sz w:val="28"/>
          <w:szCs w:val="28"/>
          <w:lang w:val="es-ES" w:eastAsia="es-MX"/>
        </w:rPr>
        <w:t>161</w:t>
      </w:r>
      <w:r w:rsidR="009A27EC" w:rsidRPr="007263D7">
        <w:rPr>
          <w:rFonts w:ascii="Times New Roman" w:eastAsia="Times New Roman" w:hAnsi="Times New Roman" w:cs="Times New Roman"/>
          <w:color w:val="000000" w:themeColor="text1"/>
          <w:sz w:val="28"/>
          <w:szCs w:val="28"/>
          <w:lang w:val="es-ES" w:eastAsia="es-MX"/>
        </w:rPr>
        <w:t xml:space="preserve"> de 2024 por existir cosa juzgada formal y </w:t>
      </w:r>
      <w:r w:rsidR="0063412C" w:rsidRPr="007263D7">
        <w:rPr>
          <w:rFonts w:ascii="Times New Roman" w:eastAsia="Times New Roman" w:hAnsi="Times New Roman" w:cs="Times New Roman"/>
          <w:color w:val="000000" w:themeColor="text1"/>
          <w:sz w:val="28"/>
          <w:szCs w:val="28"/>
          <w:lang w:val="es-ES" w:eastAsia="es-MX"/>
        </w:rPr>
        <w:t>relativa</w:t>
      </w:r>
      <w:r w:rsidR="009A27EC" w:rsidRPr="007263D7">
        <w:rPr>
          <w:rFonts w:ascii="Times New Roman" w:eastAsia="Times New Roman" w:hAnsi="Times New Roman" w:cs="Times New Roman"/>
          <w:color w:val="000000" w:themeColor="text1"/>
          <w:sz w:val="28"/>
          <w:szCs w:val="28"/>
          <w:lang w:val="es-ES" w:eastAsia="es-MX"/>
        </w:rPr>
        <w:t xml:space="preserve">. </w:t>
      </w:r>
      <w:r w:rsidRPr="007263D7">
        <w:rPr>
          <w:rFonts w:ascii="Times New Roman" w:eastAsia="Times New Roman" w:hAnsi="Times New Roman" w:cs="Times New Roman"/>
          <w:color w:val="000000" w:themeColor="text1"/>
          <w:sz w:val="28"/>
          <w:szCs w:val="28"/>
          <w:lang w:val="es-ES" w:eastAsia="es-MX"/>
        </w:rPr>
        <w:t>Lo primero, porque existe identidad entre la ley acusada en esta ocasión y aquella que fue declarada inexequible con efectos diferidos en la Sentencia C-161 de 2024. Lo segundo, pues mientras el plazo del diferimiento no concluya, es posible plantear nuevos cargos.</w:t>
      </w:r>
    </w:p>
    <w:p w14:paraId="679AE798" w14:textId="71A99195" w:rsidR="00770A25" w:rsidRPr="007263D7" w:rsidRDefault="00770A25" w:rsidP="00C87B5A">
      <w:pPr>
        <w:ind w:right="48"/>
        <w:contextualSpacing/>
        <w:jc w:val="both"/>
        <w:rPr>
          <w:rFonts w:ascii="Times New Roman" w:eastAsia="Calibri" w:hAnsi="Times New Roman" w:cs="Times New Roman"/>
          <w:color w:val="000000" w:themeColor="text1"/>
          <w:sz w:val="28"/>
          <w:szCs w:val="28"/>
          <w:lang w:val="es-ES_tradnl" w:eastAsia="es-ES"/>
        </w:rPr>
      </w:pPr>
    </w:p>
    <w:p w14:paraId="3CB39FFD" w14:textId="77777777" w:rsidR="00770A25" w:rsidRPr="007263D7" w:rsidRDefault="00D6354C" w:rsidP="00C87B5A">
      <w:pPr>
        <w:pStyle w:val="Prrafodelista"/>
        <w:numPr>
          <w:ilvl w:val="0"/>
          <w:numId w:val="3"/>
        </w:numPr>
        <w:rPr>
          <w:b/>
          <w:bCs/>
        </w:rPr>
      </w:pPr>
      <w:r w:rsidRPr="007263D7">
        <w:rPr>
          <w:b/>
          <w:bCs/>
        </w:rPr>
        <w:t>ANTECEDENTES</w:t>
      </w:r>
    </w:p>
    <w:p w14:paraId="520D8AB8" w14:textId="77777777" w:rsidR="00770A25" w:rsidRPr="007263D7" w:rsidRDefault="00770A25" w:rsidP="00C87B5A">
      <w:pPr>
        <w:ind w:left="1080"/>
        <w:rPr>
          <w:rFonts w:ascii="Times New Roman" w:hAnsi="Times New Roman" w:cs="Times New Roman"/>
          <w:color w:val="000000" w:themeColor="text1"/>
          <w:sz w:val="28"/>
        </w:rPr>
      </w:pPr>
    </w:p>
    <w:p w14:paraId="6C8F9E91" w14:textId="2A8808FC" w:rsidR="00770A25" w:rsidRPr="007263D7" w:rsidRDefault="00D6354C" w:rsidP="00C87B5A">
      <w:pPr>
        <w:pStyle w:val="Prrafodelista"/>
        <w:rPr>
          <w:lang w:val="es-ES"/>
        </w:rPr>
      </w:pPr>
      <w:r w:rsidRPr="007263D7">
        <w:t xml:space="preserve">En ejercicio de la acción pública de inconstitucionalidad, los ciudadanos </w:t>
      </w:r>
      <w:r w:rsidR="00357941" w:rsidRPr="007263D7">
        <w:t xml:space="preserve">Luis Felipe Alarcón Camacho (expediente D-15659), Harold Eduardo Sua Montaña (expediente D-15683) y </w:t>
      </w:r>
      <w:r w:rsidRPr="007263D7">
        <w:t>Claudia Patricia Ramos Martínez (expediente D-15714)</w:t>
      </w:r>
      <w:r w:rsidR="00357941" w:rsidRPr="007263D7">
        <w:t xml:space="preserve"> </w:t>
      </w:r>
      <w:r w:rsidRPr="007263D7">
        <w:t>presentaron, por separado, demandas de inconstitucionalidad contra la Ley 2281 de 2023</w:t>
      </w:r>
      <w:r w:rsidR="007C7C6D" w:rsidRPr="007263D7">
        <w:t>,</w:t>
      </w:r>
      <w:r w:rsidRPr="007263D7">
        <w:t xml:space="preserve"> </w:t>
      </w:r>
      <w:r w:rsidRPr="007263D7">
        <w:rPr>
          <w:rFonts w:eastAsia="Times New Roman"/>
          <w:lang w:val="es-ES"/>
        </w:rPr>
        <w:t>“por medio de la cual se crea el Ministerio de la Igualdad y Equidad y se dictan otras disposiciones”. Los demandantes formularon cargos en contra de la totalidad de la ley y en contra de algunas de sus disposiciones, como lo sintetiza la Tabla 1</w:t>
      </w:r>
      <w:r w:rsidR="00B73C93" w:rsidRPr="007263D7">
        <w:rPr>
          <w:rFonts w:eastAsia="Times New Roman"/>
          <w:lang w:val="es-ES"/>
        </w:rPr>
        <w:t xml:space="preserve"> que se presenta a continuación</w:t>
      </w:r>
      <w:r w:rsidRPr="007263D7">
        <w:rPr>
          <w:rFonts w:eastAsia="Times New Roman"/>
          <w:lang w:val="es-ES"/>
        </w:rPr>
        <w:t>.</w:t>
      </w:r>
    </w:p>
    <w:p w14:paraId="5CC305D4" w14:textId="77777777" w:rsidR="00770A25" w:rsidRPr="007263D7" w:rsidRDefault="00770A25" w:rsidP="00C87B5A">
      <w:pPr>
        <w:pStyle w:val="Prrafodelista"/>
        <w:numPr>
          <w:ilvl w:val="0"/>
          <w:numId w:val="0"/>
        </w:numPr>
      </w:pPr>
    </w:p>
    <w:p w14:paraId="40C37819" w14:textId="21E3673D" w:rsidR="00770A25" w:rsidRPr="007263D7" w:rsidRDefault="00D6354C" w:rsidP="00CA2AED">
      <w:pPr>
        <w:pStyle w:val="Prrafodelista"/>
        <w:numPr>
          <w:ilvl w:val="0"/>
          <w:numId w:val="0"/>
        </w:numPr>
        <w:jc w:val="center"/>
        <w:rPr>
          <w:szCs w:val="22"/>
        </w:rPr>
      </w:pPr>
      <w:r w:rsidRPr="007263D7">
        <w:rPr>
          <w:szCs w:val="22"/>
        </w:rPr>
        <w:t xml:space="preserve">Tabla 1. </w:t>
      </w:r>
      <w:r w:rsidRPr="007263D7">
        <w:rPr>
          <w:i/>
          <w:iCs/>
          <w:szCs w:val="22"/>
        </w:rPr>
        <w:t>Síntesis de los cargos de los expedientes D-15659, D-15683 y D-15714</w:t>
      </w:r>
    </w:p>
    <w:p w14:paraId="53EC69AC" w14:textId="77777777" w:rsidR="002C3CCE" w:rsidRPr="007263D7" w:rsidRDefault="002C3CCE" w:rsidP="00C87B5A">
      <w:pPr>
        <w:pStyle w:val="Prrafodelista"/>
        <w:numPr>
          <w:ilvl w:val="0"/>
          <w:numId w:val="0"/>
        </w:numPr>
      </w:pPr>
    </w:p>
    <w:tbl>
      <w:tblPr>
        <w:tblStyle w:val="Tablaconcuadrcula"/>
        <w:tblW w:w="8835" w:type="dxa"/>
        <w:tblLayout w:type="fixed"/>
        <w:tblLook w:val="06A0" w:firstRow="1" w:lastRow="0" w:firstColumn="1" w:lastColumn="0" w:noHBand="1" w:noVBand="1"/>
      </w:tblPr>
      <w:tblGrid>
        <w:gridCol w:w="1530"/>
        <w:gridCol w:w="2760"/>
        <w:gridCol w:w="4545"/>
      </w:tblGrid>
      <w:tr w:rsidR="00797633" w:rsidRPr="007263D7" w14:paraId="6BE04814" w14:textId="77777777" w:rsidTr="1368FCFF">
        <w:trPr>
          <w:trHeight w:val="300"/>
        </w:trPr>
        <w:tc>
          <w:tcPr>
            <w:tcW w:w="1530" w:type="dxa"/>
            <w:shd w:val="clear" w:color="auto" w:fill="D9D9D9" w:themeFill="background1" w:themeFillShade="D9"/>
          </w:tcPr>
          <w:p w14:paraId="25E32802" w14:textId="77777777" w:rsidR="00770A25" w:rsidRPr="007263D7" w:rsidRDefault="00D6354C" w:rsidP="00C87B5A">
            <w:pPr>
              <w:jc w:val="center"/>
              <w:rPr>
                <w:rFonts w:ascii="Times New Roman" w:eastAsia="Times New Roman" w:hAnsi="Times New Roman" w:cs="Times New Roman"/>
                <w:b/>
                <w:bCs/>
                <w:color w:val="000000" w:themeColor="text1"/>
                <w:sz w:val="28"/>
                <w:szCs w:val="22"/>
                <w:lang w:val="es-ES"/>
              </w:rPr>
            </w:pPr>
            <w:r w:rsidRPr="007263D7">
              <w:rPr>
                <w:rFonts w:ascii="Times New Roman" w:eastAsia="Times New Roman" w:hAnsi="Times New Roman" w:cs="Times New Roman"/>
                <w:b/>
                <w:bCs/>
                <w:color w:val="000000" w:themeColor="text1"/>
                <w:sz w:val="28"/>
                <w:szCs w:val="22"/>
                <w:lang w:val="es-ES"/>
              </w:rPr>
              <w:t>Expediente</w:t>
            </w:r>
          </w:p>
        </w:tc>
        <w:tc>
          <w:tcPr>
            <w:tcW w:w="2760" w:type="dxa"/>
            <w:shd w:val="clear" w:color="auto" w:fill="D9D9D9" w:themeFill="background1" w:themeFillShade="D9"/>
          </w:tcPr>
          <w:p w14:paraId="16828ECD" w14:textId="77777777" w:rsidR="00770A25" w:rsidRPr="007263D7" w:rsidRDefault="00D6354C" w:rsidP="00C87B5A">
            <w:pPr>
              <w:jc w:val="center"/>
              <w:rPr>
                <w:rFonts w:ascii="Times New Roman" w:eastAsia="Times New Roman" w:hAnsi="Times New Roman" w:cs="Times New Roman"/>
                <w:b/>
                <w:bCs/>
                <w:color w:val="000000" w:themeColor="text1"/>
                <w:sz w:val="28"/>
                <w:szCs w:val="22"/>
                <w:lang w:val="es-ES"/>
              </w:rPr>
            </w:pPr>
            <w:r w:rsidRPr="007263D7">
              <w:rPr>
                <w:rFonts w:ascii="Times New Roman" w:eastAsia="Times New Roman" w:hAnsi="Times New Roman" w:cs="Times New Roman"/>
                <w:b/>
                <w:bCs/>
                <w:color w:val="000000" w:themeColor="text1"/>
                <w:sz w:val="28"/>
                <w:szCs w:val="22"/>
                <w:lang w:val="es-ES"/>
              </w:rPr>
              <w:t>Normas demandadas</w:t>
            </w:r>
          </w:p>
        </w:tc>
        <w:tc>
          <w:tcPr>
            <w:tcW w:w="4545" w:type="dxa"/>
            <w:shd w:val="clear" w:color="auto" w:fill="D9D9D9" w:themeFill="background1" w:themeFillShade="D9"/>
          </w:tcPr>
          <w:p w14:paraId="29ACF92F" w14:textId="77777777" w:rsidR="00770A25" w:rsidRPr="007263D7" w:rsidRDefault="00D6354C" w:rsidP="00C87B5A">
            <w:pPr>
              <w:jc w:val="center"/>
              <w:rPr>
                <w:rFonts w:ascii="Times New Roman" w:eastAsia="Times New Roman" w:hAnsi="Times New Roman" w:cs="Times New Roman"/>
                <w:b/>
                <w:bCs/>
                <w:color w:val="000000" w:themeColor="text1"/>
                <w:sz w:val="28"/>
                <w:szCs w:val="22"/>
                <w:lang w:val="es-ES"/>
              </w:rPr>
            </w:pPr>
            <w:r w:rsidRPr="007263D7">
              <w:rPr>
                <w:rFonts w:ascii="Times New Roman" w:eastAsia="Times New Roman" w:hAnsi="Times New Roman" w:cs="Times New Roman"/>
                <w:b/>
                <w:bCs/>
                <w:color w:val="000000" w:themeColor="text1"/>
                <w:sz w:val="28"/>
                <w:szCs w:val="22"/>
                <w:lang w:val="es-ES"/>
              </w:rPr>
              <w:t>Cargos</w:t>
            </w:r>
          </w:p>
        </w:tc>
      </w:tr>
      <w:tr w:rsidR="00797633" w:rsidRPr="007263D7" w14:paraId="6F62A2EA" w14:textId="77777777" w:rsidTr="1368FCFF">
        <w:trPr>
          <w:trHeight w:val="300"/>
        </w:trPr>
        <w:tc>
          <w:tcPr>
            <w:tcW w:w="1530" w:type="dxa"/>
          </w:tcPr>
          <w:p w14:paraId="163A1676" w14:textId="19961D86" w:rsidR="00770A25" w:rsidRPr="007263D7" w:rsidRDefault="00D6354C" w:rsidP="00C87B5A">
            <w:pPr>
              <w:jc w:val="cente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D-15659</w:t>
            </w:r>
          </w:p>
        </w:tc>
        <w:tc>
          <w:tcPr>
            <w:tcW w:w="2760" w:type="dxa"/>
          </w:tcPr>
          <w:p w14:paraId="4D7C759F" w14:textId="77777777" w:rsidR="00770A25" w:rsidRPr="007263D7" w:rsidRDefault="00D6354C" w:rsidP="00C87B5A">
            <w:pP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Artículos 4 y 5 de la Ley 2281 de 2023.</w:t>
            </w:r>
          </w:p>
        </w:tc>
        <w:tc>
          <w:tcPr>
            <w:tcW w:w="4545" w:type="dxa"/>
          </w:tcPr>
          <w:p w14:paraId="3AB93CEA" w14:textId="77777777" w:rsidR="00770A25" w:rsidRPr="007263D7" w:rsidRDefault="00D6354C" w:rsidP="00C87B5A">
            <w:pP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Violación del artículo 13 de la Constitución.</w:t>
            </w:r>
          </w:p>
        </w:tc>
      </w:tr>
      <w:tr w:rsidR="00797633" w:rsidRPr="007263D7" w14:paraId="5B8CCD52" w14:textId="77777777" w:rsidTr="1368FCFF">
        <w:trPr>
          <w:trHeight w:val="300"/>
        </w:trPr>
        <w:tc>
          <w:tcPr>
            <w:tcW w:w="1530" w:type="dxa"/>
          </w:tcPr>
          <w:p w14:paraId="3610D6E8" w14:textId="020275E1" w:rsidR="00770A25" w:rsidRPr="007263D7" w:rsidRDefault="00D6354C" w:rsidP="00C87B5A">
            <w:pPr>
              <w:jc w:val="cente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D-15683</w:t>
            </w:r>
          </w:p>
        </w:tc>
        <w:tc>
          <w:tcPr>
            <w:tcW w:w="2760" w:type="dxa"/>
          </w:tcPr>
          <w:p w14:paraId="3F114B56" w14:textId="77777777" w:rsidR="00770A25" w:rsidRPr="007263D7" w:rsidRDefault="00D6354C" w:rsidP="00C87B5A">
            <w:pP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La totalidad de la Ley 2281 de 2023.</w:t>
            </w:r>
          </w:p>
          <w:p w14:paraId="4552F463" w14:textId="77777777" w:rsidR="00357941" w:rsidRPr="007263D7" w:rsidRDefault="00357941" w:rsidP="00C87B5A">
            <w:pPr>
              <w:rPr>
                <w:rFonts w:ascii="Times New Roman" w:eastAsia="Times New Roman" w:hAnsi="Times New Roman" w:cs="Times New Roman"/>
                <w:color w:val="000000" w:themeColor="text1"/>
                <w:sz w:val="28"/>
                <w:szCs w:val="22"/>
                <w:lang w:val="es-ES"/>
              </w:rPr>
            </w:pPr>
          </w:p>
          <w:p w14:paraId="1583FFE8" w14:textId="3FCD62C5" w:rsidR="00770A25" w:rsidRPr="007263D7" w:rsidRDefault="00D6354C" w:rsidP="00C87B5A">
            <w:pP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Subsidiariamente, los artículos 3, 4 (parcial), 5, 6, 12 y 13 de la Ley 2281 de 2023.</w:t>
            </w:r>
          </w:p>
        </w:tc>
        <w:tc>
          <w:tcPr>
            <w:tcW w:w="4545" w:type="dxa"/>
          </w:tcPr>
          <w:p w14:paraId="03FD1CB6" w14:textId="77777777" w:rsidR="00770A25" w:rsidRPr="007263D7" w:rsidRDefault="00D6354C" w:rsidP="00C87B5A">
            <w:pP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Violación del artículo 334 de la Constitución y el artículo 7 de la Ley 819 de 2003.</w:t>
            </w:r>
          </w:p>
          <w:p w14:paraId="7E6EE7CA" w14:textId="24DA3EFE" w:rsidR="006C65E1" w:rsidRPr="007263D7" w:rsidRDefault="006C65E1" w:rsidP="00C87B5A">
            <w:pPr>
              <w:rPr>
                <w:rFonts w:ascii="Times New Roman" w:eastAsia="Times New Roman" w:hAnsi="Times New Roman" w:cs="Times New Roman"/>
                <w:color w:val="000000" w:themeColor="text1"/>
                <w:sz w:val="28"/>
                <w:szCs w:val="22"/>
                <w:lang w:val="es-ES"/>
              </w:rPr>
            </w:pPr>
          </w:p>
          <w:p w14:paraId="48348A5A" w14:textId="77777777" w:rsidR="00770A25" w:rsidRPr="007263D7" w:rsidRDefault="00D6354C" w:rsidP="00C87B5A">
            <w:pP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Violación de los artículos 150.7 y 150.10 de la Constitución.</w:t>
            </w:r>
          </w:p>
          <w:p w14:paraId="22AC76AA" w14:textId="77777777" w:rsidR="00770A25" w:rsidRPr="007263D7" w:rsidRDefault="00770A25" w:rsidP="00C87B5A">
            <w:pPr>
              <w:rPr>
                <w:rFonts w:ascii="Times New Roman" w:eastAsia="Times New Roman" w:hAnsi="Times New Roman" w:cs="Times New Roman"/>
                <w:color w:val="000000" w:themeColor="text1"/>
                <w:sz w:val="28"/>
                <w:szCs w:val="22"/>
                <w:lang w:val="es-ES"/>
              </w:rPr>
            </w:pPr>
          </w:p>
          <w:p w14:paraId="4D5114AD" w14:textId="77777777" w:rsidR="00770A25" w:rsidRPr="007263D7" w:rsidRDefault="00D6354C" w:rsidP="00C87B5A">
            <w:pP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Violación de los artículos 277.2 y 282.1 de la Constitución.</w:t>
            </w:r>
          </w:p>
          <w:p w14:paraId="3A92FE2D" w14:textId="77777777" w:rsidR="00770A25" w:rsidRPr="007263D7" w:rsidRDefault="00770A25" w:rsidP="00C87B5A">
            <w:pPr>
              <w:rPr>
                <w:rFonts w:ascii="Times New Roman" w:eastAsia="Times New Roman" w:hAnsi="Times New Roman" w:cs="Times New Roman"/>
                <w:color w:val="000000" w:themeColor="text1"/>
                <w:sz w:val="28"/>
                <w:szCs w:val="22"/>
                <w:lang w:val="es-ES"/>
              </w:rPr>
            </w:pPr>
          </w:p>
          <w:p w14:paraId="342DC935" w14:textId="77777777" w:rsidR="00770A25" w:rsidRPr="007263D7" w:rsidRDefault="00D6354C" w:rsidP="00C87B5A">
            <w:pP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Violación del principio de unidad de materia.</w:t>
            </w:r>
          </w:p>
        </w:tc>
      </w:tr>
      <w:tr w:rsidR="00797633" w:rsidRPr="007263D7" w14:paraId="5FC4B9B6" w14:textId="77777777" w:rsidTr="1368FCFF">
        <w:trPr>
          <w:trHeight w:val="300"/>
        </w:trPr>
        <w:tc>
          <w:tcPr>
            <w:tcW w:w="1530" w:type="dxa"/>
          </w:tcPr>
          <w:p w14:paraId="43AD9F2D" w14:textId="6F39EB2F" w:rsidR="00770A25" w:rsidRPr="007263D7" w:rsidRDefault="00D6354C" w:rsidP="00C87B5A">
            <w:pPr>
              <w:jc w:val="cente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D-15714</w:t>
            </w:r>
          </w:p>
        </w:tc>
        <w:tc>
          <w:tcPr>
            <w:tcW w:w="2760" w:type="dxa"/>
          </w:tcPr>
          <w:p w14:paraId="76C059C3" w14:textId="77777777" w:rsidR="00770A25" w:rsidRPr="007263D7" w:rsidRDefault="00D6354C" w:rsidP="00C87B5A">
            <w:pP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Artículo 5 de la Ley 2281 de 2023.</w:t>
            </w:r>
          </w:p>
        </w:tc>
        <w:tc>
          <w:tcPr>
            <w:tcW w:w="4545" w:type="dxa"/>
          </w:tcPr>
          <w:p w14:paraId="4C407491" w14:textId="77777777" w:rsidR="00770A25" w:rsidRPr="007263D7" w:rsidRDefault="00D6354C" w:rsidP="00C87B5A">
            <w:pP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Violación de los artículos 2, 5, 13, 22, 25, 27, 42, 43, 44, 70, 95, 188 y 365 de la Constitución, y los artículos 1, 2, 7 y 29 de la Declaración Universal de los Derechos Humanos.</w:t>
            </w:r>
          </w:p>
        </w:tc>
      </w:tr>
    </w:tbl>
    <w:p w14:paraId="19156F8F" w14:textId="6BB2A492" w:rsidR="00770A25" w:rsidRPr="007263D7" w:rsidRDefault="00D6354C" w:rsidP="00CA2AED">
      <w:pPr>
        <w:pStyle w:val="Prrafodelista"/>
        <w:numPr>
          <w:ilvl w:val="0"/>
          <w:numId w:val="0"/>
        </w:numPr>
        <w:rPr>
          <w:szCs w:val="22"/>
        </w:rPr>
      </w:pPr>
      <w:r w:rsidRPr="007263D7">
        <w:rPr>
          <w:szCs w:val="22"/>
        </w:rPr>
        <w:t xml:space="preserve">Fuente: elaboración propia del despacho de la magistrada </w:t>
      </w:r>
      <w:r w:rsidR="00E92976" w:rsidRPr="007263D7">
        <w:rPr>
          <w:szCs w:val="22"/>
        </w:rPr>
        <w:t>ponente</w:t>
      </w:r>
      <w:r w:rsidRPr="007263D7">
        <w:rPr>
          <w:szCs w:val="22"/>
        </w:rPr>
        <w:t>.</w:t>
      </w:r>
    </w:p>
    <w:p w14:paraId="66657EC3" w14:textId="77777777" w:rsidR="00770A25" w:rsidRPr="007263D7" w:rsidRDefault="00770A25" w:rsidP="00C87B5A">
      <w:pPr>
        <w:pStyle w:val="Prrafodelista"/>
        <w:numPr>
          <w:ilvl w:val="0"/>
          <w:numId w:val="0"/>
        </w:numPr>
      </w:pPr>
    </w:p>
    <w:p w14:paraId="5BA510F2" w14:textId="71CDDC70" w:rsidR="00B31645" w:rsidRPr="007263D7" w:rsidRDefault="00D6354C" w:rsidP="00C87B5A">
      <w:pPr>
        <w:pStyle w:val="Prrafodelista"/>
        <w:rPr>
          <w:lang w:val="es-ES"/>
        </w:rPr>
      </w:pPr>
      <w:r w:rsidRPr="007263D7">
        <w:t xml:space="preserve">Adicionalmente, la ciudadana Ramos Martínez demandó los artículos 5, (parcial), 18, 19, 20, 21, 22, 23, y 48 del Decreto 1075 de 2023 “por el cual se adopta la estructura del Ministerio de la Igualdad y Equidad y se dictan otras disposiciones”.  </w:t>
      </w:r>
    </w:p>
    <w:p w14:paraId="72602A79" w14:textId="77777777" w:rsidR="00B31645" w:rsidRPr="007263D7" w:rsidRDefault="00B31645" w:rsidP="00C87B5A">
      <w:pPr>
        <w:pStyle w:val="Prrafodelista"/>
        <w:numPr>
          <w:ilvl w:val="0"/>
          <w:numId w:val="0"/>
        </w:numPr>
      </w:pPr>
    </w:p>
    <w:p w14:paraId="5EBCF96C" w14:textId="1CDC26A1" w:rsidR="00770A25" w:rsidRPr="007263D7" w:rsidRDefault="00D6354C" w:rsidP="00C87B5A">
      <w:pPr>
        <w:pStyle w:val="Prrafodelista"/>
        <w:rPr>
          <w:lang w:val="es-ES_tradnl"/>
        </w:rPr>
      </w:pPr>
      <w:r w:rsidRPr="007263D7">
        <w:t>La Sala Plena de la Corte Constitucional decidió acumular los expedientes D-15659, D-15683 y D-15714 porque tenían unidad de materia.</w:t>
      </w:r>
    </w:p>
    <w:p w14:paraId="12B9845F" w14:textId="77777777" w:rsidR="00770A25" w:rsidRPr="007263D7" w:rsidRDefault="00770A25" w:rsidP="00C87B5A">
      <w:pPr>
        <w:pStyle w:val="Prrafodelista"/>
        <w:numPr>
          <w:ilvl w:val="0"/>
          <w:numId w:val="0"/>
        </w:numPr>
        <w:rPr>
          <w:lang w:val="es-ES_tradnl"/>
        </w:rPr>
      </w:pPr>
    </w:p>
    <w:p w14:paraId="7217E5B5" w14:textId="7F8FCD32" w:rsidR="00770A25" w:rsidRPr="007263D7" w:rsidRDefault="00D6354C" w:rsidP="00C87B5A">
      <w:pPr>
        <w:pStyle w:val="Prrafodelista"/>
      </w:pPr>
      <w:r w:rsidRPr="007263D7">
        <w:t>El 26 de febrero de 2024</w:t>
      </w:r>
      <w:r w:rsidR="001017CD" w:rsidRPr="007263D7">
        <w:rPr>
          <w:rStyle w:val="Refdenotaalpie"/>
          <w:color w:val="000000" w:themeColor="text1"/>
        </w:rPr>
        <w:footnoteReference w:id="1"/>
      </w:r>
      <w:r w:rsidRPr="007263D7">
        <w:t xml:space="preserve">, la magistrada </w:t>
      </w:r>
      <w:r w:rsidR="00C708A0" w:rsidRPr="007263D7">
        <w:t xml:space="preserve">ponente </w:t>
      </w:r>
      <w:r w:rsidRPr="007263D7">
        <w:t>decidió lo siguiente sobre la admisibilidad de las demandas:</w:t>
      </w:r>
    </w:p>
    <w:p w14:paraId="19D44F9C" w14:textId="77777777" w:rsidR="00770A25" w:rsidRPr="007263D7" w:rsidRDefault="00770A25" w:rsidP="00C87B5A">
      <w:pPr>
        <w:pStyle w:val="Prrafodelista"/>
        <w:numPr>
          <w:ilvl w:val="0"/>
          <w:numId w:val="0"/>
        </w:numPr>
      </w:pPr>
    </w:p>
    <w:p w14:paraId="00FEDB15" w14:textId="36E5B8FD" w:rsidR="00770A25" w:rsidRPr="007263D7" w:rsidRDefault="00D6354C" w:rsidP="00C87B5A">
      <w:pPr>
        <w:pStyle w:val="Prrafodelista"/>
        <w:numPr>
          <w:ilvl w:val="0"/>
          <w:numId w:val="0"/>
        </w:numPr>
        <w:jc w:val="center"/>
        <w:rPr>
          <w:i/>
          <w:iCs/>
          <w:szCs w:val="22"/>
        </w:rPr>
      </w:pPr>
      <w:r w:rsidRPr="007263D7">
        <w:rPr>
          <w:szCs w:val="22"/>
        </w:rPr>
        <w:t xml:space="preserve">Tabla 2. </w:t>
      </w:r>
      <w:r w:rsidRPr="007263D7">
        <w:rPr>
          <w:i/>
          <w:iCs/>
          <w:szCs w:val="22"/>
        </w:rPr>
        <w:t>Síntesis del auto mixto del 26 de febrero de 2024</w:t>
      </w:r>
    </w:p>
    <w:p w14:paraId="7E2CFA78" w14:textId="77777777" w:rsidR="007C59E7" w:rsidRPr="007263D7" w:rsidRDefault="007C59E7" w:rsidP="00C87B5A">
      <w:pPr>
        <w:pStyle w:val="Prrafodelista"/>
        <w:numPr>
          <w:ilvl w:val="0"/>
          <w:numId w:val="0"/>
        </w:numPr>
        <w:jc w:val="center"/>
        <w:rPr>
          <w:szCs w:val="22"/>
        </w:rPr>
      </w:pPr>
    </w:p>
    <w:tbl>
      <w:tblPr>
        <w:tblStyle w:val="Tablaconcuadrcula"/>
        <w:tblW w:w="8835" w:type="dxa"/>
        <w:tblLayout w:type="fixed"/>
        <w:tblLook w:val="06A0" w:firstRow="1" w:lastRow="0" w:firstColumn="1" w:lastColumn="0" w:noHBand="1" w:noVBand="1"/>
      </w:tblPr>
      <w:tblGrid>
        <w:gridCol w:w="1530"/>
        <w:gridCol w:w="7305"/>
      </w:tblGrid>
      <w:tr w:rsidR="00797633" w:rsidRPr="007263D7" w14:paraId="405A30BE" w14:textId="77777777" w:rsidTr="1368FCFF">
        <w:trPr>
          <w:trHeight w:val="300"/>
        </w:trPr>
        <w:tc>
          <w:tcPr>
            <w:tcW w:w="1530" w:type="dxa"/>
            <w:shd w:val="clear" w:color="auto" w:fill="D9D9D9" w:themeFill="background1" w:themeFillShade="D9"/>
          </w:tcPr>
          <w:p w14:paraId="4C276C13" w14:textId="77777777" w:rsidR="00770A25" w:rsidRPr="007263D7" w:rsidRDefault="00D6354C" w:rsidP="00C87B5A">
            <w:pPr>
              <w:jc w:val="center"/>
              <w:rPr>
                <w:rFonts w:ascii="Times New Roman" w:eastAsia="Times New Roman" w:hAnsi="Times New Roman" w:cs="Times New Roman"/>
                <w:b/>
                <w:bCs/>
                <w:color w:val="000000" w:themeColor="text1"/>
                <w:sz w:val="28"/>
                <w:szCs w:val="22"/>
                <w:lang w:val="es-ES"/>
              </w:rPr>
            </w:pPr>
            <w:r w:rsidRPr="007263D7">
              <w:rPr>
                <w:rFonts w:ascii="Times New Roman" w:eastAsia="Times New Roman" w:hAnsi="Times New Roman" w:cs="Times New Roman"/>
                <w:b/>
                <w:bCs/>
                <w:color w:val="000000" w:themeColor="text1"/>
                <w:sz w:val="28"/>
                <w:szCs w:val="22"/>
                <w:lang w:val="es-ES"/>
              </w:rPr>
              <w:t>Expediente</w:t>
            </w:r>
          </w:p>
        </w:tc>
        <w:tc>
          <w:tcPr>
            <w:tcW w:w="7304" w:type="dxa"/>
            <w:shd w:val="clear" w:color="auto" w:fill="D9D9D9" w:themeFill="background1" w:themeFillShade="D9"/>
          </w:tcPr>
          <w:p w14:paraId="1F69FEA1" w14:textId="77777777" w:rsidR="00770A25" w:rsidRPr="007263D7" w:rsidRDefault="00D6354C" w:rsidP="00C87B5A">
            <w:pPr>
              <w:jc w:val="center"/>
              <w:rPr>
                <w:rFonts w:ascii="Times New Roman" w:eastAsia="Times New Roman" w:hAnsi="Times New Roman" w:cs="Times New Roman"/>
                <w:b/>
                <w:bCs/>
                <w:color w:val="000000" w:themeColor="text1"/>
                <w:sz w:val="28"/>
                <w:szCs w:val="22"/>
                <w:lang w:val="es-ES"/>
              </w:rPr>
            </w:pPr>
            <w:r w:rsidRPr="007263D7">
              <w:rPr>
                <w:rFonts w:ascii="Times New Roman" w:eastAsia="Times New Roman" w:hAnsi="Times New Roman" w:cs="Times New Roman"/>
                <w:b/>
                <w:bCs/>
                <w:color w:val="000000" w:themeColor="text1"/>
                <w:sz w:val="28"/>
                <w:szCs w:val="22"/>
                <w:lang w:val="es-ES"/>
              </w:rPr>
              <w:t>Decisión</w:t>
            </w:r>
          </w:p>
        </w:tc>
      </w:tr>
      <w:tr w:rsidR="00797633" w:rsidRPr="007263D7" w14:paraId="616CF310" w14:textId="77777777" w:rsidTr="1368FCFF">
        <w:trPr>
          <w:trHeight w:val="300"/>
        </w:trPr>
        <w:tc>
          <w:tcPr>
            <w:tcW w:w="1530" w:type="dxa"/>
          </w:tcPr>
          <w:p w14:paraId="5F0CC316" w14:textId="2C26575F" w:rsidR="00770A25" w:rsidRPr="007263D7" w:rsidRDefault="00D6354C" w:rsidP="00C87B5A">
            <w:pPr>
              <w:jc w:val="cente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D-15659</w:t>
            </w:r>
          </w:p>
        </w:tc>
        <w:tc>
          <w:tcPr>
            <w:tcW w:w="7304" w:type="dxa"/>
          </w:tcPr>
          <w:p w14:paraId="07A50993" w14:textId="77777777" w:rsidR="00770A25" w:rsidRPr="007263D7" w:rsidRDefault="00D6354C" w:rsidP="00C87B5A">
            <w:pPr>
              <w:jc w:val="both"/>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Inadmisión de la demanda contra los artículos 4 y 5 de la Ley 2281 de 2023 porque (i) el accionante no acreditó su condición de ciudadano colombiano y (ii) el cargo no cumplía con los requisitos de certeza, especificidad, suficiencia y pertinencia.</w:t>
            </w:r>
          </w:p>
        </w:tc>
      </w:tr>
      <w:tr w:rsidR="00797633" w:rsidRPr="007263D7" w14:paraId="4D448B26" w14:textId="77777777" w:rsidTr="1368FCFF">
        <w:trPr>
          <w:trHeight w:val="300"/>
        </w:trPr>
        <w:tc>
          <w:tcPr>
            <w:tcW w:w="1530" w:type="dxa"/>
          </w:tcPr>
          <w:p w14:paraId="2BB5A287" w14:textId="4C27F18A" w:rsidR="00770A25" w:rsidRPr="007263D7" w:rsidRDefault="00D6354C" w:rsidP="00C87B5A">
            <w:pPr>
              <w:jc w:val="cente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D-15683</w:t>
            </w:r>
          </w:p>
        </w:tc>
        <w:tc>
          <w:tcPr>
            <w:tcW w:w="7304" w:type="dxa"/>
          </w:tcPr>
          <w:p w14:paraId="7228D63A" w14:textId="77777777" w:rsidR="00770A25" w:rsidRPr="007263D7" w:rsidRDefault="00D6354C" w:rsidP="00C87B5A">
            <w:pPr>
              <w:jc w:val="both"/>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Admisión del cargo contra la totalidad de la Ley 2281 de 2023 por la violación del artículo 334 de la Constitución y el artículo 7 de la Ley 819 de 2003.</w:t>
            </w:r>
          </w:p>
          <w:p w14:paraId="23AF7053" w14:textId="77777777" w:rsidR="00770A25" w:rsidRPr="007263D7" w:rsidRDefault="00770A25" w:rsidP="00C87B5A">
            <w:pPr>
              <w:jc w:val="both"/>
              <w:rPr>
                <w:rFonts w:ascii="Times New Roman" w:eastAsia="Times New Roman" w:hAnsi="Times New Roman" w:cs="Times New Roman"/>
                <w:color w:val="000000" w:themeColor="text1"/>
                <w:sz w:val="28"/>
                <w:szCs w:val="22"/>
                <w:lang w:val="es-ES"/>
              </w:rPr>
            </w:pPr>
          </w:p>
          <w:p w14:paraId="1C74E05E" w14:textId="77777777" w:rsidR="00770A25" w:rsidRPr="007263D7" w:rsidRDefault="00D6354C" w:rsidP="00C87B5A">
            <w:pPr>
              <w:jc w:val="both"/>
              <w:rPr>
                <w:rFonts w:ascii="Times New Roman" w:hAnsi="Times New Roman" w:cs="Times New Roman"/>
                <w:color w:val="000000" w:themeColor="text1"/>
                <w:sz w:val="28"/>
                <w:szCs w:val="22"/>
              </w:rPr>
            </w:pPr>
            <w:r w:rsidRPr="007263D7">
              <w:rPr>
                <w:rFonts w:ascii="Times New Roman" w:eastAsia="Times New Roman" w:hAnsi="Times New Roman" w:cs="Times New Roman"/>
                <w:color w:val="000000" w:themeColor="text1"/>
                <w:sz w:val="28"/>
                <w:szCs w:val="22"/>
                <w:lang w:val="es-ES"/>
              </w:rPr>
              <w:t xml:space="preserve">Inadmisión del cargo contra el artículo </w:t>
            </w:r>
            <w:r w:rsidRPr="007263D7">
              <w:rPr>
                <w:rFonts w:ascii="Times New Roman" w:hAnsi="Times New Roman" w:cs="Times New Roman"/>
                <w:color w:val="000000" w:themeColor="text1"/>
                <w:sz w:val="28"/>
                <w:szCs w:val="22"/>
              </w:rPr>
              <w:t>12 de la Ley 2281 de 2023 por la violación de los numerales 7 y 10 del artículo 150 de la Constitución, por falta de especificidad, pertinencia y suficiencia.</w:t>
            </w:r>
          </w:p>
          <w:p w14:paraId="4AD0432D" w14:textId="77777777" w:rsidR="00770A25" w:rsidRPr="007263D7" w:rsidRDefault="00770A25" w:rsidP="00C87B5A">
            <w:pPr>
              <w:jc w:val="both"/>
              <w:rPr>
                <w:rFonts w:ascii="Times New Roman" w:hAnsi="Times New Roman" w:cs="Times New Roman"/>
                <w:color w:val="000000" w:themeColor="text1"/>
                <w:sz w:val="28"/>
                <w:szCs w:val="22"/>
              </w:rPr>
            </w:pPr>
          </w:p>
          <w:p w14:paraId="32ADE4B3" w14:textId="77777777" w:rsidR="00770A25" w:rsidRPr="007263D7" w:rsidRDefault="00D6354C" w:rsidP="00C87B5A">
            <w:pPr>
              <w:jc w:val="both"/>
              <w:rPr>
                <w:rFonts w:ascii="Times New Roman" w:hAnsi="Times New Roman" w:cs="Times New Roman"/>
                <w:color w:val="000000" w:themeColor="text1"/>
                <w:sz w:val="28"/>
                <w:szCs w:val="22"/>
              </w:rPr>
            </w:pPr>
            <w:r w:rsidRPr="007263D7">
              <w:rPr>
                <w:rFonts w:ascii="Times New Roman" w:hAnsi="Times New Roman" w:cs="Times New Roman"/>
                <w:color w:val="000000" w:themeColor="text1"/>
                <w:sz w:val="28"/>
                <w:szCs w:val="22"/>
              </w:rPr>
              <w:t>Inadmisión del cargo contra los artículos 3 y 5 de la Ley 2281 de 2023 por la violación de los artículos 277, numeral 2, y 282, numeral 1, de la Constitución, por falta de pertinencia y suficiencia.</w:t>
            </w:r>
          </w:p>
          <w:p w14:paraId="542B6837" w14:textId="77777777" w:rsidR="00770A25" w:rsidRPr="007263D7" w:rsidRDefault="00770A25" w:rsidP="00C87B5A">
            <w:pPr>
              <w:jc w:val="both"/>
              <w:rPr>
                <w:rFonts w:ascii="Times New Roman" w:hAnsi="Times New Roman" w:cs="Times New Roman"/>
                <w:color w:val="000000" w:themeColor="text1"/>
                <w:sz w:val="28"/>
                <w:szCs w:val="22"/>
              </w:rPr>
            </w:pPr>
          </w:p>
          <w:p w14:paraId="2049E0DF" w14:textId="77777777" w:rsidR="00770A25" w:rsidRPr="007263D7" w:rsidRDefault="00D6354C" w:rsidP="00C87B5A">
            <w:pPr>
              <w:jc w:val="both"/>
              <w:rPr>
                <w:rFonts w:ascii="Times New Roman" w:eastAsia="Times New Roman" w:hAnsi="Times New Roman" w:cs="Times New Roman"/>
                <w:color w:val="000000" w:themeColor="text1"/>
                <w:sz w:val="28"/>
                <w:szCs w:val="22"/>
                <w:lang w:val="es-ES"/>
              </w:rPr>
            </w:pPr>
            <w:r w:rsidRPr="007263D7">
              <w:rPr>
                <w:rFonts w:ascii="Times New Roman" w:hAnsi="Times New Roman" w:cs="Times New Roman"/>
                <w:color w:val="000000" w:themeColor="text1"/>
                <w:sz w:val="28"/>
                <w:szCs w:val="22"/>
              </w:rPr>
              <w:t>Inadmisión del cargo contra los artículos 4 (parcial), 6, 13 y 16 de la Ley 2281 de 2023 por la violación del principio de unidad de materia, por falta de claridad, especificidad, pertinencia y suficiencia.</w:t>
            </w:r>
          </w:p>
        </w:tc>
      </w:tr>
      <w:tr w:rsidR="00797633" w:rsidRPr="007263D7" w14:paraId="342105EB" w14:textId="77777777" w:rsidTr="1368FCFF">
        <w:trPr>
          <w:trHeight w:val="300"/>
        </w:trPr>
        <w:tc>
          <w:tcPr>
            <w:tcW w:w="1530" w:type="dxa"/>
          </w:tcPr>
          <w:p w14:paraId="599B1D3A" w14:textId="21DE1E3B" w:rsidR="00770A25" w:rsidRPr="007263D7" w:rsidRDefault="00D6354C" w:rsidP="00C87B5A">
            <w:pPr>
              <w:jc w:val="center"/>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D-15714</w:t>
            </w:r>
          </w:p>
        </w:tc>
        <w:tc>
          <w:tcPr>
            <w:tcW w:w="7304" w:type="dxa"/>
          </w:tcPr>
          <w:p w14:paraId="2EBD0D8B" w14:textId="65956E16" w:rsidR="00770A25" w:rsidRPr="007263D7" w:rsidRDefault="00D6354C" w:rsidP="00C87B5A">
            <w:pPr>
              <w:jc w:val="both"/>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 xml:space="preserve">Rechazo de la demanda contra </w:t>
            </w:r>
            <w:r w:rsidR="1F51C89A" w:rsidRPr="007263D7">
              <w:rPr>
                <w:rFonts w:ascii="Times New Roman" w:eastAsia="Times New Roman" w:hAnsi="Times New Roman" w:cs="Times New Roman"/>
                <w:color w:val="000000" w:themeColor="text1"/>
                <w:sz w:val="28"/>
                <w:szCs w:val="22"/>
                <w:lang w:val="es-ES"/>
              </w:rPr>
              <w:t>l</w:t>
            </w:r>
            <w:r w:rsidRPr="007263D7">
              <w:rPr>
                <w:rFonts w:ascii="Times New Roman" w:eastAsia="Times New Roman" w:hAnsi="Times New Roman" w:cs="Times New Roman"/>
                <w:color w:val="000000" w:themeColor="text1"/>
                <w:sz w:val="28"/>
                <w:szCs w:val="22"/>
                <w:lang w:val="es-ES"/>
              </w:rPr>
              <w:t>os artículos 5, (parcial), 18, 19, 20, 21, 22, 23, y 48 del Decreto 1075 de 2023 por falta de competencia.</w:t>
            </w:r>
          </w:p>
          <w:p w14:paraId="25BD4E50" w14:textId="77777777" w:rsidR="00770A25" w:rsidRPr="007263D7" w:rsidRDefault="00770A25" w:rsidP="00C87B5A">
            <w:pPr>
              <w:jc w:val="both"/>
              <w:rPr>
                <w:rFonts w:ascii="Times New Roman" w:eastAsia="Times New Roman" w:hAnsi="Times New Roman" w:cs="Times New Roman"/>
                <w:color w:val="000000" w:themeColor="text1"/>
                <w:sz w:val="28"/>
                <w:szCs w:val="22"/>
                <w:lang w:val="es-ES"/>
              </w:rPr>
            </w:pPr>
          </w:p>
          <w:p w14:paraId="6A720B1B" w14:textId="464670DB" w:rsidR="00770A25" w:rsidRPr="007263D7" w:rsidRDefault="00D6354C" w:rsidP="00C87B5A">
            <w:pPr>
              <w:jc w:val="both"/>
              <w:rPr>
                <w:rFonts w:ascii="Times New Roman" w:eastAsia="Times New Roman" w:hAnsi="Times New Roman" w:cs="Times New Roman"/>
                <w:color w:val="000000" w:themeColor="text1"/>
                <w:sz w:val="28"/>
                <w:szCs w:val="22"/>
                <w:lang w:val="es-ES"/>
              </w:rPr>
            </w:pPr>
            <w:r w:rsidRPr="007263D7">
              <w:rPr>
                <w:rFonts w:ascii="Times New Roman" w:eastAsia="Times New Roman" w:hAnsi="Times New Roman" w:cs="Times New Roman"/>
                <w:color w:val="000000" w:themeColor="text1"/>
                <w:sz w:val="28"/>
                <w:szCs w:val="22"/>
                <w:lang w:val="es-ES"/>
              </w:rPr>
              <w:t xml:space="preserve">Inadmisión de </w:t>
            </w:r>
            <w:r w:rsidRPr="007263D7">
              <w:rPr>
                <w:rFonts w:ascii="Times New Roman" w:hAnsi="Times New Roman" w:cs="Times New Roman"/>
                <w:color w:val="000000" w:themeColor="text1"/>
                <w:sz w:val="28"/>
                <w:szCs w:val="22"/>
              </w:rPr>
              <w:t>la demanda contra el artículo 5 de la Ley 2281 de 2023 por la violación de los artículos 2, 5, 13, 22, 25, 27, 42, 43, 44, 70, 95, 188, 365 de la Constitución y los artículos 1, 2, 7 y 29 de la Declaración Universal de los Derechos Humanos, por falta de claridad</w:t>
            </w:r>
            <w:r w:rsidR="00357941" w:rsidRPr="007263D7">
              <w:rPr>
                <w:rFonts w:ascii="Times New Roman" w:hAnsi="Times New Roman" w:cs="Times New Roman"/>
                <w:color w:val="000000" w:themeColor="text1"/>
                <w:sz w:val="28"/>
                <w:szCs w:val="22"/>
              </w:rPr>
              <w:t>,</w:t>
            </w:r>
            <w:r w:rsidRPr="007263D7">
              <w:rPr>
                <w:rFonts w:ascii="Times New Roman" w:hAnsi="Times New Roman" w:cs="Times New Roman"/>
                <w:color w:val="000000" w:themeColor="text1"/>
                <w:sz w:val="28"/>
                <w:szCs w:val="22"/>
              </w:rPr>
              <w:t xml:space="preserve"> certeza, especificidad, pertinencia y suficiencia.</w:t>
            </w:r>
          </w:p>
        </w:tc>
      </w:tr>
    </w:tbl>
    <w:p w14:paraId="71ECCC8E" w14:textId="701A58BD" w:rsidR="00770A25" w:rsidRPr="007263D7" w:rsidRDefault="00D6354C" w:rsidP="00CA2AED">
      <w:pPr>
        <w:pStyle w:val="Prrafodelista"/>
        <w:numPr>
          <w:ilvl w:val="0"/>
          <w:numId w:val="0"/>
        </w:numPr>
        <w:jc w:val="left"/>
        <w:rPr>
          <w:szCs w:val="22"/>
          <w:lang w:val="es-ES"/>
        </w:rPr>
      </w:pPr>
      <w:r w:rsidRPr="007263D7">
        <w:rPr>
          <w:szCs w:val="22"/>
        </w:rPr>
        <w:t xml:space="preserve">Fuente: elaboración propia del despacho de la magistrada </w:t>
      </w:r>
      <w:r w:rsidR="00A079BA" w:rsidRPr="007263D7">
        <w:rPr>
          <w:szCs w:val="22"/>
        </w:rPr>
        <w:t>ponente</w:t>
      </w:r>
      <w:r w:rsidRPr="007263D7">
        <w:rPr>
          <w:szCs w:val="22"/>
        </w:rPr>
        <w:t>.</w:t>
      </w:r>
    </w:p>
    <w:p w14:paraId="247048AB" w14:textId="77777777" w:rsidR="00770A25" w:rsidRPr="007263D7" w:rsidRDefault="00770A25" w:rsidP="00C87B5A">
      <w:pPr>
        <w:pStyle w:val="Prrafodelista"/>
        <w:numPr>
          <w:ilvl w:val="0"/>
          <w:numId w:val="0"/>
        </w:numPr>
      </w:pPr>
    </w:p>
    <w:p w14:paraId="02A07CF3" w14:textId="71E8351A" w:rsidR="00770A25" w:rsidRPr="007263D7" w:rsidRDefault="00D6354C" w:rsidP="00C87B5A">
      <w:pPr>
        <w:pStyle w:val="Prrafodelista"/>
      </w:pPr>
      <w:r w:rsidRPr="007263D7">
        <w:t xml:space="preserve">El 19 de marzo de 2024, la magistrada </w:t>
      </w:r>
      <w:r w:rsidR="00AF10C2" w:rsidRPr="007263D7">
        <w:t xml:space="preserve">ponente </w:t>
      </w:r>
      <w:r w:rsidRPr="007263D7">
        <w:t>rechazó las demandas de los expedientes D-15659 y D-15714 y los cargos que inadmitió de la demanda del expediente D-15683</w:t>
      </w:r>
      <w:r w:rsidR="001017CD" w:rsidRPr="007263D7">
        <w:rPr>
          <w:rStyle w:val="Refdenotaalpie"/>
          <w:color w:val="000000" w:themeColor="text1"/>
        </w:rPr>
        <w:footnoteReference w:id="2"/>
      </w:r>
      <w:r w:rsidRPr="007263D7">
        <w:t>. Frente a esta decisión,</w:t>
      </w:r>
      <w:r w:rsidR="00356A53" w:rsidRPr="007263D7">
        <w:t xml:space="preserve"> </w:t>
      </w:r>
      <w:r w:rsidRPr="007263D7">
        <w:t>el ciudadano Sua Montaña interpuso el recurso de súplica, que la Sala Plena rechazó por medio del Auto 786 del 2 de mayo de 2024</w:t>
      </w:r>
      <w:r w:rsidR="001017CD" w:rsidRPr="007263D7">
        <w:rPr>
          <w:rStyle w:val="Refdenotaalpie"/>
          <w:color w:val="000000" w:themeColor="text1"/>
        </w:rPr>
        <w:footnoteReference w:id="3"/>
      </w:r>
      <w:r w:rsidRPr="007263D7">
        <w:t xml:space="preserve">. </w:t>
      </w:r>
    </w:p>
    <w:p w14:paraId="61E62BED" w14:textId="77777777" w:rsidR="00770A25" w:rsidRPr="007263D7" w:rsidRDefault="00770A25" w:rsidP="00C87B5A">
      <w:pPr>
        <w:pStyle w:val="Prrafodelista"/>
        <w:numPr>
          <w:ilvl w:val="0"/>
          <w:numId w:val="0"/>
        </w:numPr>
      </w:pPr>
    </w:p>
    <w:p w14:paraId="562FFF09" w14:textId="789DC38D" w:rsidR="00770A25" w:rsidRPr="007263D7" w:rsidRDefault="00D6354C" w:rsidP="00C87B5A">
      <w:pPr>
        <w:pStyle w:val="Prrafodelista"/>
      </w:pPr>
      <w:r w:rsidRPr="007263D7">
        <w:t>La Secretaría General de la Corte Constitucional</w:t>
      </w:r>
      <w:r w:rsidR="00DF622A" w:rsidRPr="007263D7">
        <w:t xml:space="preserve"> </w:t>
      </w:r>
      <w:r w:rsidRPr="007263D7">
        <w:t>envió el expediente</w:t>
      </w:r>
      <w:r w:rsidR="007A43FE" w:rsidRPr="007263D7">
        <w:t xml:space="preserve"> D-15683</w:t>
      </w:r>
      <w:r w:rsidRPr="007263D7">
        <w:t xml:space="preserve"> al despacho de la magistrada </w:t>
      </w:r>
      <w:r w:rsidR="00042940" w:rsidRPr="007263D7">
        <w:t xml:space="preserve">ponente </w:t>
      </w:r>
      <w:r w:rsidRPr="007263D7">
        <w:t>el 3 de julio de 2024. El 19 de julio de 2024</w:t>
      </w:r>
      <w:r w:rsidR="00EF34E2" w:rsidRPr="007263D7">
        <w:rPr>
          <w:rStyle w:val="Refdenotaalpie"/>
          <w:color w:val="000000" w:themeColor="text1"/>
        </w:rPr>
        <w:footnoteReference w:id="4"/>
      </w:r>
      <w:r w:rsidRPr="007263D7">
        <w:t>, el despacho decidió trasladar</w:t>
      </w:r>
      <w:r w:rsidR="008764A3" w:rsidRPr="007263D7">
        <w:rPr>
          <w:rStyle w:val="Refdenotaalpie"/>
          <w:color w:val="000000" w:themeColor="text1"/>
        </w:rPr>
        <w:footnoteReference w:id="5"/>
      </w:r>
      <w:r w:rsidRPr="007263D7">
        <w:t xml:space="preserve"> a este expediente las pruebas que se practicaron en el expediente D-15146 y le ordenó a la Secretaría General ejecutar los numerales séptimo, octavo, noveno, décimo y décimo primero del auto mixto del 19 de marzo de 2024. En estos numerales, la magistrada </w:t>
      </w:r>
      <w:r w:rsidR="007A4988" w:rsidRPr="007263D7">
        <w:t xml:space="preserve">ponente </w:t>
      </w:r>
      <w:r w:rsidRPr="007263D7">
        <w:t xml:space="preserve">había ordenado fijar en lista el proceso; correr traslado de la demanda a la procuradora general de la Nación; comunicar la iniciación del proceso al presidente del Congreso, al presidente de la República y a los ministros del </w:t>
      </w:r>
      <w:r w:rsidR="00775AB0" w:rsidRPr="007263D7">
        <w:t>I</w:t>
      </w:r>
      <w:r w:rsidRPr="007263D7">
        <w:t xml:space="preserve">nterior y de </w:t>
      </w:r>
      <w:r w:rsidR="00775AB0" w:rsidRPr="007263D7">
        <w:t>H</w:t>
      </w:r>
      <w:r w:rsidRPr="007263D7">
        <w:t>acienda, e invitar a varias entidades a presentar un concepto sobre la demanda</w:t>
      </w:r>
      <w:r w:rsidRPr="007263D7">
        <w:rPr>
          <w:rStyle w:val="Ancladenotaalpie"/>
          <w:color w:val="000000" w:themeColor="text1"/>
          <w:lang w:val="es-ES"/>
        </w:rPr>
        <w:footnoteReference w:id="6"/>
      </w:r>
      <w:r w:rsidRPr="007263D7">
        <w:t>.</w:t>
      </w:r>
    </w:p>
    <w:p w14:paraId="0A57E83F" w14:textId="77777777" w:rsidR="00770A25" w:rsidRPr="007263D7" w:rsidRDefault="00770A25" w:rsidP="00C87B5A">
      <w:pPr>
        <w:pStyle w:val="Prrafodelista"/>
        <w:numPr>
          <w:ilvl w:val="0"/>
          <w:numId w:val="0"/>
        </w:numPr>
      </w:pPr>
    </w:p>
    <w:p w14:paraId="6975628B" w14:textId="12699CA2" w:rsidR="00770A25" w:rsidRPr="007263D7" w:rsidRDefault="00D6354C" w:rsidP="00C87B5A">
      <w:pPr>
        <w:pStyle w:val="Prrafodelista"/>
      </w:pPr>
      <w:r w:rsidRPr="007263D7">
        <w:t>La Secretaría General de la Corte Constitucional trasladó las pruebas del expediente D-15146 el 23 de julio de 2024, puso a disposición del ciudadano Sua Montaña las pruebas trasladadas</w:t>
      </w:r>
      <w:r w:rsidR="004B5A48" w:rsidRPr="007263D7">
        <w:t>,</w:t>
      </w:r>
      <w:r w:rsidRPr="007263D7">
        <w:t xml:space="preserve"> y </w:t>
      </w:r>
      <w:r w:rsidR="004B5A48" w:rsidRPr="007263D7">
        <w:t xml:space="preserve">el 3 de octubre de 2024 </w:t>
      </w:r>
      <w:r w:rsidRPr="007263D7">
        <w:t xml:space="preserve">dio cumplimiento a los numerales séptimo, octavo, noveno, décimo y décimo primero del auto mixto del 19 de marzo de 2024. </w:t>
      </w:r>
    </w:p>
    <w:p w14:paraId="57526E66" w14:textId="77777777" w:rsidR="00770A25" w:rsidRPr="007263D7" w:rsidRDefault="00770A25" w:rsidP="00C87B5A">
      <w:pPr>
        <w:pStyle w:val="Prrafodelista"/>
        <w:numPr>
          <w:ilvl w:val="0"/>
          <w:numId w:val="0"/>
        </w:numPr>
      </w:pPr>
    </w:p>
    <w:p w14:paraId="10621B38" w14:textId="1D98DA48" w:rsidR="00770A25" w:rsidRPr="007263D7" w:rsidRDefault="00C87B5A" w:rsidP="00C87B5A">
      <w:pPr>
        <w:rPr>
          <w:rFonts w:ascii="Times New Roman" w:hAnsi="Times New Roman" w:cs="Times New Roman"/>
          <w:b/>
          <w:bCs/>
          <w:sz w:val="28"/>
          <w:szCs w:val="28"/>
        </w:rPr>
      </w:pPr>
      <w:r w:rsidRPr="007263D7">
        <w:rPr>
          <w:rFonts w:ascii="Times New Roman" w:hAnsi="Times New Roman" w:cs="Times New Roman"/>
          <w:b/>
          <w:bCs/>
          <w:sz w:val="28"/>
          <w:szCs w:val="28"/>
        </w:rPr>
        <w:t xml:space="preserve">1. </w:t>
      </w:r>
      <w:r w:rsidR="00D6354C" w:rsidRPr="007263D7">
        <w:rPr>
          <w:rFonts w:ascii="Times New Roman" w:hAnsi="Times New Roman" w:cs="Times New Roman"/>
          <w:b/>
          <w:bCs/>
          <w:sz w:val="28"/>
          <w:szCs w:val="28"/>
        </w:rPr>
        <w:t>T</w:t>
      </w:r>
      <w:r w:rsidR="0097411D" w:rsidRPr="007263D7">
        <w:rPr>
          <w:rFonts w:ascii="Times New Roman" w:hAnsi="Times New Roman" w:cs="Times New Roman"/>
          <w:b/>
          <w:bCs/>
          <w:sz w:val="28"/>
          <w:szCs w:val="28"/>
        </w:rPr>
        <w:t>exto de la norma demandada</w:t>
      </w:r>
    </w:p>
    <w:p w14:paraId="1EBAF6DB" w14:textId="77777777" w:rsidR="00770A25" w:rsidRPr="007263D7" w:rsidRDefault="00770A25" w:rsidP="00C87B5A">
      <w:pPr>
        <w:ind w:left="1080"/>
        <w:rPr>
          <w:rFonts w:ascii="Times New Roman" w:hAnsi="Times New Roman" w:cs="Times New Roman"/>
          <w:color w:val="000000" w:themeColor="text1"/>
          <w:sz w:val="28"/>
          <w:szCs w:val="28"/>
        </w:rPr>
      </w:pPr>
    </w:p>
    <w:p w14:paraId="059CFC4A" w14:textId="11F97D43" w:rsidR="00770A25" w:rsidRPr="007263D7" w:rsidRDefault="00D6354C" w:rsidP="00C87B5A">
      <w:pPr>
        <w:pStyle w:val="Prrafodelista"/>
      </w:pPr>
      <w:r w:rsidRPr="007263D7">
        <w:t>Por la extensión de la Ley 2</w:t>
      </w:r>
      <w:r w:rsidR="008C47B4" w:rsidRPr="007263D7">
        <w:t>281</w:t>
      </w:r>
      <w:r w:rsidRPr="007263D7">
        <w:t xml:space="preserve"> de 2023, su texto completo se encuentra en el Anexo 1 de esta providencia.</w:t>
      </w:r>
    </w:p>
    <w:p w14:paraId="7287565B" w14:textId="77777777" w:rsidR="00770A25" w:rsidRPr="007263D7" w:rsidRDefault="00770A25" w:rsidP="00C87B5A">
      <w:pPr>
        <w:pStyle w:val="NormalWeb"/>
        <w:spacing w:beforeAutospacing="0" w:afterAutospacing="0"/>
        <w:jc w:val="both"/>
        <w:rPr>
          <w:b/>
          <w:bCs/>
          <w:color w:val="000000" w:themeColor="text1"/>
          <w:sz w:val="28"/>
          <w:szCs w:val="28"/>
        </w:rPr>
      </w:pPr>
      <w:bookmarkStart w:id="1" w:name="_Hlk135126606"/>
      <w:bookmarkEnd w:id="1"/>
    </w:p>
    <w:p w14:paraId="4D08D918" w14:textId="5A5913FB" w:rsidR="00770A25" w:rsidRPr="007263D7" w:rsidRDefault="00C87B5A" w:rsidP="00C87B5A">
      <w:pPr>
        <w:rPr>
          <w:rFonts w:ascii="Times New Roman" w:hAnsi="Times New Roman" w:cs="Times New Roman"/>
          <w:b/>
          <w:bCs/>
          <w:sz w:val="28"/>
          <w:szCs w:val="28"/>
        </w:rPr>
      </w:pPr>
      <w:r w:rsidRPr="007263D7">
        <w:rPr>
          <w:rFonts w:ascii="Times New Roman" w:hAnsi="Times New Roman" w:cs="Times New Roman"/>
          <w:b/>
          <w:bCs/>
          <w:sz w:val="28"/>
          <w:szCs w:val="28"/>
        </w:rPr>
        <w:t xml:space="preserve">2. </w:t>
      </w:r>
      <w:r w:rsidR="0097411D" w:rsidRPr="007263D7">
        <w:rPr>
          <w:rFonts w:ascii="Times New Roman" w:hAnsi="Times New Roman" w:cs="Times New Roman"/>
          <w:b/>
          <w:bCs/>
          <w:sz w:val="28"/>
          <w:szCs w:val="28"/>
        </w:rPr>
        <w:t>La demanda</w:t>
      </w:r>
      <w:r w:rsidR="00344FDD" w:rsidRPr="007263D7">
        <w:rPr>
          <w:rStyle w:val="Refdenotaalpie"/>
          <w:rFonts w:ascii="Times New Roman" w:hAnsi="Times New Roman" w:cs="Times New Roman"/>
          <w:color w:val="000000" w:themeColor="text1"/>
          <w:sz w:val="28"/>
          <w:szCs w:val="28"/>
        </w:rPr>
        <w:footnoteReference w:id="7"/>
      </w:r>
    </w:p>
    <w:p w14:paraId="677D471B" w14:textId="77777777" w:rsidR="00770A25" w:rsidRPr="007263D7" w:rsidRDefault="00770A25" w:rsidP="00C87B5A">
      <w:pPr>
        <w:rPr>
          <w:rFonts w:ascii="Times New Roman" w:hAnsi="Times New Roman" w:cs="Times New Roman"/>
          <w:b/>
          <w:bCs/>
          <w:color w:val="000000" w:themeColor="text1"/>
          <w:sz w:val="28"/>
          <w:szCs w:val="28"/>
        </w:rPr>
      </w:pPr>
    </w:p>
    <w:p w14:paraId="2E10D3CF" w14:textId="2481400C" w:rsidR="00770A25" w:rsidRPr="007263D7" w:rsidRDefault="00D6354C" w:rsidP="00C87B5A">
      <w:pPr>
        <w:pStyle w:val="Prrafodelista"/>
      </w:pPr>
      <w:r w:rsidRPr="007263D7">
        <w:t>El demandante argumentó que el trámite legislativo de la Ley 2281 de 2023 violó el artículo 334 de la Constitución y el artículo 7 de la Ley 819 de 2003. Para el accionante, durante el trámite legislativo el Ministerio de Hacienda y Crédito Público no cumplió con su deber de analizar el impacto fiscal que generaría la creación de un nuevo ministerio. Según el actor, el Ejecutivo se limitó a señalar en la exposición de motivos del proyecto de ley que la “creación del Ministerio de la Igualdad se hará en el marco de la política de austeridad del Gobierno Nacional”</w:t>
      </w:r>
      <w:r w:rsidRPr="007263D7">
        <w:rPr>
          <w:rStyle w:val="Ancladenotaalpie"/>
          <w:color w:val="000000" w:themeColor="text1"/>
        </w:rPr>
        <w:footnoteReference w:id="8"/>
      </w:r>
      <w:r w:rsidRPr="007263D7">
        <w:t>.  El demandante agregó que, durante el trámite legislativo, el Ministerio de Hacienda y Crédito Público únicamente conceptuó que el costo preciso de la creación y operación del Ministerio de la Igualdad s</w:t>
      </w:r>
      <w:r w:rsidR="00344FDD" w:rsidRPr="007263D7">
        <w:t>ó</w:t>
      </w:r>
      <w:r w:rsidRPr="007263D7">
        <w:t xml:space="preserve">lo podría calcularse una vez se definiera su estructura orgánica. </w:t>
      </w:r>
    </w:p>
    <w:p w14:paraId="29D72893" w14:textId="77777777" w:rsidR="00A878EA" w:rsidRPr="007263D7" w:rsidRDefault="00A878EA" w:rsidP="00C87B5A">
      <w:pPr>
        <w:pStyle w:val="Prrafodelista"/>
        <w:numPr>
          <w:ilvl w:val="0"/>
          <w:numId w:val="0"/>
        </w:numPr>
      </w:pPr>
    </w:p>
    <w:p w14:paraId="569A782D" w14:textId="163D38E5" w:rsidR="00770A25" w:rsidRPr="007263D7" w:rsidRDefault="00D6354C" w:rsidP="00C87B5A">
      <w:pPr>
        <w:pStyle w:val="Prrafodelista"/>
      </w:pPr>
      <w:r w:rsidRPr="007263D7">
        <w:t xml:space="preserve">Sobre esta base, el </w:t>
      </w:r>
      <w:r w:rsidR="00344FDD" w:rsidRPr="007263D7">
        <w:t xml:space="preserve">ciudadano Sua Montaña </w:t>
      </w:r>
      <w:r w:rsidRPr="007263D7">
        <w:t xml:space="preserve">argumentó que la Ley 2281 de 2023 viola el deber de garantizar la sostenibilidad fiscal, que está consagrado en el antepenúltimo inciso del artículo 334 de la Constitución. En el mismo sentido, el </w:t>
      </w:r>
      <w:r w:rsidR="00344FDD" w:rsidRPr="007263D7">
        <w:t xml:space="preserve">accionante </w:t>
      </w:r>
      <w:r w:rsidRPr="007263D7">
        <w:t xml:space="preserve">sostuvo que la norma demandada viola el artículo 7 de la Ley 819 de 2003, que le ordena </w:t>
      </w:r>
      <w:r w:rsidR="00B957B6" w:rsidRPr="007263D7">
        <w:t>a</w:t>
      </w:r>
      <w:r w:rsidRPr="007263D7">
        <w:t xml:space="preserve">l </w:t>
      </w:r>
      <w:r w:rsidR="00FE52AD" w:rsidRPr="007263D7">
        <w:t>Ministerio de Hacienda y Cré</w:t>
      </w:r>
      <w:r w:rsidR="007834C3" w:rsidRPr="007263D7">
        <w:t>dito Público</w:t>
      </w:r>
      <w:r w:rsidR="00FE52AD" w:rsidRPr="007263D7">
        <w:t xml:space="preserve"> </w:t>
      </w:r>
      <w:r w:rsidRPr="007263D7">
        <w:t xml:space="preserve">analizar y aprobar la fuente sustitutiva de ingresos que financiarían el aumento de gastos de un proyecto de ley de iniciativa gubernamental. </w:t>
      </w:r>
    </w:p>
    <w:p w14:paraId="04691464" w14:textId="77777777" w:rsidR="00C87B5A" w:rsidRPr="007263D7" w:rsidRDefault="00C87B5A" w:rsidP="00C87B5A">
      <w:pPr>
        <w:pStyle w:val="Prrafodelista"/>
        <w:numPr>
          <w:ilvl w:val="0"/>
          <w:numId w:val="0"/>
        </w:numPr>
      </w:pPr>
    </w:p>
    <w:p w14:paraId="6CB0A6F3" w14:textId="728AB3BF" w:rsidR="00770A25" w:rsidRPr="007263D7" w:rsidRDefault="00C87B5A" w:rsidP="00C87B5A">
      <w:pPr>
        <w:rPr>
          <w:rFonts w:ascii="Times New Roman" w:hAnsi="Times New Roman" w:cs="Times New Roman"/>
          <w:b/>
          <w:bCs/>
          <w:sz w:val="28"/>
          <w:szCs w:val="28"/>
        </w:rPr>
      </w:pPr>
      <w:r w:rsidRPr="007263D7">
        <w:rPr>
          <w:rFonts w:ascii="Times New Roman" w:hAnsi="Times New Roman" w:cs="Times New Roman"/>
          <w:b/>
          <w:bCs/>
          <w:sz w:val="28"/>
          <w:szCs w:val="28"/>
        </w:rPr>
        <w:t xml:space="preserve">3. </w:t>
      </w:r>
      <w:r w:rsidR="00D6354C" w:rsidRPr="007263D7">
        <w:rPr>
          <w:rFonts w:ascii="Times New Roman" w:hAnsi="Times New Roman" w:cs="Times New Roman"/>
          <w:b/>
          <w:bCs/>
          <w:sz w:val="28"/>
          <w:szCs w:val="28"/>
        </w:rPr>
        <w:t>I</w:t>
      </w:r>
      <w:r w:rsidR="0097411D" w:rsidRPr="007263D7">
        <w:rPr>
          <w:rFonts w:ascii="Times New Roman" w:hAnsi="Times New Roman" w:cs="Times New Roman"/>
          <w:b/>
          <w:bCs/>
          <w:sz w:val="28"/>
          <w:szCs w:val="28"/>
        </w:rPr>
        <w:t xml:space="preserve">ntervenciones </w:t>
      </w:r>
    </w:p>
    <w:p w14:paraId="5001B448" w14:textId="77777777" w:rsidR="00770A25" w:rsidRPr="007263D7" w:rsidRDefault="00770A25" w:rsidP="00C87B5A">
      <w:pPr>
        <w:rPr>
          <w:rFonts w:ascii="Times New Roman" w:hAnsi="Times New Roman" w:cs="Times New Roman"/>
          <w:color w:val="000000" w:themeColor="text1"/>
          <w:sz w:val="28"/>
        </w:rPr>
      </w:pPr>
    </w:p>
    <w:p w14:paraId="748E2F8D" w14:textId="0CE61AED" w:rsidR="00344FDD" w:rsidRPr="007263D7" w:rsidRDefault="00344FDD" w:rsidP="00C87B5A">
      <w:pPr>
        <w:pStyle w:val="Prrafodelista"/>
      </w:pPr>
      <w:r w:rsidRPr="007263D7">
        <w:t>A continuación, se resumen las intervenciones que fueron presentadas a la Corte Constitucional, divididas de acuerdo con el tipo de solicitud que contienen.</w:t>
      </w:r>
    </w:p>
    <w:p w14:paraId="47050B3B" w14:textId="77777777" w:rsidR="00344FDD" w:rsidRPr="007263D7" w:rsidRDefault="00344FDD" w:rsidP="00C87B5A">
      <w:pPr>
        <w:rPr>
          <w:rFonts w:ascii="Times New Roman" w:hAnsi="Times New Roman" w:cs="Times New Roman"/>
          <w:color w:val="000000" w:themeColor="text1"/>
          <w:sz w:val="28"/>
          <w:lang w:val="es-US"/>
        </w:rPr>
      </w:pPr>
    </w:p>
    <w:p w14:paraId="286C3A4F" w14:textId="4AB00ABD" w:rsidR="11D472DC" w:rsidRPr="007263D7" w:rsidRDefault="11D472DC" w:rsidP="00C87B5A">
      <w:pPr>
        <w:jc w:val="both"/>
        <w:rPr>
          <w:rFonts w:ascii="Times New Roman" w:hAnsi="Times New Roman" w:cs="Times New Roman"/>
          <w:b/>
          <w:bCs/>
          <w:color w:val="000000" w:themeColor="text1"/>
          <w:sz w:val="28"/>
          <w:szCs w:val="28"/>
        </w:rPr>
      </w:pPr>
      <w:r w:rsidRPr="007263D7">
        <w:rPr>
          <w:rFonts w:ascii="Times New Roman" w:hAnsi="Times New Roman" w:cs="Times New Roman"/>
          <w:b/>
          <w:bCs/>
          <w:color w:val="000000" w:themeColor="text1"/>
          <w:sz w:val="28"/>
          <w:szCs w:val="28"/>
        </w:rPr>
        <w:t>3.1. Intervenciones que solicitan a la Corte declarar la inexequibilidad de la Ley 2281 de 2023</w:t>
      </w:r>
    </w:p>
    <w:p w14:paraId="7CA91005" w14:textId="4AA29E89" w:rsidR="1F8BB3B4" w:rsidRPr="007263D7" w:rsidRDefault="1F8BB3B4" w:rsidP="00C87B5A">
      <w:pPr>
        <w:jc w:val="both"/>
        <w:rPr>
          <w:rFonts w:ascii="Times New Roman" w:hAnsi="Times New Roman" w:cs="Times New Roman"/>
          <w:b/>
          <w:bCs/>
          <w:color w:val="000000" w:themeColor="text1"/>
          <w:sz w:val="28"/>
          <w:szCs w:val="28"/>
        </w:rPr>
      </w:pPr>
    </w:p>
    <w:p w14:paraId="6C6E1FAC" w14:textId="0791E4D7" w:rsidR="00770A25" w:rsidRPr="007263D7" w:rsidRDefault="00D6354C" w:rsidP="00C87B5A">
      <w:pPr>
        <w:jc w:val="both"/>
        <w:rPr>
          <w:rFonts w:ascii="Times New Roman" w:hAnsi="Times New Roman" w:cs="Times New Roman"/>
          <w:b/>
          <w:bCs/>
          <w:color w:val="000000" w:themeColor="text1"/>
          <w:sz w:val="28"/>
          <w:szCs w:val="28"/>
        </w:rPr>
      </w:pPr>
      <w:r w:rsidRPr="007263D7">
        <w:rPr>
          <w:rFonts w:ascii="Times New Roman" w:hAnsi="Times New Roman" w:cs="Times New Roman"/>
          <w:b/>
          <w:bCs/>
          <w:color w:val="000000" w:themeColor="text1"/>
          <w:sz w:val="28"/>
          <w:szCs w:val="28"/>
        </w:rPr>
        <w:t>Ana María Muñoz Rondón</w:t>
      </w:r>
      <w:r w:rsidRPr="007263D7">
        <w:rPr>
          <w:rStyle w:val="Refdenotaalpie"/>
          <w:rFonts w:ascii="Times New Roman" w:hAnsi="Times New Roman" w:cs="Times New Roman"/>
          <w:color w:val="000000" w:themeColor="text1"/>
          <w:sz w:val="28"/>
          <w:szCs w:val="28"/>
        </w:rPr>
        <w:footnoteReference w:id="9"/>
      </w:r>
      <w:r w:rsidRPr="007263D7">
        <w:rPr>
          <w:rFonts w:ascii="Times New Roman" w:hAnsi="Times New Roman" w:cs="Times New Roman"/>
          <w:b/>
          <w:bCs/>
          <w:color w:val="000000" w:themeColor="text1"/>
          <w:sz w:val="28"/>
          <w:szCs w:val="28"/>
        </w:rPr>
        <w:t>, Tobías Bulla Soto</w:t>
      </w:r>
      <w:r w:rsidRPr="007263D7">
        <w:rPr>
          <w:rStyle w:val="Refdenotaalpie"/>
          <w:rFonts w:ascii="Times New Roman" w:hAnsi="Times New Roman" w:cs="Times New Roman"/>
          <w:color w:val="000000" w:themeColor="text1"/>
          <w:sz w:val="28"/>
          <w:szCs w:val="28"/>
        </w:rPr>
        <w:footnoteReference w:id="10"/>
      </w:r>
      <w:r w:rsidRPr="007263D7">
        <w:rPr>
          <w:rFonts w:ascii="Times New Roman" w:hAnsi="Times New Roman" w:cs="Times New Roman"/>
          <w:b/>
          <w:bCs/>
          <w:color w:val="000000" w:themeColor="text1"/>
          <w:sz w:val="28"/>
          <w:szCs w:val="28"/>
        </w:rPr>
        <w:t>, María Clara Núñez Arboleda</w:t>
      </w:r>
      <w:r w:rsidRPr="007263D7">
        <w:rPr>
          <w:rStyle w:val="Refdenotaalpie"/>
          <w:rFonts w:ascii="Times New Roman" w:hAnsi="Times New Roman" w:cs="Times New Roman"/>
          <w:color w:val="000000" w:themeColor="text1"/>
          <w:sz w:val="28"/>
          <w:szCs w:val="28"/>
        </w:rPr>
        <w:footnoteReference w:id="11"/>
      </w:r>
      <w:r w:rsidRPr="007263D7">
        <w:rPr>
          <w:rFonts w:ascii="Times New Roman" w:hAnsi="Times New Roman" w:cs="Times New Roman"/>
          <w:b/>
          <w:bCs/>
          <w:color w:val="000000" w:themeColor="text1"/>
          <w:sz w:val="28"/>
          <w:szCs w:val="28"/>
        </w:rPr>
        <w:t>, Daniela Contreras Díaz</w:t>
      </w:r>
      <w:r w:rsidRPr="007263D7">
        <w:rPr>
          <w:rStyle w:val="Refdenotaalpie"/>
          <w:rFonts w:ascii="Times New Roman" w:hAnsi="Times New Roman" w:cs="Times New Roman"/>
          <w:color w:val="000000" w:themeColor="text1"/>
          <w:sz w:val="28"/>
          <w:szCs w:val="28"/>
        </w:rPr>
        <w:footnoteReference w:id="12"/>
      </w:r>
      <w:r w:rsidRPr="007263D7">
        <w:rPr>
          <w:rFonts w:ascii="Times New Roman" w:hAnsi="Times New Roman" w:cs="Times New Roman"/>
          <w:b/>
          <w:bCs/>
          <w:color w:val="000000" w:themeColor="text1"/>
          <w:sz w:val="28"/>
          <w:szCs w:val="28"/>
        </w:rPr>
        <w:t xml:space="preserve"> y Juana Sofia Serrano Amado</w:t>
      </w:r>
      <w:r w:rsidRPr="007263D7">
        <w:rPr>
          <w:rStyle w:val="Refdenotaalpie"/>
          <w:rFonts w:ascii="Times New Roman" w:hAnsi="Times New Roman" w:cs="Times New Roman"/>
          <w:color w:val="000000" w:themeColor="text1"/>
          <w:sz w:val="28"/>
          <w:szCs w:val="28"/>
        </w:rPr>
        <w:footnoteReference w:id="13"/>
      </w:r>
    </w:p>
    <w:p w14:paraId="57C1EA71" w14:textId="77777777" w:rsidR="00770A25" w:rsidRPr="007263D7" w:rsidRDefault="00770A25" w:rsidP="00C87B5A">
      <w:pPr>
        <w:jc w:val="both"/>
        <w:rPr>
          <w:rFonts w:ascii="Times New Roman" w:hAnsi="Times New Roman" w:cs="Times New Roman"/>
          <w:color w:val="000000" w:themeColor="text1"/>
          <w:sz w:val="28"/>
          <w:szCs w:val="28"/>
        </w:rPr>
      </w:pPr>
    </w:p>
    <w:p w14:paraId="659D8C52" w14:textId="01C59266" w:rsidR="00903A57" w:rsidRPr="007263D7" w:rsidRDefault="00D6354C" w:rsidP="00C87B5A">
      <w:pPr>
        <w:pStyle w:val="Prrafodelista"/>
      </w:pPr>
      <w:r w:rsidRPr="007263D7">
        <w:t>L</w:t>
      </w:r>
      <w:r w:rsidR="00F714B6" w:rsidRPr="007263D7">
        <w:t>a</w:t>
      </w:r>
      <w:r w:rsidRPr="007263D7">
        <w:t>s ciudadan</w:t>
      </w:r>
      <w:r w:rsidR="00F714B6" w:rsidRPr="007263D7">
        <w:t>a</w:t>
      </w:r>
      <w:r w:rsidRPr="007263D7">
        <w:t>s Ana María Muñoz Rondón, María Clara Núñez Arboleda, Daniela Contreras Díaz y Juana Sofia Serrano Amado</w:t>
      </w:r>
      <w:r w:rsidR="00F714B6" w:rsidRPr="007263D7">
        <w:t>, y el ciudadano</w:t>
      </w:r>
      <w:r w:rsidRPr="007263D7">
        <w:t xml:space="preserve"> </w:t>
      </w:r>
      <w:r w:rsidR="00F714B6" w:rsidRPr="007263D7">
        <w:t xml:space="preserve">Tobías Bulla Soto, </w:t>
      </w:r>
      <w:r w:rsidRPr="007263D7">
        <w:t>presentaron por separado intervenciones en las que le solicita</w:t>
      </w:r>
      <w:r w:rsidR="00F714B6" w:rsidRPr="007263D7">
        <w:t>ro</w:t>
      </w:r>
      <w:r w:rsidRPr="007263D7">
        <w:t xml:space="preserve">n a la Corte declarar la inexequibilidad de la Ley 2281 de 2023. Aunque los escritos son distintos, todos formularon los mismos tres argumentos. </w:t>
      </w:r>
    </w:p>
    <w:p w14:paraId="7E6DFF32" w14:textId="77777777" w:rsidR="00903A57" w:rsidRPr="007263D7" w:rsidRDefault="00903A57" w:rsidP="00C87B5A">
      <w:pPr>
        <w:pStyle w:val="Prrafodelista"/>
        <w:numPr>
          <w:ilvl w:val="0"/>
          <w:numId w:val="0"/>
        </w:numPr>
      </w:pPr>
    </w:p>
    <w:p w14:paraId="744253DD" w14:textId="695E66E0" w:rsidR="001E5D91" w:rsidRPr="007263D7" w:rsidRDefault="00D6354C" w:rsidP="00C87B5A">
      <w:pPr>
        <w:pStyle w:val="Prrafodelista"/>
      </w:pPr>
      <w:r w:rsidRPr="007263D7">
        <w:t xml:space="preserve">En primer lugar, los intervinientes sostuvieron que la ley demandada violó los artículos 334 de la Constitución y 7 de la Ley 819 de 2003 porque el </w:t>
      </w:r>
      <w:r w:rsidR="002C4149" w:rsidRPr="007263D7">
        <w:t xml:space="preserve">Ministerio de Hacienda y Crédito Público </w:t>
      </w:r>
      <w:r w:rsidRPr="007263D7">
        <w:t xml:space="preserve">no presentó un concepto sobre los costos de creación del Ministerio de la Igualdad ni cómo se adecúan al presupuesto nacional. </w:t>
      </w:r>
    </w:p>
    <w:p w14:paraId="15927D5B" w14:textId="77777777" w:rsidR="001E5D91" w:rsidRPr="007263D7" w:rsidRDefault="001E5D91" w:rsidP="00C87B5A">
      <w:pPr>
        <w:pStyle w:val="Prrafodelista"/>
        <w:numPr>
          <w:ilvl w:val="0"/>
          <w:numId w:val="0"/>
        </w:numPr>
      </w:pPr>
    </w:p>
    <w:p w14:paraId="4B5A033C" w14:textId="77777777" w:rsidR="00903A57" w:rsidRPr="007263D7" w:rsidRDefault="00D6354C" w:rsidP="00C87B5A">
      <w:pPr>
        <w:pStyle w:val="Prrafodelista"/>
      </w:pPr>
      <w:r w:rsidRPr="007263D7">
        <w:t xml:space="preserve">En segundo lugar, los intervinientes argumentaron que el artículo 12 de la Ley 2281 de 2023, que le otorga facultades extraordinarias al presidente de la República </w:t>
      </w:r>
      <w:r w:rsidR="002C4149" w:rsidRPr="007263D7">
        <w:t xml:space="preserve">para </w:t>
      </w:r>
      <w:r w:rsidRPr="007263D7">
        <w:t xml:space="preserve">expedir las normas que regulan el Sector de Igualdad y Equidad, viola el numeral 10 del artículo 150 de la Constitución porque puede centralizar de forma indebida el poder en el Ejecutivo y vulnerar el principio de separación de poderes. </w:t>
      </w:r>
    </w:p>
    <w:p w14:paraId="573AE93D" w14:textId="77777777" w:rsidR="00903A57" w:rsidRPr="007263D7" w:rsidRDefault="00903A57" w:rsidP="00C87B5A">
      <w:pPr>
        <w:pStyle w:val="Prrafodelista"/>
        <w:numPr>
          <w:ilvl w:val="0"/>
          <w:numId w:val="0"/>
        </w:numPr>
      </w:pPr>
    </w:p>
    <w:p w14:paraId="7A530240" w14:textId="42445DF6" w:rsidR="00770A25" w:rsidRPr="007263D7" w:rsidRDefault="00D6354C" w:rsidP="00C87B5A">
      <w:pPr>
        <w:pStyle w:val="Prrafodelista"/>
      </w:pPr>
      <w:r w:rsidRPr="007263D7">
        <w:t>En tercer lugar, los ciudadanos señalaron que la ley demandada viola los artículos 277 y 282 de la Constitución porque le asigna al Ministerio de la Igualdad funciones que cumplen por mandato constitucional la Procuraduría General de la Nación y la Defensoría del Pueblo. De ese modo, las facultades del Ministerio de la Igualdad invaden las de otros órganos, por lo que la creación de dicha entidad representa un uso ineficiente de recursos públicos. Finalmente, los intervinientes argumentaron que los artículos 6, 13 y 16 de la Ley 2281 de 2023 violan el principio de unidad de materia porque regulan temas ajenos a la promoción de la igualdad y la equidad, como el cuidado, los derechos laborales y la seguridad alimentaria.</w:t>
      </w:r>
    </w:p>
    <w:p w14:paraId="75C0336B" w14:textId="3B466FA5" w:rsidR="00770A25" w:rsidRPr="007263D7" w:rsidRDefault="00770A25" w:rsidP="00C87B5A">
      <w:pPr>
        <w:rPr>
          <w:rFonts w:ascii="Times New Roman" w:hAnsi="Times New Roman" w:cs="Times New Roman"/>
          <w:color w:val="000000" w:themeColor="text1"/>
          <w:sz w:val="28"/>
        </w:rPr>
      </w:pPr>
    </w:p>
    <w:p w14:paraId="6AA008E6" w14:textId="77777777" w:rsidR="001145BE" w:rsidRPr="007263D7" w:rsidRDefault="001145BE" w:rsidP="00C87B5A">
      <w:pPr>
        <w:pStyle w:val="Prrafodelista"/>
        <w:numPr>
          <w:ilvl w:val="0"/>
          <w:numId w:val="0"/>
        </w:numPr>
        <w:rPr>
          <w:b/>
          <w:bCs/>
        </w:rPr>
      </w:pPr>
      <w:r w:rsidRPr="007263D7">
        <w:rPr>
          <w:b/>
          <w:bCs/>
        </w:rPr>
        <w:t>3.2. Intervenciones que solicitan a la Corte estarse a lo resuelto en la Sentencia C-161 de 2024</w:t>
      </w:r>
    </w:p>
    <w:p w14:paraId="59D4A759" w14:textId="77777777" w:rsidR="001145BE" w:rsidRPr="007263D7" w:rsidRDefault="001145BE" w:rsidP="00C87B5A">
      <w:pPr>
        <w:pStyle w:val="Prrafodelista"/>
        <w:numPr>
          <w:ilvl w:val="0"/>
          <w:numId w:val="0"/>
        </w:numPr>
      </w:pPr>
    </w:p>
    <w:p w14:paraId="730C494C" w14:textId="16EE5392" w:rsidR="00770A25" w:rsidRPr="007263D7" w:rsidRDefault="6EDDDB1A" w:rsidP="00C87B5A">
      <w:pPr>
        <w:pStyle w:val="Prrafodelista"/>
        <w:numPr>
          <w:ilvl w:val="0"/>
          <w:numId w:val="0"/>
        </w:numPr>
        <w:rPr>
          <w:b/>
          <w:bCs/>
        </w:rPr>
      </w:pPr>
      <w:r w:rsidRPr="007263D7">
        <w:rPr>
          <w:b/>
          <w:bCs/>
        </w:rPr>
        <w:t>Juan Nicolás Alzate González, Ana Sofía Ortega Londoño, Sara Lucía Erazo Urquijo, Manuela Torres Arias, Juan Felipe Herrera Quintana, Andrés Felipe Alzate Martínez, Andrés Felipe Rodríguez Tabares y Jacobo Giraldo Fernández</w:t>
      </w:r>
      <w:r w:rsidR="00770A25" w:rsidRPr="007263D7">
        <w:rPr>
          <w:rStyle w:val="Refdenotaalpie"/>
          <w:color w:val="000000" w:themeColor="text1"/>
        </w:rPr>
        <w:footnoteReference w:id="14"/>
      </w:r>
    </w:p>
    <w:p w14:paraId="725F085A" w14:textId="51A33852" w:rsidR="00770A25" w:rsidRPr="007263D7" w:rsidRDefault="00770A25" w:rsidP="00C87B5A">
      <w:pPr>
        <w:pStyle w:val="Prrafodelista"/>
        <w:numPr>
          <w:ilvl w:val="0"/>
          <w:numId w:val="0"/>
        </w:numPr>
      </w:pPr>
    </w:p>
    <w:p w14:paraId="648260D4" w14:textId="7E35454A" w:rsidR="00770A25" w:rsidRPr="007263D7" w:rsidRDefault="6EDDDB1A" w:rsidP="00C87B5A">
      <w:pPr>
        <w:pStyle w:val="Prrafodelista"/>
      </w:pPr>
      <w:r w:rsidRPr="007263D7">
        <w:t xml:space="preserve">Este grupo de ciudadanos le solicitó a la Corte estarse a lo resuelto en la </w:t>
      </w:r>
      <w:r w:rsidR="00CB1B88" w:rsidRPr="007263D7">
        <w:t>S</w:t>
      </w:r>
      <w:r w:rsidRPr="007263D7">
        <w:t>entencia C-161 de 2024 que declaró inexequible la Ley 2281 de 202</w:t>
      </w:r>
      <w:r w:rsidR="001145BE" w:rsidRPr="007263D7">
        <w:t>3</w:t>
      </w:r>
      <w:r w:rsidRPr="007263D7">
        <w:t xml:space="preserve"> con efectos diferidos. Los intervinientes argumentaron que se configuró la cosa juzgada formal y absoluta respecto de la ley demandada, por lo que la Corte no puede estudiar un nuevo cargo de inconstitucionalidad.  </w:t>
      </w:r>
    </w:p>
    <w:p w14:paraId="07F29BA9" w14:textId="1A04AC87" w:rsidR="00770A25" w:rsidRPr="007263D7" w:rsidRDefault="00770A25" w:rsidP="00C87B5A">
      <w:pPr>
        <w:pStyle w:val="Prrafodelista"/>
        <w:numPr>
          <w:ilvl w:val="0"/>
          <w:numId w:val="0"/>
        </w:numPr>
      </w:pPr>
    </w:p>
    <w:p w14:paraId="796781D3" w14:textId="7B34A7E6" w:rsidR="329D22F8" w:rsidRPr="007263D7" w:rsidRDefault="329D22F8" w:rsidP="00C87B5A">
      <w:pPr>
        <w:keepNext/>
        <w:jc w:val="both"/>
        <w:rPr>
          <w:rFonts w:ascii="Times New Roman" w:hAnsi="Times New Roman" w:cs="Times New Roman"/>
          <w:b/>
          <w:bCs/>
          <w:color w:val="000000" w:themeColor="text1"/>
          <w:sz w:val="28"/>
          <w:szCs w:val="28"/>
        </w:rPr>
      </w:pPr>
      <w:r w:rsidRPr="007263D7">
        <w:rPr>
          <w:rFonts w:ascii="Times New Roman" w:hAnsi="Times New Roman" w:cs="Times New Roman"/>
          <w:b/>
          <w:bCs/>
          <w:color w:val="000000" w:themeColor="text1"/>
          <w:sz w:val="28"/>
          <w:szCs w:val="28"/>
        </w:rPr>
        <w:t>3.</w:t>
      </w:r>
      <w:r w:rsidR="001145BE" w:rsidRPr="007263D7">
        <w:rPr>
          <w:rFonts w:ascii="Times New Roman" w:hAnsi="Times New Roman" w:cs="Times New Roman"/>
          <w:b/>
          <w:bCs/>
          <w:color w:val="000000" w:themeColor="text1"/>
          <w:sz w:val="28"/>
          <w:szCs w:val="28"/>
        </w:rPr>
        <w:t>3</w:t>
      </w:r>
      <w:r w:rsidRPr="007263D7">
        <w:rPr>
          <w:rFonts w:ascii="Times New Roman" w:hAnsi="Times New Roman" w:cs="Times New Roman"/>
          <w:b/>
          <w:bCs/>
          <w:color w:val="000000" w:themeColor="text1"/>
          <w:sz w:val="28"/>
          <w:szCs w:val="28"/>
        </w:rPr>
        <w:t>. Intervenciones que solicitan a la Corte declarar la exequibilidad de la Ley 2281 de 2023</w:t>
      </w:r>
    </w:p>
    <w:p w14:paraId="3E524274" w14:textId="08D00E41" w:rsidR="1F8BB3B4" w:rsidRPr="007263D7" w:rsidRDefault="1F8BB3B4" w:rsidP="00C87B5A">
      <w:pPr>
        <w:pStyle w:val="Prrafodelista"/>
        <w:numPr>
          <w:ilvl w:val="0"/>
          <w:numId w:val="0"/>
        </w:numPr>
        <w:rPr>
          <w:b/>
          <w:bCs/>
        </w:rPr>
      </w:pPr>
    </w:p>
    <w:p w14:paraId="014A477D" w14:textId="4775C77E" w:rsidR="00770A25" w:rsidRPr="007263D7" w:rsidRDefault="00D6354C" w:rsidP="00C87B5A">
      <w:pPr>
        <w:pStyle w:val="Prrafodelista"/>
        <w:numPr>
          <w:ilvl w:val="0"/>
          <w:numId w:val="0"/>
        </w:numPr>
        <w:rPr>
          <w:b/>
          <w:bCs/>
        </w:rPr>
      </w:pPr>
      <w:r w:rsidRPr="007263D7">
        <w:rPr>
          <w:b/>
          <w:bCs/>
        </w:rPr>
        <w:t>María Fernanda Molano Giraldo, Mariana Henao Falabella y María Andrea McAllister</w:t>
      </w:r>
      <w:r w:rsidRPr="007263D7">
        <w:rPr>
          <w:rStyle w:val="Refdenotaalpie"/>
          <w:rFonts w:eastAsia="Times New Roman"/>
          <w:color w:val="000000" w:themeColor="text1"/>
        </w:rPr>
        <w:footnoteReference w:id="15"/>
      </w:r>
    </w:p>
    <w:p w14:paraId="19A53684" w14:textId="77777777" w:rsidR="00770A25" w:rsidRPr="007263D7" w:rsidRDefault="00770A25" w:rsidP="00C87B5A">
      <w:pPr>
        <w:pStyle w:val="Prrafodelista"/>
        <w:numPr>
          <w:ilvl w:val="0"/>
          <w:numId w:val="0"/>
        </w:numPr>
      </w:pPr>
    </w:p>
    <w:p w14:paraId="6E0D45D0" w14:textId="15A74F74" w:rsidR="00375BF1" w:rsidRPr="007263D7" w:rsidRDefault="00D6354C" w:rsidP="00C87B5A">
      <w:pPr>
        <w:pStyle w:val="Prrafodelista"/>
      </w:pPr>
      <w:r w:rsidRPr="007263D7">
        <w:t>Las ciudadanas</w:t>
      </w:r>
      <w:r w:rsidRPr="007263D7">
        <w:rPr>
          <w:rFonts w:eastAsia="Times New Roman"/>
          <w:b/>
          <w:bCs/>
        </w:rPr>
        <w:t xml:space="preserve"> </w:t>
      </w:r>
      <w:r w:rsidRPr="007263D7">
        <w:rPr>
          <w:rFonts w:eastAsia="Times New Roman"/>
        </w:rPr>
        <w:t>María Fernanda Molano Giraldo, Mariana Henao Falabella y María Andrea McAllister</w:t>
      </w:r>
      <w:r w:rsidRPr="007263D7">
        <w:t xml:space="preserve"> presentaron su intervención como integrantes del Área de Mujeres del Consultorio Jurídico de la Universidad de los Andes, y le solicitaron a la Corte declarar la exequibilidad de la ley demandada. </w:t>
      </w:r>
      <w:r w:rsidR="00375BF1" w:rsidRPr="007263D7">
        <w:t>Para ello</w:t>
      </w:r>
      <w:r w:rsidRPr="007263D7">
        <w:t xml:space="preserve"> presentaron cuatro argumentos</w:t>
      </w:r>
      <w:r w:rsidR="00375BF1" w:rsidRPr="007263D7">
        <w:t xml:space="preserve"> que se exponen a continuación</w:t>
      </w:r>
      <w:r w:rsidRPr="007263D7">
        <w:t xml:space="preserve">. </w:t>
      </w:r>
    </w:p>
    <w:p w14:paraId="2BCB8299" w14:textId="77777777" w:rsidR="00375BF1" w:rsidRPr="007263D7" w:rsidRDefault="00375BF1" w:rsidP="00C87B5A">
      <w:pPr>
        <w:pStyle w:val="Prrafodelista"/>
        <w:numPr>
          <w:ilvl w:val="0"/>
          <w:numId w:val="0"/>
        </w:numPr>
      </w:pPr>
    </w:p>
    <w:p w14:paraId="722930F4" w14:textId="30CF3D3F" w:rsidR="00770A25" w:rsidRPr="007263D7" w:rsidRDefault="00D6354C" w:rsidP="00C87B5A">
      <w:pPr>
        <w:pStyle w:val="Prrafodelista"/>
      </w:pPr>
      <w:r w:rsidRPr="007263D7">
        <w:t xml:space="preserve">En primer lugar, </w:t>
      </w:r>
      <w:r w:rsidR="00375BF1" w:rsidRPr="007263D7">
        <w:t xml:space="preserve">las intervinientes </w:t>
      </w:r>
      <w:r w:rsidRPr="007263D7">
        <w:t xml:space="preserve">sostuvieron que la ley demandada no viola los artículos 334 de la Constitución y 7 de la Ley 819 de 2003 porque no le era exigible al </w:t>
      </w:r>
      <w:r w:rsidR="00F013CD" w:rsidRPr="007263D7">
        <w:t xml:space="preserve">Ministerio de Hacienda y Crédito Público </w:t>
      </w:r>
      <w:r w:rsidRPr="007263D7">
        <w:t>que evaluara el impacto fiscal de una ley que crea un nuevo ministerio. Según las intervinientes, las funciones legales de un ministerio no son suficientes para establecer con precisión su costo operativo en el largo plazo, por lo que resultaba desmedido exigir</w:t>
      </w:r>
      <w:r w:rsidR="000E005C" w:rsidRPr="007263D7">
        <w:t xml:space="preserve"> la presentación de </w:t>
      </w:r>
      <w:r w:rsidRPr="007263D7">
        <w:t xml:space="preserve">un presupuesto exhaustivo para el Ministerio de la Igualdad en el trámite de la Ley 2281 de 2023. </w:t>
      </w:r>
    </w:p>
    <w:p w14:paraId="31480587" w14:textId="77777777" w:rsidR="00770A25" w:rsidRPr="007263D7" w:rsidRDefault="00770A25" w:rsidP="00C87B5A">
      <w:pPr>
        <w:pStyle w:val="Prrafodelista"/>
        <w:numPr>
          <w:ilvl w:val="0"/>
          <w:numId w:val="0"/>
        </w:numPr>
      </w:pPr>
    </w:p>
    <w:p w14:paraId="3308D819" w14:textId="4BA1932B" w:rsidR="00770A25" w:rsidRPr="007263D7" w:rsidRDefault="00D6354C" w:rsidP="00C87B5A">
      <w:pPr>
        <w:pStyle w:val="Prrafodelista"/>
      </w:pPr>
      <w:r w:rsidRPr="007263D7">
        <w:t xml:space="preserve">En segundo lugar, las intervinientes argumentaron que el artículo 12 de la ley demandada no </w:t>
      </w:r>
      <w:r w:rsidR="00200727" w:rsidRPr="007263D7">
        <w:t xml:space="preserve">vulnera </w:t>
      </w:r>
      <w:r w:rsidRPr="007263D7">
        <w:t>los numerales 7 y 10 del artículo 150 de la Constitución porque concede unas facultades extraordinarias claras y delimitadas a un asunto concreto</w:t>
      </w:r>
      <w:r w:rsidR="000A68B2" w:rsidRPr="007263D7">
        <w:t>,</w:t>
      </w:r>
      <w:r w:rsidRPr="007263D7">
        <w:t xml:space="preserve"> que no violan la separación de poderes ni ponen en peligro la sostenibilidad fiscal. </w:t>
      </w:r>
    </w:p>
    <w:p w14:paraId="7556F891" w14:textId="77777777" w:rsidR="00770A25" w:rsidRPr="007263D7" w:rsidRDefault="00770A25" w:rsidP="00C87B5A">
      <w:pPr>
        <w:pStyle w:val="Prrafodelista"/>
        <w:numPr>
          <w:ilvl w:val="0"/>
          <w:numId w:val="0"/>
        </w:numPr>
      </w:pPr>
    </w:p>
    <w:p w14:paraId="248AC970" w14:textId="77777777" w:rsidR="00770A25" w:rsidRPr="007263D7" w:rsidRDefault="00D6354C" w:rsidP="00C87B5A">
      <w:pPr>
        <w:pStyle w:val="Prrafodelista"/>
      </w:pPr>
      <w:r w:rsidRPr="007263D7">
        <w:t xml:space="preserve">En tercer lugar, las intervinientes señalaron que las funciones del Ministerio de la Igualdad no son incompatibles con las de la Procuraduría General de la Nación y la Defensoría del Pueblo. Mientras que el primero se encarga de la formulación y ejecución de políticas para erradicar la desigualdad, las segundas se concentran en garantizar los derechos de los ciudadanos. </w:t>
      </w:r>
    </w:p>
    <w:p w14:paraId="7B5EA3C7" w14:textId="77777777" w:rsidR="00770A25" w:rsidRPr="007263D7" w:rsidRDefault="00770A25" w:rsidP="00C87B5A">
      <w:pPr>
        <w:pStyle w:val="Prrafodelista"/>
        <w:numPr>
          <w:ilvl w:val="0"/>
          <w:numId w:val="0"/>
        </w:numPr>
      </w:pPr>
    </w:p>
    <w:p w14:paraId="3690DCFC" w14:textId="196D64F8" w:rsidR="00770A25" w:rsidRPr="007263D7" w:rsidRDefault="00D6354C" w:rsidP="00C87B5A">
      <w:pPr>
        <w:pStyle w:val="Prrafodelista"/>
      </w:pPr>
      <w:r w:rsidRPr="007263D7">
        <w:t xml:space="preserve">Finalmente, para las intervinientes los artículos 4, 6, 13 y 16 de </w:t>
      </w:r>
      <w:r w:rsidR="00E1083D" w:rsidRPr="007263D7">
        <w:t xml:space="preserve">la </w:t>
      </w:r>
      <w:r w:rsidRPr="007263D7">
        <w:t>ley demandada no violan el principio de unidad de materia porque existe una conexión causal, teleológica y sistemática entre la promoción de la igualdad y la equidad</w:t>
      </w:r>
      <w:r w:rsidR="00DF1FF7" w:rsidRPr="007263D7">
        <w:t xml:space="preserve">, </w:t>
      </w:r>
      <w:r w:rsidRPr="007263D7">
        <w:t xml:space="preserve">el Sistema Nacional de Cuidado y la garantía de los derechos laborales. En particular, las </w:t>
      </w:r>
      <w:r w:rsidR="000E005C" w:rsidRPr="007263D7">
        <w:t xml:space="preserve">ciudadanas </w:t>
      </w:r>
      <w:r w:rsidRPr="007263D7">
        <w:t xml:space="preserve">argumentaron que el Sistema Nacional de </w:t>
      </w:r>
      <w:r w:rsidR="00692DA2" w:rsidRPr="007263D7">
        <w:t>Cuidado</w:t>
      </w:r>
      <w:r w:rsidRPr="007263D7">
        <w:t xml:space="preserve"> y la garantía de los derechos laborales tendrían un impacto positivo sobre la igualdad de las mujeres y la situación de otros grupos históricamente discriminados.</w:t>
      </w:r>
    </w:p>
    <w:p w14:paraId="79973824" w14:textId="77777777" w:rsidR="00C23E65" w:rsidRPr="007263D7" w:rsidRDefault="00C23E65" w:rsidP="00C87B5A">
      <w:pPr>
        <w:rPr>
          <w:rFonts w:ascii="Times New Roman" w:hAnsi="Times New Roman" w:cs="Times New Roman"/>
          <w:color w:val="000000" w:themeColor="text1"/>
          <w:sz w:val="28"/>
          <w:szCs w:val="28"/>
        </w:rPr>
      </w:pPr>
    </w:p>
    <w:p w14:paraId="1BD2E13B" w14:textId="0F445001" w:rsidR="00C23E65" w:rsidRPr="007263D7" w:rsidRDefault="00C23E65" w:rsidP="00C87B5A">
      <w:pPr>
        <w:rPr>
          <w:rFonts w:ascii="Times New Roman" w:hAnsi="Times New Roman" w:cs="Times New Roman"/>
          <w:b/>
          <w:bCs/>
          <w:color w:val="000000" w:themeColor="text1"/>
          <w:sz w:val="28"/>
          <w:szCs w:val="28"/>
        </w:rPr>
      </w:pPr>
      <w:r w:rsidRPr="007263D7">
        <w:rPr>
          <w:rFonts w:ascii="Times New Roman" w:hAnsi="Times New Roman" w:cs="Times New Roman"/>
          <w:b/>
          <w:bCs/>
          <w:color w:val="000000" w:themeColor="text1"/>
          <w:sz w:val="28"/>
          <w:szCs w:val="28"/>
        </w:rPr>
        <w:t>3.4. Conceptos recibidos por entidades invitadas en el auto admisorio</w:t>
      </w:r>
    </w:p>
    <w:p w14:paraId="4F6708A9" w14:textId="77777777" w:rsidR="00C23E65" w:rsidRPr="007263D7" w:rsidRDefault="00C23E65" w:rsidP="00C87B5A">
      <w:pPr>
        <w:rPr>
          <w:rFonts w:ascii="Times New Roman" w:hAnsi="Times New Roman" w:cs="Times New Roman"/>
          <w:b/>
          <w:bCs/>
          <w:color w:val="000000" w:themeColor="text1"/>
          <w:sz w:val="28"/>
          <w:szCs w:val="28"/>
        </w:rPr>
      </w:pPr>
    </w:p>
    <w:p w14:paraId="6BBC5876" w14:textId="16DA45C8" w:rsidR="00C23E65" w:rsidRPr="007263D7" w:rsidRDefault="00C23E65" w:rsidP="00C87B5A">
      <w:pPr>
        <w:pStyle w:val="Prrafodelista"/>
        <w:numPr>
          <w:ilvl w:val="0"/>
          <w:numId w:val="0"/>
        </w:numPr>
        <w:rPr>
          <w:b/>
          <w:bCs/>
        </w:rPr>
      </w:pPr>
      <w:r w:rsidRPr="007263D7">
        <w:rPr>
          <w:b/>
          <w:bCs/>
        </w:rPr>
        <w:t>Universidad del Norte</w:t>
      </w:r>
      <w:r w:rsidRPr="007263D7">
        <w:rPr>
          <w:rStyle w:val="Refdenotaalpie"/>
          <w:color w:val="000000" w:themeColor="text1"/>
        </w:rPr>
        <w:footnoteReference w:id="16"/>
      </w:r>
    </w:p>
    <w:p w14:paraId="339A9B88" w14:textId="77777777" w:rsidR="00C23E65" w:rsidRPr="007263D7" w:rsidRDefault="00C23E65" w:rsidP="00C87B5A">
      <w:pPr>
        <w:pStyle w:val="Prrafodelista"/>
        <w:numPr>
          <w:ilvl w:val="0"/>
          <w:numId w:val="0"/>
        </w:numPr>
      </w:pPr>
    </w:p>
    <w:p w14:paraId="4D4D8334" w14:textId="48D12318" w:rsidR="00C23E65" w:rsidRPr="007263D7" w:rsidRDefault="00C23E65" w:rsidP="00C87B5A">
      <w:pPr>
        <w:pStyle w:val="Prrafodelista"/>
      </w:pPr>
      <w:r w:rsidRPr="007263D7">
        <w:t>Carolina González Quintanilla, Sara González Ramo, Juliana Murillo Tolosa y Melissa Aníbal López presentaron su concepto como integrantes del Consultorio Jurídico de la Universidad del Norte. Las intervinientes formularon argumentos similares a los expuestos por los ciudadanos Ana María Muñoz Rondón, Tobías Bulla Soto, María Clara Núñez Arboleda, Daniela Contreras Díaz y Juana Sofia Serrano Amado, pero no coincidieron en la supuesta violación de los artículos 277 y 282 de la Constitución. En su criterio, aunque ciertas funciones legales del Ministerio de la Igualdad se asimilan a algunas del Ministerio Público, sus enfoques son distintos. Así, mientras que el Ministerio Público busca la promoción de los derechos humanos y la protección del interés público, el Ministerio de la Igualdad tiene como propósito “diseñar, formular, adoptar, dirigir, coordinar, articular, ejecutar, fortalecer y evaluar políticas, planes, estrategias y medidas para eliminar desigualdades económicas, políticas y sociales”</w:t>
      </w:r>
      <w:r w:rsidRPr="007263D7">
        <w:rPr>
          <w:rStyle w:val="Ancladenotaalpie"/>
          <w:color w:val="000000" w:themeColor="text1"/>
        </w:rPr>
        <w:footnoteReference w:id="17"/>
      </w:r>
      <w:r w:rsidRPr="007263D7">
        <w:t>. De ese modo, las integrantes del Consultorio Jurídico de la Universidad del Norte concluyeron que las funciones del Ministerio de la Igualdad y las del Ministerio Público no son excluyentes.</w:t>
      </w:r>
    </w:p>
    <w:p w14:paraId="5C50F5B6" w14:textId="77777777" w:rsidR="00C87B5A" w:rsidRPr="007263D7" w:rsidRDefault="00C87B5A" w:rsidP="00C87B5A">
      <w:pPr>
        <w:rPr>
          <w:rFonts w:ascii="Times New Roman" w:hAnsi="Times New Roman" w:cs="Times New Roman"/>
          <w:sz w:val="28"/>
        </w:rPr>
      </w:pPr>
    </w:p>
    <w:p w14:paraId="61C3AF77" w14:textId="0F66B365" w:rsidR="00770A25" w:rsidRPr="007263D7" w:rsidRDefault="00C87B5A" w:rsidP="00C87B5A">
      <w:pPr>
        <w:rPr>
          <w:rFonts w:ascii="Times New Roman" w:hAnsi="Times New Roman" w:cs="Times New Roman"/>
          <w:b/>
          <w:bCs/>
          <w:sz w:val="28"/>
          <w:szCs w:val="28"/>
        </w:rPr>
      </w:pPr>
      <w:r w:rsidRPr="007263D7">
        <w:rPr>
          <w:rFonts w:ascii="Times New Roman" w:hAnsi="Times New Roman" w:cs="Times New Roman"/>
          <w:b/>
          <w:bCs/>
          <w:sz w:val="28"/>
          <w:szCs w:val="28"/>
        </w:rPr>
        <w:t xml:space="preserve">4. </w:t>
      </w:r>
      <w:r w:rsidR="00B82D01" w:rsidRPr="007263D7">
        <w:rPr>
          <w:rFonts w:ascii="Times New Roman" w:hAnsi="Times New Roman" w:cs="Times New Roman"/>
          <w:b/>
          <w:bCs/>
          <w:sz w:val="28"/>
          <w:szCs w:val="28"/>
        </w:rPr>
        <w:t>Concepto</w:t>
      </w:r>
      <w:r w:rsidR="00D6354C" w:rsidRPr="007263D7">
        <w:rPr>
          <w:rFonts w:ascii="Times New Roman" w:hAnsi="Times New Roman" w:cs="Times New Roman"/>
          <w:b/>
          <w:bCs/>
          <w:sz w:val="28"/>
          <w:szCs w:val="28"/>
        </w:rPr>
        <w:t xml:space="preserve"> </w:t>
      </w:r>
      <w:r w:rsidR="00B82D01" w:rsidRPr="007263D7">
        <w:rPr>
          <w:rFonts w:ascii="Times New Roman" w:hAnsi="Times New Roman" w:cs="Times New Roman"/>
          <w:b/>
          <w:bCs/>
          <w:sz w:val="28"/>
          <w:szCs w:val="28"/>
        </w:rPr>
        <w:t>de</w:t>
      </w:r>
      <w:r w:rsidR="00D6354C" w:rsidRPr="007263D7">
        <w:rPr>
          <w:rFonts w:ascii="Times New Roman" w:hAnsi="Times New Roman" w:cs="Times New Roman"/>
          <w:b/>
          <w:bCs/>
          <w:sz w:val="28"/>
          <w:szCs w:val="28"/>
        </w:rPr>
        <w:t xml:space="preserve"> </w:t>
      </w:r>
      <w:r w:rsidR="00B82D01" w:rsidRPr="007263D7">
        <w:rPr>
          <w:rFonts w:ascii="Times New Roman" w:hAnsi="Times New Roman" w:cs="Times New Roman"/>
          <w:b/>
          <w:bCs/>
          <w:sz w:val="28"/>
          <w:szCs w:val="28"/>
        </w:rPr>
        <w:t>la</w:t>
      </w:r>
      <w:r w:rsidR="00D6354C" w:rsidRPr="007263D7">
        <w:rPr>
          <w:rFonts w:ascii="Times New Roman" w:hAnsi="Times New Roman" w:cs="Times New Roman"/>
          <w:b/>
          <w:bCs/>
          <w:sz w:val="28"/>
          <w:szCs w:val="28"/>
        </w:rPr>
        <w:t xml:space="preserve"> </w:t>
      </w:r>
      <w:r w:rsidR="00DB7D67" w:rsidRPr="007263D7">
        <w:rPr>
          <w:rFonts w:ascii="Times New Roman" w:hAnsi="Times New Roman" w:cs="Times New Roman"/>
          <w:b/>
          <w:bCs/>
          <w:sz w:val="28"/>
          <w:szCs w:val="28"/>
        </w:rPr>
        <w:t>procuradora</w:t>
      </w:r>
      <w:r w:rsidR="00D6354C" w:rsidRPr="007263D7">
        <w:rPr>
          <w:rFonts w:ascii="Times New Roman" w:hAnsi="Times New Roman" w:cs="Times New Roman"/>
          <w:b/>
          <w:bCs/>
          <w:sz w:val="28"/>
          <w:szCs w:val="28"/>
        </w:rPr>
        <w:t xml:space="preserve"> </w:t>
      </w:r>
      <w:r w:rsidR="00DB7D67" w:rsidRPr="007263D7">
        <w:rPr>
          <w:rFonts w:ascii="Times New Roman" w:hAnsi="Times New Roman" w:cs="Times New Roman"/>
          <w:b/>
          <w:bCs/>
          <w:sz w:val="28"/>
          <w:szCs w:val="28"/>
        </w:rPr>
        <w:t>general</w:t>
      </w:r>
      <w:r w:rsidR="00D6354C" w:rsidRPr="007263D7">
        <w:rPr>
          <w:rFonts w:ascii="Times New Roman" w:hAnsi="Times New Roman" w:cs="Times New Roman"/>
          <w:b/>
          <w:bCs/>
          <w:sz w:val="28"/>
          <w:szCs w:val="28"/>
        </w:rPr>
        <w:t xml:space="preserve"> </w:t>
      </w:r>
      <w:r w:rsidR="00DB7D67" w:rsidRPr="007263D7">
        <w:rPr>
          <w:rFonts w:ascii="Times New Roman" w:hAnsi="Times New Roman" w:cs="Times New Roman"/>
          <w:b/>
          <w:bCs/>
          <w:sz w:val="28"/>
          <w:szCs w:val="28"/>
        </w:rPr>
        <w:t>de</w:t>
      </w:r>
      <w:r w:rsidR="00D6354C" w:rsidRPr="007263D7">
        <w:rPr>
          <w:rFonts w:ascii="Times New Roman" w:hAnsi="Times New Roman" w:cs="Times New Roman"/>
          <w:b/>
          <w:bCs/>
          <w:sz w:val="28"/>
          <w:szCs w:val="28"/>
        </w:rPr>
        <w:t xml:space="preserve"> </w:t>
      </w:r>
      <w:r w:rsidR="00DB7D67" w:rsidRPr="007263D7">
        <w:rPr>
          <w:rFonts w:ascii="Times New Roman" w:hAnsi="Times New Roman" w:cs="Times New Roman"/>
          <w:b/>
          <w:bCs/>
          <w:sz w:val="28"/>
          <w:szCs w:val="28"/>
        </w:rPr>
        <w:t>la</w:t>
      </w:r>
      <w:r w:rsidR="00D6354C" w:rsidRPr="007263D7">
        <w:rPr>
          <w:rFonts w:ascii="Times New Roman" w:hAnsi="Times New Roman" w:cs="Times New Roman"/>
          <w:b/>
          <w:bCs/>
          <w:sz w:val="28"/>
          <w:szCs w:val="28"/>
        </w:rPr>
        <w:t xml:space="preserve"> N</w:t>
      </w:r>
      <w:r w:rsidR="00DB7D67" w:rsidRPr="007263D7">
        <w:rPr>
          <w:rFonts w:ascii="Times New Roman" w:hAnsi="Times New Roman" w:cs="Times New Roman"/>
          <w:b/>
          <w:bCs/>
          <w:sz w:val="28"/>
          <w:szCs w:val="28"/>
        </w:rPr>
        <w:t>ación</w:t>
      </w:r>
      <w:r w:rsidR="00B82D01" w:rsidRPr="007263D7">
        <w:rPr>
          <w:rStyle w:val="Refdenotaalpie"/>
          <w:rFonts w:ascii="Times New Roman" w:hAnsi="Times New Roman" w:cs="Times New Roman"/>
          <w:color w:val="000000" w:themeColor="text1"/>
          <w:sz w:val="28"/>
          <w:szCs w:val="28"/>
        </w:rPr>
        <w:footnoteReference w:id="18"/>
      </w:r>
    </w:p>
    <w:p w14:paraId="2B2F5674" w14:textId="77777777" w:rsidR="00770A25" w:rsidRPr="007263D7" w:rsidRDefault="00770A25" w:rsidP="00C87B5A">
      <w:pPr>
        <w:pStyle w:val="Prrafodelista"/>
        <w:numPr>
          <w:ilvl w:val="0"/>
          <w:numId w:val="0"/>
        </w:numPr>
      </w:pPr>
    </w:p>
    <w:p w14:paraId="3C445114" w14:textId="38CB3F74" w:rsidR="00102D29" w:rsidRPr="007263D7" w:rsidRDefault="00D6354C" w:rsidP="00C87B5A">
      <w:pPr>
        <w:pStyle w:val="Prrafodelista"/>
      </w:pPr>
      <w:r w:rsidRPr="007263D7">
        <w:t xml:space="preserve">La procuradora general de la Nación le solicitó a la Corte estarse a lo resuelto en la </w:t>
      </w:r>
      <w:r w:rsidR="00900FD3" w:rsidRPr="007263D7">
        <w:t>S</w:t>
      </w:r>
      <w:r w:rsidRPr="007263D7">
        <w:t xml:space="preserve">entencia C-161 de 2024. </w:t>
      </w:r>
      <w:r w:rsidR="007211B6" w:rsidRPr="007263D7">
        <w:t>Para l</w:t>
      </w:r>
      <w:r w:rsidRPr="007263D7">
        <w:t>a procuradora</w:t>
      </w:r>
      <w:r w:rsidR="007211B6" w:rsidRPr="007263D7">
        <w:t>, en este asunto</w:t>
      </w:r>
      <w:r w:rsidRPr="007263D7">
        <w:t xml:space="preserve"> se configuró el fenómeno de la cosa juzgada constitucional</w:t>
      </w:r>
      <w:r w:rsidR="007211B6" w:rsidRPr="007263D7">
        <w:t>,</w:t>
      </w:r>
      <w:r w:rsidRPr="007263D7">
        <w:t xml:space="preserve"> por dos razones. Primero, la Corte se pronunció sobre la constitucionalidad de la Ley 2281 de 2023 en la </w:t>
      </w:r>
      <w:r w:rsidR="001562E0" w:rsidRPr="007263D7">
        <w:t>S</w:t>
      </w:r>
      <w:r w:rsidRPr="007263D7">
        <w:t>entencia C-161 de 2024. Segundo, en dicha providencia la Corte declaró inexequible la ley demandada porque en el trámite legislativo no se cumplió con el artículo 7 de la Ley 819 de 2003, que es el mismo cuestionamiento que propone la demanda de este expediente.</w:t>
      </w:r>
    </w:p>
    <w:p w14:paraId="4AD45FE2" w14:textId="77777777" w:rsidR="00102D29" w:rsidRPr="007263D7" w:rsidRDefault="00102D29" w:rsidP="00C87B5A">
      <w:pPr>
        <w:jc w:val="both"/>
        <w:rPr>
          <w:rFonts w:ascii="Times New Roman" w:hAnsi="Times New Roman" w:cs="Times New Roman"/>
          <w:color w:val="000000" w:themeColor="text1"/>
          <w:sz w:val="28"/>
        </w:rPr>
      </w:pPr>
    </w:p>
    <w:p w14:paraId="7B20E681" w14:textId="35C47FF2" w:rsidR="00102D29" w:rsidRPr="007263D7" w:rsidRDefault="00102D29" w:rsidP="00C87B5A">
      <w:pPr>
        <w:pStyle w:val="Prrafodelista"/>
        <w:numPr>
          <w:ilvl w:val="0"/>
          <w:numId w:val="3"/>
        </w:numPr>
        <w:rPr>
          <w:b/>
          <w:bCs/>
          <w:lang w:val="es-ES"/>
        </w:rPr>
      </w:pPr>
      <w:r w:rsidRPr="007263D7">
        <w:rPr>
          <w:b/>
          <w:bCs/>
        </w:rPr>
        <w:t>CONSIDERACIONES</w:t>
      </w:r>
    </w:p>
    <w:p w14:paraId="6B9D41A2" w14:textId="77777777" w:rsidR="00D8593B" w:rsidRPr="007263D7" w:rsidRDefault="00D8593B" w:rsidP="00C87B5A">
      <w:pPr>
        <w:pStyle w:val="Prrafodelista"/>
        <w:numPr>
          <w:ilvl w:val="0"/>
          <w:numId w:val="0"/>
        </w:numPr>
      </w:pPr>
    </w:p>
    <w:p w14:paraId="62D53903" w14:textId="43A209D9" w:rsidR="00466165" w:rsidRPr="007263D7" w:rsidRDefault="00F52A2A" w:rsidP="00C87B5A">
      <w:pPr>
        <w:suppressAutoHyphens w:val="0"/>
        <w:rPr>
          <w:rFonts w:ascii="Times New Roman" w:hAnsi="Times New Roman" w:cs="Times New Roman"/>
          <w:b/>
          <w:color w:val="000000" w:themeColor="text1"/>
          <w:sz w:val="28"/>
          <w:szCs w:val="28"/>
          <w:lang w:val="es-ES"/>
        </w:rPr>
      </w:pPr>
      <w:r w:rsidRPr="007263D7">
        <w:rPr>
          <w:rFonts w:ascii="Times New Roman" w:hAnsi="Times New Roman" w:cs="Times New Roman"/>
          <w:b/>
          <w:color w:val="000000" w:themeColor="text1"/>
          <w:sz w:val="28"/>
          <w:szCs w:val="28"/>
          <w:lang w:val="es-ES"/>
        </w:rPr>
        <w:t>1.  Competencia</w:t>
      </w:r>
    </w:p>
    <w:p w14:paraId="773B718E" w14:textId="77777777" w:rsidR="00466165" w:rsidRPr="007263D7" w:rsidRDefault="00466165" w:rsidP="00C87B5A">
      <w:pPr>
        <w:suppressAutoHyphens w:val="0"/>
        <w:rPr>
          <w:rFonts w:ascii="Times New Roman" w:hAnsi="Times New Roman" w:cs="Times New Roman"/>
          <w:b/>
          <w:color w:val="000000" w:themeColor="text1"/>
          <w:sz w:val="28"/>
          <w:lang w:val="es-ES"/>
        </w:rPr>
      </w:pPr>
    </w:p>
    <w:p w14:paraId="5394DB43" w14:textId="33DBBD26" w:rsidR="00466165" w:rsidRPr="007263D7" w:rsidRDefault="00466165" w:rsidP="00C87B5A">
      <w:pPr>
        <w:pStyle w:val="Prrafodelista"/>
        <w:rPr>
          <w:b/>
        </w:rPr>
      </w:pPr>
      <w:r w:rsidRPr="007263D7">
        <w:t>De conformidad con lo dispuesto en el artículo 241.4 de la Constitución Política, la Corte es competente para conocer y decidir definitivamente sobre la demanda de inconstitucionalidad presentada dentro de las actuaciones de la referencia, dado que en ella se cuestionan normas contenidas en una ley de la República.</w:t>
      </w:r>
    </w:p>
    <w:p w14:paraId="52866855" w14:textId="77777777" w:rsidR="00102D29" w:rsidRPr="007263D7" w:rsidRDefault="00102D29" w:rsidP="00C87B5A">
      <w:pPr>
        <w:pStyle w:val="Prrafodelista"/>
        <w:numPr>
          <w:ilvl w:val="0"/>
          <w:numId w:val="0"/>
        </w:numPr>
      </w:pPr>
    </w:p>
    <w:p w14:paraId="1555BA56" w14:textId="547AC32A" w:rsidR="004F6BDC" w:rsidRPr="007263D7" w:rsidRDefault="00F52A2A" w:rsidP="00C87B5A">
      <w:pPr>
        <w:suppressAutoHyphens w:val="0"/>
        <w:rPr>
          <w:rFonts w:ascii="Times New Roman" w:hAnsi="Times New Roman" w:cs="Times New Roman"/>
          <w:b/>
          <w:color w:val="000000" w:themeColor="text1"/>
          <w:sz w:val="28"/>
          <w:szCs w:val="28"/>
          <w:lang w:val="es-ES"/>
        </w:rPr>
      </w:pPr>
      <w:r w:rsidRPr="007263D7">
        <w:rPr>
          <w:rFonts w:ascii="Times New Roman" w:hAnsi="Times New Roman" w:cs="Times New Roman"/>
          <w:b/>
          <w:color w:val="000000" w:themeColor="text1"/>
          <w:sz w:val="28"/>
          <w:szCs w:val="28"/>
          <w:lang w:val="es-ES"/>
        </w:rPr>
        <w:t xml:space="preserve">2. </w:t>
      </w:r>
      <w:r w:rsidR="004F6BDC" w:rsidRPr="007263D7">
        <w:rPr>
          <w:rFonts w:ascii="Times New Roman" w:hAnsi="Times New Roman" w:cs="Times New Roman"/>
          <w:b/>
          <w:color w:val="000000" w:themeColor="text1"/>
          <w:sz w:val="28"/>
          <w:szCs w:val="28"/>
          <w:lang w:val="es-ES"/>
        </w:rPr>
        <w:t xml:space="preserve">Primera cuestión previa: caducidad de la acción constitucional </w:t>
      </w:r>
    </w:p>
    <w:p w14:paraId="3BAF1ED3" w14:textId="77777777" w:rsidR="004F6BDC" w:rsidRPr="007263D7" w:rsidRDefault="004F6BDC" w:rsidP="00C87B5A">
      <w:pPr>
        <w:suppressAutoHyphens w:val="0"/>
        <w:rPr>
          <w:rFonts w:ascii="Times New Roman" w:hAnsi="Times New Roman" w:cs="Times New Roman"/>
          <w:b/>
          <w:color w:val="000000" w:themeColor="text1"/>
          <w:sz w:val="28"/>
          <w:szCs w:val="28"/>
          <w:lang w:val="es-ES"/>
        </w:rPr>
      </w:pPr>
    </w:p>
    <w:p w14:paraId="43E66F96" w14:textId="7C008662" w:rsidR="00F96552" w:rsidRPr="007263D7" w:rsidRDefault="00220FA9" w:rsidP="00C87B5A">
      <w:pPr>
        <w:pStyle w:val="Prrafodelista"/>
        <w:rPr>
          <w:rFonts w:eastAsia="Times New Roman"/>
          <w:szCs w:val="18"/>
          <w:lang w:eastAsia="es-MX"/>
        </w:rPr>
      </w:pPr>
      <w:r w:rsidRPr="007263D7">
        <w:rPr>
          <w:rFonts w:eastAsia="Times New Roman"/>
          <w:lang w:eastAsia="es-MX"/>
        </w:rPr>
        <w:t>Aunque en ninguna de las intervenciones presentadas en este proceso se alegó que hubiera operado el fenómeno de la caducidad de la acción constitucional, la Corte considera importante abordar este análisis, debido a que: (i) e</w:t>
      </w:r>
      <w:r w:rsidR="00CC649C" w:rsidRPr="007263D7">
        <w:rPr>
          <w:rFonts w:eastAsia="Times New Roman"/>
          <w:lang w:eastAsia="es-MX"/>
        </w:rPr>
        <w:t xml:space="preserve">l numeral tercero del artículo 242 de la Constitución establece que </w:t>
      </w:r>
      <w:r w:rsidR="00CC649C" w:rsidRPr="007263D7">
        <w:t>las acciones de inconstitucionalidad “por vicios de forma caducan en el término de un año, contado desde la publicación del respectivo acto”</w:t>
      </w:r>
      <w:r w:rsidRPr="007263D7">
        <w:rPr>
          <w:rFonts w:eastAsia="Times New Roman"/>
          <w:lang w:eastAsia="es-MX"/>
        </w:rPr>
        <w:t xml:space="preserve"> y (ii) </w:t>
      </w:r>
      <w:r w:rsidRPr="007263D7">
        <w:rPr>
          <w:rFonts w:eastAsia="Times New Roman"/>
          <w:lang w:val="es-ES" w:eastAsia="es-MX"/>
        </w:rPr>
        <w:t>l</w:t>
      </w:r>
      <w:r w:rsidR="004F6BDC" w:rsidRPr="007263D7">
        <w:rPr>
          <w:rFonts w:eastAsia="Times New Roman"/>
          <w:lang w:val="es-ES" w:eastAsia="es-MX"/>
        </w:rPr>
        <w:t>a Ley 2281 fue publicada en el Diario Oficial 52.267 del 4 de enero de 2023 y la demanda de inconstitucionalidad que estudia la Corte fue presentada el 11 de enero de 2024, es decir, más de un año después.</w:t>
      </w:r>
      <w:r w:rsidR="004F6BDC" w:rsidRPr="007263D7">
        <w:rPr>
          <w:rFonts w:eastAsia="Times New Roman"/>
          <w:lang w:eastAsia="es-MX"/>
        </w:rPr>
        <w:t> </w:t>
      </w:r>
    </w:p>
    <w:p w14:paraId="21951E9B" w14:textId="77777777" w:rsidR="00F96552" w:rsidRPr="007263D7" w:rsidRDefault="00F96552" w:rsidP="00CA2AED">
      <w:pPr>
        <w:pStyle w:val="Prrafodelista"/>
        <w:numPr>
          <w:ilvl w:val="0"/>
          <w:numId w:val="0"/>
        </w:numPr>
        <w:rPr>
          <w:rFonts w:eastAsia="Times New Roman"/>
          <w:szCs w:val="18"/>
          <w:lang w:eastAsia="es-MX"/>
        </w:rPr>
      </w:pPr>
    </w:p>
    <w:p w14:paraId="47184EE7" w14:textId="3B30624D" w:rsidR="004F6BDC" w:rsidRPr="007263D7" w:rsidRDefault="004F6BDC" w:rsidP="00C87B5A">
      <w:pPr>
        <w:pStyle w:val="Prrafodelista"/>
        <w:rPr>
          <w:rFonts w:eastAsia="Times New Roman"/>
          <w:lang w:eastAsia="es-MX"/>
        </w:rPr>
      </w:pPr>
      <w:r w:rsidRPr="007263D7">
        <w:rPr>
          <w:rFonts w:eastAsia="Times New Roman"/>
          <w:lang w:eastAsia="es-MX"/>
        </w:rPr>
        <w:t xml:space="preserve">Esta situación ha sido estudiada por </w:t>
      </w:r>
      <w:r w:rsidR="00F96552" w:rsidRPr="007263D7">
        <w:rPr>
          <w:rFonts w:eastAsia="Times New Roman"/>
          <w:lang w:eastAsia="es-MX"/>
        </w:rPr>
        <w:t>la Corte</w:t>
      </w:r>
      <w:r w:rsidRPr="007263D7">
        <w:rPr>
          <w:rFonts w:eastAsia="Times New Roman"/>
          <w:lang w:eastAsia="es-MX"/>
        </w:rPr>
        <w:t xml:space="preserve"> con anterioridad. Por ejemplo, en la Sentencia C-801 de 2008, la Corte concluyó que había caducidad en una demanda de inconstitucionalidad por vicios de forma interpuesta el 11 de enero de 2008</w:t>
      </w:r>
      <w:r w:rsidR="00CC649C" w:rsidRPr="007263D7">
        <w:rPr>
          <w:rFonts w:eastAsia="Times New Roman"/>
          <w:lang w:eastAsia="es-MX"/>
        </w:rPr>
        <w:t xml:space="preserve"> en </w:t>
      </w:r>
      <w:r w:rsidRPr="007263D7">
        <w:rPr>
          <w:rFonts w:eastAsia="Times New Roman"/>
          <w:lang w:eastAsia="es-MX"/>
        </w:rPr>
        <w:t xml:space="preserve">contra </w:t>
      </w:r>
      <w:r w:rsidR="00CC649C" w:rsidRPr="007263D7">
        <w:rPr>
          <w:rFonts w:eastAsia="Times New Roman"/>
          <w:lang w:eastAsia="es-MX"/>
        </w:rPr>
        <w:t xml:space="preserve">de </w:t>
      </w:r>
      <w:r w:rsidRPr="007263D7">
        <w:rPr>
          <w:rFonts w:eastAsia="Times New Roman"/>
          <w:lang w:eastAsia="es-MX"/>
        </w:rPr>
        <w:t xml:space="preserve">una ley promulgada el 27 de diciembre de 2006. Para la Corte, a pesar de que la caducidad se cumplió durante la vacancia judicial, esto no habilitaba </w:t>
      </w:r>
      <w:r w:rsidR="00CC649C" w:rsidRPr="007263D7">
        <w:rPr>
          <w:rFonts w:eastAsia="Times New Roman"/>
          <w:lang w:eastAsia="es-MX"/>
        </w:rPr>
        <w:t>una prolongación</w:t>
      </w:r>
      <w:r w:rsidRPr="007263D7">
        <w:rPr>
          <w:rFonts w:eastAsia="Times New Roman"/>
          <w:lang w:eastAsia="es-MX"/>
        </w:rPr>
        <w:t xml:space="preserve"> </w:t>
      </w:r>
      <w:r w:rsidR="00CC649C" w:rsidRPr="007263D7">
        <w:rPr>
          <w:rFonts w:eastAsia="Times New Roman"/>
          <w:lang w:eastAsia="es-MX"/>
        </w:rPr>
        <w:t>d</w:t>
      </w:r>
      <w:r w:rsidRPr="007263D7">
        <w:rPr>
          <w:rFonts w:eastAsia="Times New Roman"/>
          <w:lang w:eastAsia="es-MX"/>
        </w:rPr>
        <w:t>el término hasta el primer día hábil siguiente porque era un plazo fijado por la Constitución que no podía ser ampliado con sustento en normas legales. </w:t>
      </w:r>
    </w:p>
    <w:p w14:paraId="0A97CFA2" w14:textId="20B6ACD9" w:rsidR="004F6BDC" w:rsidRPr="007263D7" w:rsidRDefault="004F6BDC" w:rsidP="00C87B5A">
      <w:pPr>
        <w:suppressAutoHyphens w:val="0"/>
        <w:jc w:val="both"/>
        <w:textAlignment w:val="baseline"/>
        <w:rPr>
          <w:rFonts w:ascii="Times New Roman" w:eastAsia="Times New Roman" w:hAnsi="Times New Roman" w:cs="Times New Roman"/>
          <w:sz w:val="28"/>
          <w:szCs w:val="28"/>
          <w:lang w:val="es-US" w:eastAsia="es-MX"/>
        </w:rPr>
      </w:pPr>
    </w:p>
    <w:p w14:paraId="7160BD95" w14:textId="178396DA" w:rsidR="00813F93" w:rsidRPr="007263D7" w:rsidRDefault="00813F93" w:rsidP="00C87B5A">
      <w:pPr>
        <w:pStyle w:val="Prrafodelista"/>
        <w:rPr>
          <w:rFonts w:eastAsia="Times New Roman"/>
          <w:lang w:eastAsia="es-MX"/>
        </w:rPr>
      </w:pPr>
      <w:r w:rsidRPr="007263D7">
        <w:rPr>
          <w:rFonts w:eastAsia="Times New Roman"/>
          <w:lang w:eastAsia="es-MX"/>
        </w:rPr>
        <w:t xml:space="preserve">Por lo tanto, la Sentencia C-801 de 2008 establece un precedente que podría llevar a declarar la caducidad de la acción en este caso. Sin embargo, han surgido decisiones posteriores que han reconsiderado esta postura. En la Sentencia C-882 de 2011, por ejemplo, la Corte aceptó una demanda </w:t>
      </w:r>
      <w:r w:rsidR="00CC649C" w:rsidRPr="007263D7">
        <w:rPr>
          <w:rFonts w:eastAsia="Times New Roman"/>
          <w:lang w:eastAsia="es-MX"/>
        </w:rPr>
        <w:t xml:space="preserve">en </w:t>
      </w:r>
      <w:r w:rsidRPr="007263D7">
        <w:rPr>
          <w:rFonts w:eastAsia="Times New Roman"/>
          <w:lang w:eastAsia="es-MX"/>
        </w:rPr>
        <w:t xml:space="preserve">contra </w:t>
      </w:r>
      <w:r w:rsidR="00CC649C" w:rsidRPr="007263D7">
        <w:rPr>
          <w:rFonts w:eastAsia="Times New Roman"/>
          <w:lang w:eastAsia="es-MX"/>
        </w:rPr>
        <w:t xml:space="preserve">de </w:t>
      </w:r>
      <w:r w:rsidRPr="007263D7">
        <w:rPr>
          <w:rFonts w:eastAsia="Times New Roman"/>
          <w:lang w:eastAsia="es-MX"/>
        </w:rPr>
        <w:t>un acto reformatorio de la Constitución por vicios de procedimiento, presentada el 11 de enero de 2011, a pesar de que el plazo de caducidad había expirado el 21 de diciembre de 2010, durante la vacancia judicial. En este caso, la Corte aplicó el artículo 62 del Código de Régimen Político y Municipal</w:t>
      </w:r>
      <w:r w:rsidR="00CC649C" w:rsidRPr="007263D7">
        <w:rPr>
          <w:rFonts w:eastAsia="Times New Roman"/>
          <w:lang w:eastAsia="es-MX"/>
        </w:rPr>
        <w:t xml:space="preserve"> y concluyó </w:t>
      </w:r>
      <w:r w:rsidRPr="007263D7">
        <w:rPr>
          <w:rFonts w:eastAsia="Times New Roman"/>
          <w:lang w:eastAsia="es-MX"/>
        </w:rPr>
        <w:t>que el plazo se extendía hasta el primer día hábil siguiente a la finalización de la vacancia.</w:t>
      </w:r>
    </w:p>
    <w:p w14:paraId="2755E761" w14:textId="77777777" w:rsidR="00813F93" w:rsidRPr="007263D7" w:rsidRDefault="00813F93" w:rsidP="00C87B5A">
      <w:pPr>
        <w:suppressAutoHyphens w:val="0"/>
        <w:jc w:val="both"/>
        <w:textAlignment w:val="baseline"/>
        <w:rPr>
          <w:rFonts w:ascii="Times New Roman" w:eastAsia="Times New Roman" w:hAnsi="Times New Roman" w:cs="Times New Roman"/>
          <w:sz w:val="28"/>
          <w:szCs w:val="28"/>
          <w:lang w:val="es-US" w:eastAsia="es-MX"/>
        </w:rPr>
      </w:pPr>
    </w:p>
    <w:p w14:paraId="259A3D72" w14:textId="7053AE15" w:rsidR="00813F93" w:rsidRPr="007263D7" w:rsidRDefault="00813F93" w:rsidP="00C87B5A">
      <w:pPr>
        <w:pStyle w:val="Prrafodelista"/>
        <w:rPr>
          <w:rFonts w:eastAsia="Times New Roman"/>
          <w:lang w:eastAsia="es-MX"/>
        </w:rPr>
      </w:pPr>
      <w:r w:rsidRPr="007263D7">
        <w:rPr>
          <w:rFonts w:eastAsia="Times New Roman"/>
          <w:lang w:eastAsia="es-MX"/>
        </w:rPr>
        <w:t xml:space="preserve">Después, la Sentencia C-174 de 2017 determinó que no había contradicción entre la Sentencia C-801 de 2008 y la Sentencia C-882 de 2011, </w:t>
      </w:r>
      <w:r w:rsidR="00CC649C" w:rsidRPr="007263D7">
        <w:rPr>
          <w:rFonts w:eastAsia="Times New Roman"/>
          <w:lang w:eastAsia="es-MX"/>
        </w:rPr>
        <w:t>pues</w:t>
      </w:r>
      <w:r w:rsidRPr="007263D7">
        <w:rPr>
          <w:rFonts w:eastAsia="Times New Roman"/>
          <w:lang w:eastAsia="es-MX"/>
        </w:rPr>
        <w:t xml:space="preserve"> en la primera se examinó el término constitucional de caducidad por vicios de forma, mientras que en la segunda se aplicó una cláusula de caducidad especial para actos reformatorios de la Constitución. La Corte justificó que, de acuerdo </w:t>
      </w:r>
      <w:r w:rsidR="00F96552" w:rsidRPr="007263D7">
        <w:rPr>
          <w:rFonts w:eastAsia="Times New Roman"/>
          <w:lang w:eastAsia="es-MX"/>
        </w:rPr>
        <w:t xml:space="preserve">con el </w:t>
      </w:r>
      <w:r w:rsidRPr="007263D7">
        <w:rPr>
          <w:rFonts w:eastAsia="Times New Roman"/>
          <w:lang w:eastAsia="es-MX"/>
        </w:rPr>
        <w:t xml:space="preserve">principio </w:t>
      </w:r>
      <w:r w:rsidRPr="007263D7">
        <w:rPr>
          <w:rFonts w:eastAsia="Times New Roman"/>
          <w:i/>
          <w:iCs/>
          <w:lang w:eastAsia="es-MX"/>
        </w:rPr>
        <w:t>pro action</w:t>
      </w:r>
      <w:r w:rsidR="00CC649C" w:rsidRPr="007263D7">
        <w:rPr>
          <w:rFonts w:eastAsia="Times New Roman"/>
          <w:i/>
          <w:iCs/>
          <w:lang w:eastAsia="es-MX"/>
        </w:rPr>
        <w:t>e</w:t>
      </w:r>
      <w:r w:rsidR="00CC649C" w:rsidRPr="007263D7">
        <w:rPr>
          <w:rFonts w:eastAsia="Times New Roman"/>
          <w:lang w:eastAsia="es-MX"/>
        </w:rPr>
        <w:t>,</w:t>
      </w:r>
      <w:r w:rsidRPr="007263D7">
        <w:rPr>
          <w:rFonts w:eastAsia="Times New Roman"/>
          <w:lang w:eastAsia="es-MX"/>
        </w:rPr>
        <w:t xml:space="preserve"> se debía maximizar la oportunidad de control constitucional de estos acto</w:t>
      </w:r>
      <w:r w:rsidR="00CC649C" w:rsidRPr="007263D7">
        <w:rPr>
          <w:rFonts w:eastAsia="Times New Roman"/>
          <w:lang w:eastAsia="es-MX"/>
        </w:rPr>
        <w:t>s porque</w:t>
      </w:r>
      <w:r w:rsidRPr="007263D7">
        <w:rPr>
          <w:rFonts w:eastAsia="Times New Roman"/>
          <w:lang w:eastAsia="es-MX"/>
        </w:rPr>
        <w:t xml:space="preserve"> una vez expirado el término de caducidad no pueden ser impugnados en el futuro por </w:t>
      </w:r>
      <w:r w:rsidR="00F96552" w:rsidRPr="007263D7">
        <w:rPr>
          <w:rFonts w:eastAsia="Times New Roman"/>
          <w:lang w:eastAsia="es-MX"/>
        </w:rPr>
        <w:t>ningún otro motivo</w:t>
      </w:r>
      <w:r w:rsidRPr="007263D7">
        <w:rPr>
          <w:rFonts w:eastAsia="Times New Roman"/>
          <w:lang w:eastAsia="es-MX"/>
        </w:rPr>
        <w:t xml:space="preserve">. </w:t>
      </w:r>
    </w:p>
    <w:p w14:paraId="293403A6" w14:textId="77777777" w:rsidR="00813F93" w:rsidRPr="007263D7" w:rsidRDefault="00813F93" w:rsidP="00C87B5A">
      <w:pPr>
        <w:suppressAutoHyphens w:val="0"/>
        <w:jc w:val="both"/>
        <w:textAlignment w:val="baseline"/>
        <w:rPr>
          <w:rFonts w:ascii="Times New Roman" w:eastAsia="Times New Roman" w:hAnsi="Times New Roman" w:cs="Times New Roman"/>
          <w:sz w:val="28"/>
          <w:szCs w:val="28"/>
          <w:lang w:val="es-US" w:eastAsia="es-MX"/>
        </w:rPr>
      </w:pPr>
    </w:p>
    <w:p w14:paraId="2FDA9711" w14:textId="24AF64BD" w:rsidR="009F6CF4" w:rsidRPr="007263D7" w:rsidRDefault="00CC649C" w:rsidP="00C87B5A">
      <w:pPr>
        <w:pStyle w:val="NormalWeb"/>
        <w:numPr>
          <w:ilvl w:val="0"/>
          <w:numId w:val="1"/>
        </w:numPr>
        <w:shd w:val="clear" w:color="auto" w:fill="FFFFFF"/>
        <w:tabs>
          <w:tab w:val="left" w:pos="426"/>
        </w:tabs>
        <w:spacing w:beforeAutospacing="0" w:afterAutospacing="0"/>
        <w:ind w:left="0" w:firstLine="0"/>
        <w:jc w:val="both"/>
        <w:rPr>
          <w:sz w:val="28"/>
          <w:szCs w:val="28"/>
          <w:lang w:val="es-US" w:eastAsia="es-MX"/>
        </w:rPr>
      </w:pPr>
      <w:r w:rsidRPr="007263D7">
        <w:rPr>
          <w:sz w:val="28"/>
          <w:szCs w:val="28"/>
          <w:lang w:val="es-US" w:eastAsia="es-MX"/>
        </w:rPr>
        <w:t>La Corte</w:t>
      </w:r>
      <w:r w:rsidR="00813F93" w:rsidRPr="007263D7">
        <w:rPr>
          <w:sz w:val="28"/>
          <w:szCs w:val="28"/>
          <w:lang w:val="es-US" w:eastAsia="es-MX"/>
        </w:rPr>
        <w:t xml:space="preserve"> considera necesario modificar el precedente establecido en la Sentencia C-801 de 2008 y adoptar una regla que estipule que, si el término de caducidad de la acción de inconstitucionalidad por vicios de forma expira en un día feriado o de vacancia, el plazo se extiende hasta el primer día hábil siguiente.</w:t>
      </w:r>
      <w:r w:rsidR="009F6CF4" w:rsidRPr="007263D7">
        <w:rPr>
          <w:sz w:val="28"/>
          <w:szCs w:val="28"/>
          <w:lang w:val="es-US" w:eastAsia="es-MX"/>
        </w:rPr>
        <w:t xml:space="preserve"> </w:t>
      </w:r>
      <w:r w:rsidRPr="007263D7">
        <w:rPr>
          <w:sz w:val="28"/>
          <w:szCs w:val="28"/>
          <w:lang w:val="es-US" w:eastAsia="es-MX"/>
        </w:rPr>
        <w:t>Esta</w:t>
      </w:r>
      <w:r w:rsidR="009F6CF4" w:rsidRPr="007263D7">
        <w:rPr>
          <w:sz w:val="28"/>
          <w:szCs w:val="28"/>
          <w:lang w:val="es-US" w:eastAsia="es-MX"/>
        </w:rPr>
        <w:t xml:space="preserve"> </w:t>
      </w:r>
      <w:r w:rsidRPr="007263D7">
        <w:rPr>
          <w:sz w:val="28"/>
          <w:szCs w:val="28"/>
          <w:lang w:val="es-US" w:eastAsia="es-MX"/>
        </w:rPr>
        <w:t>modificación d</w:t>
      </w:r>
      <w:r w:rsidR="009F6CF4" w:rsidRPr="007263D7">
        <w:rPr>
          <w:sz w:val="28"/>
          <w:szCs w:val="28"/>
          <w:lang w:val="es-US" w:eastAsia="es-MX"/>
        </w:rPr>
        <w:t xml:space="preserve">el precedente establecido en la Sentencia C-801 de 2008 se fundamenta en la necesidad de adaptar la interpretación jurídica a las realidades prácticas y las dinámicas del acceso a la justicia. La caducidad de las acciones de inconstitucionalidad, especialmente aquellas por vicios de forma, es un aspecto crítico en la protección de derechos fundamentales y en la garantía del control constitucional. La decisión de establecer un nuevo </w:t>
      </w:r>
      <w:r w:rsidR="00DD7029" w:rsidRPr="007263D7">
        <w:rPr>
          <w:sz w:val="28"/>
          <w:szCs w:val="28"/>
          <w:lang w:val="es-US" w:eastAsia="es-MX"/>
        </w:rPr>
        <w:t xml:space="preserve">criterio </w:t>
      </w:r>
      <w:r w:rsidR="009F6CF4" w:rsidRPr="007263D7">
        <w:rPr>
          <w:sz w:val="28"/>
          <w:szCs w:val="28"/>
          <w:lang w:val="es-US" w:eastAsia="es-MX"/>
        </w:rPr>
        <w:t xml:space="preserve">que contemple la extensión del plazo hasta el primer día hábil siguiente cuando el vencimiento coincide con días feriados o de vacancia judicial responde a una lógica de </w:t>
      </w:r>
      <w:r w:rsidR="00F96552" w:rsidRPr="007263D7">
        <w:rPr>
          <w:sz w:val="28"/>
          <w:szCs w:val="28"/>
          <w:lang w:val="es-US" w:eastAsia="es-MX"/>
        </w:rPr>
        <w:t xml:space="preserve">ampliación de garantías </w:t>
      </w:r>
      <w:r w:rsidR="00DD7029" w:rsidRPr="007263D7">
        <w:rPr>
          <w:sz w:val="28"/>
          <w:szCs w:val="28"/>
          <w:lang w:val="es-US" w:eastAsia="es-MX"/>
        </w:rPr>
        <w:t>en</w:t>
      </w:r>
      <w:r w:rsidR="009F6CF4" w:rsidRPr="007263D7">
        <w:rPr>
          <w:sz w:val="28"/>
          <w:szCs w:val="28"/>
          <w:lang w:val="es-US" w:eastAsia="es-MX"/>
        </w:rPr>
        <w:t xml:space="preserve"> el ejercicio del derecho de acción.</w:t>
      </w:r>
    </w:p>
    <w:p w14:paraId="70805D1D" w14:textId="77777777" w:rsidR="00797633" w:rsidRPr="007263D7" w:rsidRDefault="00797633" w:rsidP="00C87B5A">
      <w:pPr>
        <w:pStyle w:val="NormalWeb"/>
        <w:shd w:val="clear" w:color="auto" w:fill="FFFFFF"/>
        <w:spacing w:beforeAutospacing="0" w:afterAutospacing="0"/>
        <w:jc w:val="both"/>
        <w:rPr>
          <w:sz w:val="28"/>
          <w:szCs w:val="28"/>
          <w:lang w:val="es-US" w:eastAsia="es-MX"/>
        </w:rPr>
      </w:pPr>
    </w:p>
    <w:p w14:paraId="4B7CCAD9" w14:textId="562D22DF" w:rsidR="00813F93" w:rsidRPr="007263D7" w:rsidRDefault="00CC649C" w:rsidP="00C87B5A">
      <w:pPr>
        <w:pStyle w:val="Prrafodelista"/>
        <w:rPr>
          <w:rFonts w:eastAsia="Times New Roman"/>
          <w:lang w:eastAsia="es-MX"/>
        </w:rPr>
      </w:pPr>
      <w:r w:rsidRPr="007263D7">
        <w:rPr>
          <w:rFonts w:eastAsia="Times New Roman"/>
          <w:lang w:eastAsia="es-MX"/>
        </w:rPr>
        <w:t>La postura de la</w:t>
      </w:r>
      <w:r w:rsidR="009F6CF4" w:rsidRPr="007263D7">
        <w:rPr>
          <w:rFonts w:eastAsia="Times New Roman"/>
          <w:lang w:eastAsia="es-MX"/>
        </w:rPr>
        <w:t xml:space="preserve"> Sentencia C-801 de 2008</w:t>
      </w:r>
      <w:r w:rsidRPr="007263D7">
        <w:rPr>
          <w:rFonts w:eastAsia="Times New Roman"/>
          <w:lang w:eastAsia="es-MX"/>
        </w:rPr>
        <w:t xml:space="preserve"> </w:t>
      </w:r>
      <w:r w:rsidR="009F6CF4" w:rsidRPr="007263D7">
        <w:rPr>
          <w:rFonts w:eastAsia="Times New Roman"/>
          <w:lang w:eastAsia="es-MX"/>
        </w:rPr>
        <w:t>resulta excesivamente rígida en contextos donde los ciudadanos enfrentan barreras para el ejercicio de sus derechos</w:t>
      </w:r>
      <w:r w:rsidR="00C87B5A" w:rsidRPr="007263D7">
        <w:rPr>
          <w:rFonts w:eastAsia="Times New Roman"/>
          <w:lang w:eastAsia="es-MX"/>
        </w:rPr>
        <w:t>, pues</w:t>
      </w:r>
      <w:r w:rsidR="009F6CF4" w:rsidRPr="007263D7">
        <w:rPr>
          <w:rFonts w:eastAsia="Times New Roman"/>
          <w:lang w:eastAsia="es-MX"/>
        </w:rPr>
        <w:t xml:space="preserve"> </w:t>
      </w:r>
      <w:r w:rsidR="00C87B5A" w:rsidRPr="007263D7">
        <w:rPr>
          <w:rFonts w:eastAsia="Times New Roman"/>
          <w:lang w:eastAsia="es-MX"/>
        </w:rPr>
        <w:t>las</w:t>
      </w:r>
      <w:r w:rsidR="009F6CF4" w:rsidRPr="007263D7">
        <w:rPr>
          <w:rFonts w:eastAsia="Times New Roman"/>
          <w:lang w:eastAsia="es-MX"/>
        </w:rPr>
        <w:t xml:space="preserve"> vacancias judiciales o los días feriados pueden limitar el acceso a</w:t>
      </w:r>
      <w:r w:rsidRPr="007263D7">
        <w:rPr>
          <w:rFonts w:eastAsia="Times New Roman"/>
          <w:lang w:eastAsia="es-MX"/>
        </w:rPr>
        <w:t xml:space="preserve"> la administración de justicia</w:t>
      </w:r>
      <w:r w:rsidR="009F6CF4" w:rsidRPr="007263D7">
        <w:rPr>
          <w:rFonts w:eastAsia="Times New Roman"/>
          <w:lang w:eastAsia="es-MX"/>
        </w:rPr>
        <w:t>.</w:t>
      </w:r>
      <w:r w:rsidR="00C87B5A" w:rsidRPr="007263D7">
        <w:rPr>
          <w:rFonts w:eastAsia="Times New Roman"/>
          <w:lang w:eastAsia="es-MX"/>
        </w:rPr>
        <w:t xml:space="preserve"> Así,</w:t>
      </w:r>
      <w:r w:rsidRPr="007263D7">
        <w:rPr>
          <w:rFonts w:eastAsia="Times New Roman"/>
          <w:lang w:eastAsia="es-MX"/>
        </w:rPr>
        <w:t xml:space="preserve"> </w:t>
      </w:r>
      <w:r w:rsidR="00C87B5A" w:rsidRPr="007263D7">
        <w:rPr>
          <w:rFonts w:eastAsia="Times New Roman"/>
          <w:lang w:eastAsia="es-MX"/>
        </w:rPr>
        <w:t>e</w:t>
      </w:r>
      <w:r w:rsidRPr="007263D7">
        <w:rPr>
          <w:rFonts w:eastAsia="Times New Roman"/>
          <w:lang w:eastAsia="es-MX"/>
        </w:rPr>
        <w:t>sta</w:t>
      </w:r>
      <w:r w:rsidR="009F6CF4" w:rsidRPr="007263D7">
        <w:rPr>
          <w:rFonts w:eastAsia="Times New Roman"/>
          <w:lang w:eastAsia="es-MX"/>
        </w:rPr>
        <w:t xml:space="preserve"> modificación responde a un principio de justicia material</w:t>
      </w:r>
      <w:r w:rsidR="00C87B5A" w:rsidRPr="007263D7">
        <w:rPr>
          <w:rFonts w:eastAsia="Times New Roman"/>
          <w:lang w:eastAsia="es-MX"/>
        </w:rPr>
        <w:t xml:space="preserve"> y a la </w:t>
      </w:r>
      <w:r w:rsidR="00DD7029" w:rsidRPr="007263D7">
        <w:rPr>
          <w:rFonts w:eastAsia="Times New Roman"/>
          <w:lang w:eastAsia="es-MX"/>
        </w:rPr>
        <w:t xml:space="preserve">concreción </w:t>
      </w:r>
      <w:r w:rsidR="00C87B5A" w:rsidRPr="007263D7">
        <w:rPr>
          <w:rFonts w:eastAsia="Times New Roman"/>
          <w:lang w:eastAsia="es-MX"/>
        </w:rPr>
        <w:t>d</w:t>
      </w:r>
      <w:r w:rsidR="009F6CF4" w:rsidRPr="007263D7">
        <w:rPr>
          <w:rFonts w:eastAsia="Times New Roman"/>
          <w:lang w:eastAsia="es-MX"/>
        </w:rPr>
        <w:t xml:space="preserve">el principio </w:t>
      </w:r>
      <w:r w:rsidR="009F6CF4" w:rsidRPr="007263D7">
        <w:rPr>
          <w:rFonts w:eastAsia="Times New Roman"/>
          <w:i/>
          <w:iCs/>
          <w:lang w:eastAsia="es-MX"/>
        </w:rPr>
        <w:t>pro actione</w:t>
      </w:r>
      <w:r w:rsidR="009F6CF4" w:rsidRPr="007263D7">
        <w:rPr>
          <w:rFonts w:eastAsia="Times New Roman"/>
          <w:lang w:eastAsia="es-MX"/>
        </w:rPr>
        <w:t>.</w:t>
      </w:r>
      <w:r w:rsidR="00797633" w:rsidRPr="007263D7">
        <w:rPr>
          <w:rFonts w:eastAsia="Times New Roman"/>
          <w:lang w:eastAsia="es-MX"/>
        </w:rPr>
        <w:t xml:space="preserve"> Además</w:t>
      </w:r>
      <w:r w:rsidR="009F6CF4" w:rsidRPr="007263D7">
        <w:rPr>
          <w:rFonts w:eastAsia="Times New Roman"/>
          <w:lang w:eastAsia="es-MX"/>
        </w:rPr>
        <w:t>,</w:t>
      </w:r>
      <w:r w:rsidR="00C87B5A" w:rsidRPr="007263D7">
        <w:rPr>
          <w:rFonts w:eastAsia="Times New Roman"/>
          <w:lang w:eastAsia="es-MX"/>
        </w:rPr>
        <w:t xml:space="preserve"> para esta Corte,</w:t>
      </w:r>
      <w:r w:rsidR="009F6CF4" w:rsidRPr="007263D7">
        <w:rPr>
          <w:rFonts w:eastAsia="Times New Roman"/>
          <w:lang w:eastAsia="es-MX"/>
        </w:rPr>
        <w:t xml:space="preserve"> </w:t>
      </w:r>
      <w:r w:rsidR="00DD7029" w:rsidRPr="007263D7">
        <w:rPr>
          <w:rFonts w:eastAsia="Times New Roman"/>
          <w:lang w:eastAsia="es-MX"/>
        </w:rPr>
        <w:t xml:space="preserve">la </w:t>
      </w:r>
      <w:r w:rsidR="009F6CF4" w:rsidRPr="007263D7">
        <w:rPr>
          <w:rFonts w:eastAsia="Times New Roman"/>
          <w:lang w:eastAsia="es-MX"/>
        </w:rPr>
        <w:t xml:space="preserve">modificación no </w:t>
      </w:r>
      <w:r w:rsidR="00797633" w:rsidRPr="007263D7">
        <w:rPr>
          <w:rFonts w:eastAsia="Times New Roman"/>
          <w:lang w:eastAsia="es-MX"/>
        </w:rPr>
        <w:t>debilita</w:t>
      </w:r>
      <w:r w:rsidR="009F6CF4" w:rsidRPr="007263D7">
        <w:rPr>
          <w:rFonts w:eastAsia="Times New Roman"/>
          <w:lang w:eastAsia="es-MX"/>
        </w:rPr>
        <w:t xml:space="preserve"> el objetivo de la caducidad, que es evitar la prolongación indefinida de litigios por actos que deben ser contestados en un tiempo determinad</w:t>
      </w:r>
      <w:r w:rsidR="00DD7029" w:rsidRPr="007263D7">
        <w:rPr>
          <w:rFonts w:eastAsia="Times New Roman"/>
          <w:lang w:eastAsia="es-MX"/>
        </w:rPr>
        <w:t>o</w:t>
      </w:r>
      <w:r w:rsidR="00797633" w:rsidRPr="007263D7">
        <w:rPr>
          <w:rFonts w:eastAsia="Times New Roman"/>
          <w:lang w:eastAsia="es-MX"/>
        </w:rPr>
        <w:t xml:space="preserve">, pues la extensión </w:t>
      </w:r>
      <w:r w:rsidR="00DD7029" w:rsidRPr="007263D7">
        <w:rPr>
          <w:rFonts w:eastAsia="Times New Roman"/>
          <w:lang w:eastAsia="es-MX"/>
        </w:rPr>
        <w:t xml:space="preserve">opera </w:t>
      </w:r>
      <w:r w:rsidR="00797633" w:rsidRPr="007263D7">
        <w:rPr>
          <w:rFonts w:eastAsia="Times New Roman"/>
          <w:lang w:eastAsia="es-MX"/>
        </w:rPr>
        <w:t>solo hasta el primer día hábil siguiente al día feriado o de vacancia</w:t>
      </w:r>
      <w:r w:rsidR="009F6CF4" w:rsidRPr="007263D7">
        <w:rPr>
          <w:rFonts w:eastAsia="Times New Roman"/>
          <w:lang w:eastAsia="es-MX"/>
        </w:rPr>
        <w:t>.</w:t>
      </w:r>
    </w:p>
    <w:p w14:paraId="0D7ED4FB" w14:textId="77777777" w:rsidR="00813F93" w:rsidRPr="007263D7" w:rsidRDefault="00813F93" w:rsidP="00C87B5A">
      <w:pPr>
        <w:suppressAutoHyphens w:val="0"/>
        <w:jc w:val="both"/>
        <w:textAlignment w:val="baseline"/>
        <w:rPr>
          <w:rFonts w:ascii="Times New Roman" w:eastAsia="Times New Roman" w:hAnsi="Times New Roman" w:cs="Times New Roman"/>
          <w:sz w:val="28"/>
          <w:szCs w:val="28"/>
          <w:lang w:val="es-US" w:eastAsia="es-MX"/>
        </w:rPr>
      </w:pPr>
    </w:p>
    <w:p w14:paraId="55BD551C" w14:textId="08F7D78F" w:rsidR="00813F93" w:rsidRPr="007263D7" w:rsidRDefault="00813F93" w:rsidP="00C87B5A">
      <w:pPr>
        <w:pStyle w:val="Prrafodelista"/>
        <w:rPr>
          <w:rFonts w:eastAsia="Times New Roman"/>
          <w:lang w:eastAsia="es-MX"/>
        </w:rPr>
      </w:pPr>
      <w:r w:rsidRPr="007263D7">
        <w:rPr>
          <w:rFonts w:eastAsia="Times New Roman"/>
          <w:lang w:eastAsia="es-MX"/>
        </w:rPr>
        <w:t xml:space="preserve">Por lo tanto, </w:t>
      </w:r>
      <w:r w:rsidR="00DD7029" w:rsidRPr="007263D7">
        <w:rPr>
          <w:rFonts w:eastAsia="Times New Roman"/>
          <w:lang w:eastAsia="es-MX"/>
        </w:rPr>
        <w:t xml:space="preserve">al trasladar estas consideraciones al caso que ocupa a la Corte en esta oportunidad, se tiene que </w:t>
      </w:r>
      <w:r w:rsidRPr="007263D7">
        <w:rPr>
          <w:rFonts w:eastAsia="Times New Roman"/>
          <w:lang w:eastAsia="es-MX"/>
        </w:rPr>
        <w:t xml:space="preserve">el plazo de un año para presentar la demanda por vicios de forma expiró el 4 de enero de 2024. Sin embargo, al tratarse de un día de vacancia judicial, el plazo se extiende hasta el primer día hábil siguiente, </w:t>
      </w:r>
      <w:r w:rsidR="00797633" w:rsidRPr="007263D7">
        <w:rPr>
          <w:rFonts w:eastAsia="Times New Roman"/>
          <w:lang w:eastAsia="es-MX"/>
        </w:rPr>
        <w:t>de acuerdo con el</w:t>
      </w:r>
      <w:r w:rsidRPr="007263D7">
        <w:rPr>
          <w:rFonts w:eastAsia="Times New Roman"/>
          <w:lang w:eastAsia="es-MX"/>
        </w:rPr>
        <w:t xml:space="preserve"> artículo 62 del Código de Régimen Político y Municipal</w:t>
      </w:r>
      <w:r w:rsidR="00CA2AED" w:rsidRPr="007263D7">
        <w:rPr>
          <w:rFonts w:eastAsia="Times New Roman"/>
          <w:vertAlign w:val="superscript"/>
          <w:lang w:eastAsia="es-MX"/>
        </w:rPr>
        <w:footnoteReference w:id="19"/>
      </w:r>
      <w:r w:rsidRPr="007263D7">
        <w:rPr>
          <w:rFonts w:eastAsia="Times New Roman"/>
          <w:lang w:eastAsia="es-MX"/>
        </w:rPr>
        <w:t>. El primer día hábil siguiente al 4 de enero de 2024 fue el 11 de enero del mismo año, fecha en la que el actor presentó su demanda de inconstitucionalidad</w:t>
      </w:r>
      <w:r w:rsidR="00F766E2" w:rsidRPr="007263D7">
        <w:rPr>
          <w:rFonts w:eastAsia="Times New Roman"/>
          <w:lang w:eastAsia="es-MX"/>
        </w:rPr>
        <w:t>. De acuerdo con lo dicho hasta aquí, la Corte concluye que la demanda</w:t>
      </w:r>
      <w:r w:rsidRPr="007263D7">
        <w:rPr>
          <w:rFonts w:eastAsia="Times New Roman"/>
          <w:lang w:eastAsia="es-MX"/>
        </w:rPr>
        <w:t xml:space="preserve"> fue presentada a tiempo</w:t>
      </w:r>
      <w:r w:rsidR="00F766E2" w:rsidRPr="007263D7">
        <w:rPr>
          <w:rFonts w:eastAsia="Times New Roman"/>
          <w:lang w:eastAsia="es-MX"/>
        </w:rPr>
        <w:t xml:space="preserve"> y que, por lo tanto, en este caso no operó el fenómeno de caducidad de la acción constitucional</w:t>
      </w:r>
      <w:r w:rsidRPr="007263D7">
        <w:rPr>
          <w:rFonts w:eastAsia="Times New Roman"/>
          <w:lang w:eastAsia="es-MX"/>
        </w:rPr>
        <w:t>.</w:t>
      </w:r>
    </w:p>
    <w:p w14:paraId="10E00671" w14:textId="77777777" w:rsidR="004F6BDC" w:rsidRPr="007263D7" w:rsidRDefault="004F6BDC" w:rsidP="00C87B5A">
      <w:pPr>
        <w:suppressAutoHyphens w:val="0"/>
        <w:rPr>
          <w:rFonts w:ascii="Times New Roman" w:eastAsia="Times New Roman" w:hAnsi="Times New Roman" w:cs="Times New Roman"/>
          <w:sz w:val="28"/>
          <w:szCs w:val="28"/>
          <w:lang w:val="es-US" w:eastAsia="es-MX"/>
        </w:rPr>
      </w:pPr>
    </w:p>
    <w:p w14:paraId="0953BAC9" w14:textId="57591F55" w:rsidR="007B2B64" w:rsidRPr="007263D7" w:rsidRDefault="004F6BDC" w:rsidP="00C87B5A">
      <w:pPr>
        <w:suppressAutoHyphens w:val="0"/>
        <w:rPr>
          <w:rFonts w:ascii="Times New Roman" w:hAnsi="Times New Roman" w:cs="Times New Roman"/>
          <w:b/>
          <w:color w:val="000000" w:themeColor="text1"/>
          <w:sz w:val="28"/>
          <w:szCs w:val="28"/>
          <w:lang w:val="es-ES"/>
        </w:rPr>
      </w:pPr>
      <w:r w:rsidRPr="007263D7">
        <w:rPr>
          <w:rFonts w:ascii="Times New Roman" w:hAnsi="Times New Roman" w:cs="Times New Roman"/>
          <w:b/>
          <w:color w:val="000000" w:themeColor="text1"/>
          <w:sz w:val="28"/>
          <w:szCs w:val="28"/>
          <w:lang w:val="es-ES"/>
        </w:rPr>
        <w:t>3. Segunda c</w:t>
      </w:r>
      <w:r w:rsidR="00102D29" w:rsidRPr="007263D7">
        <w:rPr>
          <w:rFonts w:ascii="Times New Roman" w:hAnsi="Times New Roman" w:cs="Times New Roman"/>
          <w:b/>
          <w:color w:val="000000" w:themeColor="text1"/>
          <w:sz w:val="28"/>
          <w:szCs w:val="28"/>
          <w:lang w:val="es-ES"/>
        </w:rPr>
        <w:t xml:space="preserve">uestión previa: análisis de la cosa juzgada </w:t>
      </w:r>
    </w:p>
    <w:p w14:paraId="206E910E" w14:textId="77777777" w:rsidR="009B06BB" w:rsidRPr="007263D7" w:rsidRDefault="009B06BB" w:rsidP="00C87B5A">
      <w:pPr>
        <w:suppressAutoHyphens w:val="0"/>
        <w:rPr>
          <w:rFonts w:ascii="Times New Roman" w:hAnsi="Times New Roman" w:cs="Times New Roman"/>
          <w:b/>
          <w:color w:val="000000" w:themeColor="text1"/>
          <w:sz w:val="28"/>
          <w:szCs w:val="28"/>
          <w:lang w:val="es-ES"/>
        </w:rPr>
      </w:pPr>
    </w:p>
    <w:p w14:paraId="11748229" w14:textId="6395A15E" w:rsidR="00102D29" w:rsidRPr="007263D7" w:rsidRDefault="00102D29" w:rsidP="00C87B5A">
      <w:pPr>
        <w:pStyle w:val="Prrafodelista"/>
      </w:pPr>
      <w:r w:rsidRPr="007263D7">
        <w:t>La Sala Plena encuentra que es necesario pronunciarse sobre la eventual configuración de la cosa juzgada respecto de las disposiciones que acusó el ciud</w:t>
      </w:r>
      <w:r w:rsidR="00280E2D" w:rsidRPr="007263D7">
        <w:t>a</w:t>
      </w:r>
      <w:r w:rsidRPr="007263D7">
        <w:t xml:space="preserve">dano </w:t>
      </w:r>
      <w:r w:rsidR="00280E2D" w:rsidRPr="007263D7">
        <w:t>Harold Sua Montaña.</w:t>
      </w:r>
      <w:r w:rsidRPr="007263D7">
        <w:t xml:space="preserve"> En efecto, durante el trámite del presente proceso de constitucionalidad, este Tribunal profirió la </w:t>
      </w:r>
      <w:r w:rsidR="007211B6" w:rsidRPr="007263D7">
        <w:t>S</w:t>
      </w:r>
      <w:r w:rsidRPr="007263D7">
        <w:t>entencia C</w:t>
      </w:r>
      <w:r w:rsidR="00280E2D" w:rsidRPr="007263D7">
        <w:t>-161</w:t>
      </w:r>
      <w:r w:rsidRPr="007263D7">
        <w:t xml:space="preserve"> del </w:t>
      </w:r>
      <w:r w:rsidR="00280E2D" w:rsidRPr="007263D7">
        <w:t>8 de mayo</w:t>
      </w:r>
      <w:r w:rsidRPr="007263D7">
        <w:t xml:space="preserve"> de </w:t>
      </w:r>
      <w:r w:rsidR="00280E2D" w:rsidRPr="007263D7">
        <w:t>2024</w:t>
      </w:r>
      <w:r w:rsidRPr="007263D7">
        <w:t xml:space="preserve"> dentro de</w:t>
      </w:r>
      <w:r w:rsidR="007B2B64" w:rsidRPr="007263D7">
        <w:t xml:space="preserve">l </w:t>
      </w:r>
      <w:r w:rsidRPr="007263D7">
        <w:t xml:space="preserve">expediente </w:t>
      </w:r>
      <w:r w:rsidR="00280E2D" w:rsidRPr="007263D7">
        <w:t>D-15146</w:t>
      </w:r>
      <w:r w:rsidR="007211B6" w:rsidRPr="007263D7">
        <w:t>,</w:t>
      </w:r>
      <w:r w:rsidR="00280E2D" w:rsidRPr="007263D7">
        <w:t xml:space="preserve"> </w:t>
      </w:r>
      <w:r w:rsidR="007211B6" w:rsidRPr="007263D7">
        <w:t>en la que</w:t>
      </w:r>
      <w:r w:rsidRPr="007263D7">
        <w:t xml:space="preserve"> resolvió </w:t>
      </w:r>
      <w:r w:rsidR="00B957B6" w:rsidRPr="007263D7">
        <w:t>la</w:t>
      </w:r>
      <w:r w:rsidRPr="007263D7">
        <w:t xml:space="preserve"> demanda formulada contra la Ley </w:t>
      </w:r>
      <w:r w:rsidR="00280E2D" w:rsidRPr="007263D7">
        <w:t>2281</w:t>
      </w:r>
      <w:r w:rsidRPr="007263D7">
        <w:t xml:space="preserve"> de 2023, “[p]</w:t>
      </w:r>
      <w:r w:rsidR="00280E2D" w:rsidRPr="007263D7">
        <w:t xml:space="preserve">or medio de la cual se crea el </w:t>
      </w:r>
      <w:r w:rsidR="00433435" w:rsidRPr="007263D7">
        <w:t>M</w:t>
      </w:r>
      <w:r w:rsidR="00280E2D" w:rsidRPr="007263D7">
        <w:t xml:space="preserve">inisterio de </w:t>
      </w:r>
      <w:r w:rsidR="00433435" w:rsidRPr="007263D7">
        <w:t>I</w:t>
      </w:r>
      <w:r w:rsidR="00280E2D" w:rsidRPr="007263D7">
        <w:t xml:space="preserve">gualdad y </w:t>
      </w:r>
      <w:r w:rsidR="00433435" w:rsidRPr="007263D7">
        <w:t>E</w:t>
      </w:r>
      <w:r w:rsidR="00280E2D" w:rsidRPr="007263D7">
        <w:t>quidad y se dictan otras disposiciones</w:t>
      </w:r>
      <w:r w:rsidRPr="007263D7">
        <w:t>”</w:t>
      </w:r>
      <w:r w:rsidRPr="007263D7">
        <w:rPr>
          <w:i/>
          <w:iCs/>
        </w:rPr>
        <w:t>.</w:t>
      </w:r>
      <w:r w:rsidRPr="007263D7">
        <w:t xml:space="preserve"> En esa providencia </w:t>
      </w:r>
      <w:r w:rsidR="00C34170" w:rsidRPr="007263D7">
        <w:t xml:space="preserve">la Corte </w:t>
      </w:r>
      <w:r w:rsidRPr="007263D7">
        <w:t xml:space="preserve">declaró la inexequibilidad de </w:t>
      </w:r>
      <w:r w:rsidR="00C34170" w:rsidRPr="007263D7">
        <w:t>la ley demandada, por vicios de procedimiento, y difirió los efectos de la decisión por el término de dos legislaturas.</w:t>
      </w:r>
    </w:p>
    <w:p w14:paraId="3DB2263A" w14:textId="77777777" w:rsidR="00102D29" w:rsidRPr="007263D7" w:rsidRDefault="00102D29" w:rsidP="00C87B5A">
      <w:pPr>
        <w:pStyle w:val="Prrafodelista"/>
        <w:numPr>
          <w:ilvl w:val="0"/>
          <w:numId w:val="0"/>
        </w:numPr>
      </w:pPr>
    </w:p>
    <w:p w14:paraId="74F9B97D" w14:textId="68A9744A" w:rsidR="00102D29" w:rsidRPr="007263D7" w:rsidRDefault="00102D29" w:rsidP="00C87B5A">
      <w:pPr>
        <w:pStyle w:val="Prrafodelista"/>
      </w:pPr>
      <w:r w:rsidRPr="007263D7">
        <w:t xml:space="preserve">Para analizar si en este caso se configura la cosa juzgada, en una primera parte, la Sala hará una breve alusión a ese fenómeno y a sus tipologías. En una segunda parte, la Corte se referirá al contenido de la </w:t>
      </w:r>
      <w:r w:rsidR="007211B6" w:rsidRPr="007263D7">
        <w:t>S</w:t>
      </w:r>
      <w:r w:rsidRPr="007263D7">
        <w:t>entencia C-</w:t>
      </w:r>
      <w:r w:rsidR="00052A29" w:rsidRPr="007263D7">
        <w:t>161</w:t>
      </w:r>
      <w:r w:rsidRPr="007263D7">
        <w:t xml:space="preserve"> de 2024. Finalmente, en una tercera parte, este Tribunal definirá si, en este caso, frente </w:t>
      </w:r>
      <w:r w:rsidR="00052A29" w:rsidRPr="007263D7">
        <w:t xml:space="preserve">a </w:t>
      </w:r>
      <w:r w:rsidRPr="007263D7">
        <w:t xml:space="preserve">la Ley </w:t>
      </w:r>
      <w:r w:rsidR="00052A29" w:rsidRPr="007263D7">
        <w:t>2281</w:t>
      </w:r>
      <w:r w:rsidRPr="007263D7">
        <w:t xml:space="preserve"> de 2023</w:t>
      </w:r>
      <w:r w:rsidR="007211B6" w:rsidRPr="007263D7">
        <w:t>,</w:t>
      </w:r>
      <w:r w:rsidRPr="007263D7">
        <w:t xml:space="preserve"> operó o no el fenómeno de la cosa juzgada.</w:t>
      </w:r>
    </w:p>
    <w:p w14:paraId="358902D1" w14:textId="77777777" w:rsidR="00A03EAB" w:rsidRPr="007263D7" w:rsidRDefault="00A03EAB" w:rsidP="00C87B5A">
      <w:pPr>
        <w:pStyle w:val="Prrafodelista"/>
        <w:numPr>
          <w:ilvl w:val="0"/>
          <w:numId w:val="0"/>
        </w:numPr>
      </w:pPr>
    </w:p>
    <w:p w14:paraId="2B4DD531" w14:textId="591F7211" w:rsidR="00102D29" w:rsidRPr="007263D7" w:rsidRDefault="00797633" w:rsidP="00C87B5A">
      <w:pPr>
        <w:suppressAutoHyphens w:val="0"/>
        <w:rPr>
          <w:rFonts w:ascii="Times New Roman" w:hAnsi="Times New Roman" w:cs="Times New Roman"/>
          <w:b/>
          <w:bCs/>
          <w:color w:val="000000" w:themeColor="text1"/>
          <w:sz w:val="28"/>
          <w:szCs w:val="28"/>
          <w:lang w:val="es-ES"/>
        </w:rPr>
      </w:pPr>
      <w:r w:rsidRPr="007263D7">
        <w:rPr>
          <w:rFonts w:ascii="Times New Roman" w:hAnsi="Times New Roman" w:cs="Times New Roman"/>
          <w:b/>
          <w:bCs/>
          <w:color w:val="000000" w:themeColor="text1"/>
          <w:sz w:val="28"/>
          <w:szCs w:val="28"/>
          <w:lang w:val="es-ES"/>
        </w:rPr>
        <w:t>3</w:t>
      </w:r>
      <w:r w:rsidR="00F52A2A" w:rsidRPr="007263D7">
        <w:rPr>
          <w:rFonts w:ascii="Times New Roman" w:hAnsi="Times New Roman" w:cs="Times New Roman"/>
          <w:b/>
          <w:bCs/>
          <w:color w:val="000000" w:themeColor="text1"/>
          <w:sz w:val="28"/>
          <w:szCs w:val="28"/>
          <w:lang w:val="es-ES"/>
        </w:rPr>
        <w:t xml:space="preserve">.1. </w:t>
      </w:r>
      <w:r w:rsidR="00102D29" w:rsidRPr="007263D7">
        <w:rPr>
          <w:rFonts w:ascii="Times New Roman" w:hAnsi="Times New Roman" w:cs="Times New Roman"/>
          <w:b/>
          <w:bCs/>
          <w:color w:val="000000" w:themeColor="text1"/>
          <w:sz w:val="28"/>
          <w:szCs w:val="28"/>
          <w:lang w:val="es-ES"/>
        </w:rPr>
        <w:t>La institución de la cosa juzgada constitucional. Reiteración de jurisprudencia</w:t>
      </w:r>
      <w:r w:rsidR="00102D29" w:rsidRPr="007263D7">
        <w:rPr>
          <w:rStyle w:val="Refdenotaalpie"/>
          <w:rFonts w:ascii="Times New Roman" w:hAnsi="Times New Roman" w:cs="Times New Roman"/>
          <w:color w:val="000000" w:themeColor="text1"/>
          <w:sz w:val="28"/>
          <w:szCs w:val="28"/>
          <w:lang w:val="es-ES"/>
        </w:rPr>
        <w:footnoteReference w:id="20"/>
      </w:r>
    </w:p>
    <w:p w14:paraId="63F8781D" w14:textId="3FF5FCE0" w:rsidR="00102D29" w:rsidRPr="007263D7" w:rsidRDefault="00102D29" w:rsidP="00C87B5A">
      <w:pPr>
        <w:pStyle w:val="Prrafodelista"/>
        <w:numPr>
          <w:ilvl w:val="0"/>
          <w:numId w:val="0"/>
        </w:numPr>
      </w:pPr>
    </w:p>
    <w:p w14:paraId="1D7C538D" w14:textId="77777777" w:rsidR="00634A83" w:rsidRPr="007263D7" w:rsidRDefault="00102D29" w:rsidP="00C87B5A">
      <w:pPr>
        <w:pStyle w:val="Prrafodelista"/>
        <w:rPr>
          <w:b/>
          <w:bCs/>
        </w:rPr>
      </w:pPr>
      <w:r w:rsidRPr="007263D7">
        <w:t>La cosa juzgada constitucional encuentra sustento en el artículo 243 de la Constitución que dispone que las sentencias que la Corte dicta “en ejercicio del control jurisdiccional hacen tránsito a cosa juzgada constitucional”, razón por la cual “[n]inguna autoridad podrá reproducir el contenido material del acto jurídico declarado inexequible</w:t>
      </w:r>
      <w:r w:rsidR="00C47191" w:rsidRPr="007263D7">
        <w:t xml:space="preserve"> </w:t>
      </w:r>
      <w:r w:rsidRPr="007263D7">
        <w:t>por razones de fondo, mientras subsistan en la Carta las disposiciones que sirvieron para hacer la confrontación entre la norma ordinaria y la Constitución”</w:t>
      </w:r>
      <w:r w:rsidRPr="007263D7">
        <w:rPr>
          <w:rStyle w:val="Refdenotaalpie"/>
          <w:color w:val="000000" w:themeColor="text1"/>
        </w:rPr>
        <w:footnoteReference w:id="21"/>
      </w:r>
      <w:r w:rsidRPr="007263D7">
        <w:t>. Por su parte, los artículos 48 de la Ley Estatutaria 270 de 1996 y 21 del Decreto Ley 2067 de 1991 señalan que todas las sentencias que profiera la Corte en ejercicio de sus competencias de control abstracto “son definitivas, de obligatorio cumplimiento y tienen efectos [generales]”</w:t>
      </w:r>
      <w:r w:rsidRPr="007263D7">
        <w:rPr>
          <w:rStyle w:val="Refdenotaalpie"/>
          <w:color w:val="000000" w:themeColor="text1"/>
        </w:rPr>
        <w:footnoteReference w:id="22"/>
      </w:r>
      <w:r w:rsidRPr="007263D7">
        <w:t>. Por esas razones, en principio, la Sala Plena no puede pronunciarse sobre un asunto debatido y fallado con anterioridad.</w:t>
      </w:r>
    </w:p>
    <w:p w14:paraId="1D909E3E" w14:textId="77777777" w:rsidR="00634A83" w:rsidRPr="007263D7" w:rsidRDefault="00634A83" w:rsidP="00C87B5A">
      <w:pPr>
        <w:pStyle w:val="Estilo1"/>
        <w:numPr>
          <w:ilvl w:val="0"/>
          <w:numId w:val="0"/>
        </w:numPr>
        <w:spacing w:after="0" w:line="240" w:lineRule="auto"/>
      </w:pPr>
    </w:p>
    <w:p w14:paraId="7A3D5105" w14:textId="6BA1F48D" w:rsidR="00102D29" w:rsidRPr="007263D7" w:rsidRDefault="00102D29" w:rsidP="00C87B5A">
      <w:pPr>
        <w:pStyle w:val="Prrafodelista"/>
        <w:rPr>
          <w:b/>
          <w:bCs/>
        </w:rPr>
      </w:pPr>
      <w:r w:rsidRPr="007263D7">
        <w:t xml:space="preserve">En las sentencias C-101 de 2022 y C-227 de 2023 la </w:t>
      </w:r>
      <w:r w:rsidR="005A3E4A" w:rsidRPr="007263D7">
        <w:t xml:space="preserve">Corte </w:t>
      </w:r>
      <w:r w:rsidRPr="007263D7">
        <w:t xml:space="preserve">reiteró que, para determinar si se configura la cosa juzgada, existen tres parámetros que deben concurrir en cada caso concreto. Primero, </w:t>
      </w:r>
      <w:r w:rsidR="00634A83" w:rsidRPr="007263D7">
        <w:t>que la demanda proponga estudiar el mismo contenido normativo adscrito (i) al mismo enunciado normativo ya evaluado en una sentencia anterior o (ii) a un enunciado diferente con significado equivalente</w:t>
      </w:r>
      <w:r w:rsidRPr="007263D7">
        <w:t xml:space="preserve">. Segundo, que se presenten los mismos argumentos o cuestionamientos en el fallo antecedente. </w:t>
      </w:r>
      <w:r w:rsidRPr="007263D7">
        <w:rPr>
          <w:shd w:val="clear" w:color="auto" w:fill="FFFFFF"/>
        </w:rPr>
        <w:t xml:space="preserve">Sin embargo, en este criterio se debe precisar que en el caso del control automático e integral no se tienen en cuenta los argumentos planteados, dado que, en general, la decisión que allí se toma hace tránsito a cosa juzgada absoluta. </w:t>
      </w:r>
      <w:r w:rsidRPr="007263D7">
        <w:t xml:space="preserve">Tercero, que no haya variado el parámetro normativo de control. </w:t>
      </w:r>
    </w:p>
    <w:p w14:paraId="1D5A31F7" w14:textId="77777777" w:rsidR="00102D29" w:rsidRPr="007263D7" w:rsidRDefault="00102D29" w:rsidP="00C87B5A">
      <w:pPr>
        <w:pStyle w:val="Prrafodelista"/>
        <w:numPr>
          <w:ilvl w:val="0"/>
          <w:numId w:val="0"/>
        </w:numPr>
      </w:pPr>
    </w:p>
    <w:p w14:paraId="283BA208" w14:textId="18AC50A7" w:rsidR="00102D29" w:rsidRPr="007263D7" w:rsidRDefault="00102D29" w:rsidP="00C87B5A">
      <w:pPr>
        <w:pStyle w:val="Prrafodelista"/>
        <w:rPr>
          <w:b/>
          <w:bCs/>
        </w:rPr>
      </w:pPr>
      <w:r w:rsidRPr="007263D7">
        <w:t>La jurisprudencia de esta Corporación desarrolló una tipología de esta figura con el fin de identificar su configuración en casos concretos, así como su alcance</w:t>
      </w:r>
      <w:r w:rsidRPr="007263D7">
        <w:rPr>
          <w:rStyle w:val="Refdenotaalpie"/>
          <w:color w:val="000000" w:themeColor="text1"/>
          <w:lang w:val="es-ES"/>
        </w:rPr>
        <w:footnoteReference w:id="23"/>
      </w:r>
      <w:r w:rsidRPr="007263D7">
        <w:t xml:space="preserve">. En la </w:t>
      </w:r>
      <w:r w:rsidR="005A3E4A" w:rsidRPr="007263D7">
        <w:t>S</w:t>
      </w:r>
      <w:r w:rsidRPr="007263D7">
        <w:t>entencia C-</w:t>
      </w:r>
      <w:r w:rsidR="00B957B6" w:rsidRPr="007263D7">
        <w:t>774</w:t>
      </w:r>
      <w:r w:rsidRPr="007263D7">
        <w:t xml:space="preserve"> de 20</w:t>
      </w:r>
      <w:r w:rsidR="00B957B6" w:rsidRPr="007263D7">
        <w:t>0</w:t>
      </w:r>
      <w:r w:rsidRPr="007263D7">
        <w:t>1, la Corte hizo un recuento de los diferentes tipos de cosa juzgada constitucional</w:t>
      </w:r>
      <w:r w:rsidRPr="007263D7">
        <w:rPr>
          <w:rStyle w:val="Refdenotaalpie"/>
          <w:color w:val="000000" w:themeColor="text1"/>
          <w:lang w:val="es-ES"/>
        </w:rPr>
        <w:footnoteReference w:id="24"/>
      </w:r>
      <w:r w:rsidRPr="007263D7">
        <w:t>. En primer lugar, existe la cosa juzgada formal que opera cuando la Sala Plena ya se pronunció sobre la disposición demandada y que trae como consecuencia que la Corte Constitucional deba estarse a lo resuelto en la sentencia previa. En segundo lugar, existe la cosa juzgada material que se presenta cuando se acusa una disposición que es formalmente distinta, pero que tiene un contenido normativo idéntico al de otra que ya fue controlada por esta Corporación en sede de control de constitucionalidad</w:t>
      </w:r>
      <w:r w:rsidRPr="007263D7">
        <w:rPr>
          <w:rStyle w:val="Refdenotaalpie"/>
          <w:color w:val="000000" w:themeColor="text1"/>
          <w:lang w:val="es-ES"/>
        </w:rPr>
        <w:footnoteReference w:id="25"/>
      </w:r>
      <w:r w:rsidRPr="007263D7">
        <w:t xml:space="preserve">. Desde esa perspectiva, para definir si en un caso concreto se genera la cosa juzgada material, hay que evaluar si existe una decisión de constitucionalidad anterior sobre una regla de derecho idéntica, pero contenida en distintas disposiciones jurídicas y, luego, determinar </w:t>
      </w:r>
      <w:r w:rsidR="00634A83" w:rsidRPr="007263D7">
        <w:t>si hay identidad</w:t>
      </w:r>
      <w:r w:rsidRPr="007263D7">
        <w:t xml:space="preserve"> “entre los cargos del pasado y del presente y el análisis constitucional de fondo sobre la proposición jurídica”</w:t>
      </w:r>
      <w:r w:rsidRPr="007263D7">
        <w:rPr>
          <w:rStyle w:val="Refdenotaalpie"/>
          <w:color w:val="000000" w:themeColor="text1"/>
          <w:lang w:val="es-ES"/>
        </w:rPr>
        <w:footnoteReference w:id="26"/>
      </w:r>
      <w:r w:rsidRPr="007263D7">
        <w:t xml:space="preserve">. En efecto, para que se configure ese fenómeno, es necesario que exista “identidad de </w:t>
      </w:r>
      <w:r w:rsidRPr="007263D7">
        <w:rPr>
          <w:i/>
          <w:iCs/>
        </w:rPr>
        <w:t>causa petendi</w:t>
      </w:r>
      <w:r w:rsidRPr="007263D7">
        <w:t>”</w:t>
      </w:r>
      <w:r w:rsidRPr="007263D7">
        <w:rPr>
          <w:rStyle w:val="Refdenotaalpie"/>
          <w:color w:val="000000" w:themeColor="text1"/>
          <w:lang w:val="es-ES"/>
        </w:rPr>
        <w:footnoteReference w:id="27"/>
      </w:r>
      <w:r w:rsidRPr="007263D7">
        <w:t xml:space="preserve">. </w:t>
      </w:r>
    </w:p>
    <w:p w14:paraId="12C3C375" w14:textId="77777777" w:rsidR="00102D29" w:rsidRPr="007263D7" w:rsidRDefault="00102D29" w:rsidP="00C87B5A">
      <w:pPr>
        <w:pStyle w:val="Prrafodelista"/>
        <w:numPr>
          <w:ilvl w:val="0"/>
          <w:numId w:val="0"/>
        </w:numPr>
      </w:pPr>
    </w:p>
    <w:p w14:paraId="7B2E1BF8" w14:textId="52EFE187" w:rsidR="00102D29" w:rsidRPr="007263D7" w:rsidRDefault="00102D29" w:rsidP="00C87B5A">
      <w:pPr>
        <w:pStyle w:val="Prrafodelista"/>
        <w:rPr>
          <w:b/>
          <w:bCs/>
        </w:rPr>
      </w:pPr>
      <w:r w:rsidRPr="007263D7">
        <w:t xml:space="preserve">En tercer lugar, la </w:t>
      </w:r>
      <w:r w:rsidR="00433435" w:rsidRPr="007263D7">
        <w:t>Corte</w:t>
      </w:r>
      <w:r w:rsidRPr="007263D7">
        <w:t xml:space="preserve"> distingue la cosa juzgada absoluta de la relativa y de la aparente. La absoluta se presenta cuando, en la sentencia previa, la Sala Plena no limitó el pronunciamiento de constitucionalidad sobre el enunciado normativo analizado a unos cargos determinados, de manera que esa disposición no puede ser examinada nuevamente, pues se entiende que el control de constitucionalidad se ejerció respecto a la integralidad de la Constitución. La cosa juzgada absoluta también se presenta cuando la Corte declara la inexequibilidad de una norma jurídica</w:t>
      </w:r>
      <w:r w:rsidRPr="007263D7">
        <w:rPr>
          <w:rStyle w:val="Refdenotaalpie"/>
          <w:color w:val="000000" w:themeColor="text1"/>
          <w:lang w:val="es-ES"/>
        </w:rPr>
        <w:footnoteReference w:id="28"/>
      </w:r>
      <w:r w:rsidRPr="007263D7">
        <w:t>. Por el contrario, la cosa juzgada relativa opera cuando, de forma explícita o implícita, la Sala Plena restringió los efectos de su decisión a los cargos analizados, razón por la cual es posible un nuevo pronunciamiento sobre la disposición en caso de que la misma sea acusada por cargos nuevos, distintos a los ya examinados. Por su lado, la cosa juzgada aparente se configura cuando, a pesar de haberse proferido “una decisión en la parte resolutiva declarando la exequibilidad, en realidad no se efectuó análisis alguno de constitucionalidad”</w:t>
      </w:r>
      <w:r w:rsidRPr="007263D7">
        <w:rPr>
          <w:rStyle w:val="Refdenotaalpie"/>
          <w:color w:val="000000" w:themeColor="text1"/>
          <w:lang w:val="es-ES"/>
        </w:rPr>
        <w:footnoteReference w:id="29"/>
      </w:r>
      <w:r w:rsidRPr="007263D7">
        <w:t xml:space="preserve"> de forma que la Corte puede pronunciarse de fondo sobre la disposición respectiva</w:t>
      </w:r>
      <w:r w:rsidRPr="007263D7">
        <w:rPr>
          <w:rStyle w:val="Refdenotaalpie"/>
          <w:color w:val="000000" w:themeColor="text1"/>
          <w:lang w:val="es-ES"/>
        </w:rPr>
        <w:footnoteReference w:id="30"/>
      </w:r>
      <w:r w:rsidRPr="007263D7">
        <w:t xml:space="preserve">.  </w:t>
      </w:r>
    </w:p>
    <w:p w14:paraId="32F3E956" w14:textId="77777777" w:rsidR="00102D29" w:rsidRPr="007263D7" w:rsidRDefault="00102D29" w:rsidP="00C87B5A">
      <w:pPr>
        <w:pStyle w:val="Prrafodelista"/>
        <w:numPr>
          <w:ilvl w:val="0"/>
          <w:numId w:val="0"/>
        </w:numPr>
      </w:pPr>
    </w:p>
    <w:p w14:paraId="524B65D4" w14:textId="741A0048" w:rsidR="00102D29" w:rsidRPr="007263D7" w:rsidRDefault="00102D29" w:rsidP="00C87B5A">
      <w:pPr>
        <w:pStyle w:val="Prrafodelista"/>
        <w:rPr>
          <w:b/>
          <w:bCs/>
        </w:rPr>
      </w:pPr>
      <w:r w:rsidRPr="007263D7">
        <w:t>De otra parte, la Corte diferencia los efectos de la cosa juzgada constitucional material y de la cosa juzgada formal dependiendo de si su decisión es de exequibilidad o inexequibilidad</w:t>
      </w:r>
      <w:r w:rsidRPr="007263D7">
        <w:rPr>
          <w:rStyle w:val="Refdenotaalpie"/>
          <w:color w:val="000000" w:themeColor="text1"/>
          <w:lang w:val="es-ES"/>
        </w:rPr>
        <w:footnoteReference w:id="31"/>
      </w:r>
      <w:r w:rsidRPr="007263D7">
        <w:t>. En el caso de que la norma sea declarada conforme a la Constitución, se presentan varias situaciones</w:t>
      </w:r>
      <w:r w:rsidRPr="007263D7">
        <w:rPr>
          <w:rStyle w:val="Refdenotaalpie"/>
          <w:color w:val="000000" w:themeColor="text1"/>
          <w:lang w:val="es-ES"/>
        </w:rPr>
        <w:footnoteReference w:id="32"/>
      </w:r>
      <w:r w:rsidRPr="007263D7">
        <w:t>: (i) la intangibilidad del fallo puede limitarse de manera expresa o implícita por la Corte, como se indicó mediante la cosa juzgada relativa; (ii) su declaratoria brinda seguridad jurídica a los operadores jurídicos para que continúen aplicando la disposición; y (iii) la competencia de la Corte para estudiar una nueva demanda contra ese mismo precepto o uno nuevo que reproduzca el mismo contenido normativo por razones similares podría llevarse a cabo únicamente ante el debilitamiento de la cosa juzgada</w:t>
      </w:r>
      <w:r w:rsidRPr="007263D7">
        <w:rPr>
          <w:rStyle w:val="Refdenotaalpie"/>
          <w:color w:val="000000" w:themeColor="text1"/>
          <w:lang w:val="es-ES"/>
        </w:rPr>
        <w:footnoteReference w:id="33"/>
      </w:r>
      <w:r w:rsidRPr="007263D7">
        <w:t xml:space="preserve">, lo que ocurre con la modificación de la norma constitucional en la que se apoyaba, el cambio en la significación material de la Constitución y la variación del contexto jurídico, social o económico en el que </w:t>
      </w:r>
      <w:r w:rsidR="009F1CFF" w:rsidRPr="007263D7">
        <w:t>ocurrió</w:t>
      </w:r>
      <w:r w:rsidRPr="007263D7">
        <w:t xml:space="preserve"> el control de constitucionalidad</w:t>
      </w:r>
      <w:r w:rsidRPr="007263D7">
        <w:rPr>
          <w:rStyle w:val="Refdenotaalpie"/>
          <w:color w:val="000000" w:themeColor="text1"/>
          <w:lang w:val="es-ES"/>
        </w:rPr>
        <w:footnoteReference w:id="34"/>
      </w:r>
      <w:r w:rsidRPr="007263D7">
        <w:t xml:space="preserve">. </w:t>
      </w:r>
    </w:p>
    <w:p w14:paraId="318E4AD6" w14:textId="77777777" w:rsidR="00102D29" w:rsidRPr="007263D7" w:rsidRDefault="00102D29" w:rsidP="00C87B5A">
      <w:pPr>
        <w:pStyle w:val="Prrafodelista"/>
        <w:numPr>
          <w:ilvl w:val="0"/>
          <w:numId w:val="0"/>
        </w:numPr>
      </w:pPr>
    </w:p>
    <w:p w14:paraId="3AD9BEE5" w14:textId="0FC9D281" w:rsidR="00102D29" w:rsidRPr="007263D7" w:rsidRDefault="00102D29" w:rsidP="00C87B5A">
      <w:pPr>
        <w:pStyle w:val="Prrafodelista"/>
      </w:pPr>
      <w:r w:rsidRPr="007263D7">
        <w:t xml:space="preserve">Por ello, cuando la decisión previa es de exequibilidad </w:t>
      </w:r>
      <w:r w:rsidR="005A3E4A" w:rsidRPr="007263D7">
        <w:t>—</w:t>
      </w:r>
      <w:r w:rsidRPr="007263D7">
        <w:t>simple o condicionada</w:t>
      </w:r>
      <w:r w:rsidR="005A3E4A" w:rsidRPr="007263D7">
        <w:t>—</w:t>
      </w:r>
      <w:r w:rsidRPr="007263D7">
        <w:t>, se aplican las siguientes reglas. Primero, si se configura una cosa juzgada formal y no existen razones que la debiliten, la Corte debe estarse a lo resuelto en la sentencia anterior que declaró exequible la misma disposición. Segundo, cuando se configura una cosa juzgada material: (a) el magistrado sustanciador no puede decretarla en la fase de admisibilidad</w:t>
      </w:r>
      <w:r w:rsidRPr="007263D7">
        <w:rPr>
          <w:rStyle w:val="Refdenotaalpie"/>
          <w:color w:val="000000" w:themeColor="text1"/>
          <w:lang w:val="es-ES"/>
        </w:rPr>
        <w:footnoteReference w:id="35"/>
      </w:r>
      <w:r w:rsidRPr="007263D7">
        <w:t xml:space="preserve"> y (b) salvo que existan motivos que la enerven, la Sala Plena no sólo debe estarse a lo resuelto en el fallo anterior, sino que también debe declarar exequible la disposición ahora controlada conforme a lo dispuesto en la sentencia anterior</w:t>
      </w:r>
      <w:r w:rsidRPr="007263D7">
        <w:rPr>
          <w:rStyle w:val="Refdenotaalpie"/>
          <w:color w:val="000000" w:themeColor="text1"/>
          <w:lang w:val="es-ES"/>
        </w:rPr>
        <w:footnoteReference w:id="36"/>
      </w:r>
      <w:r w:rsidRPr="007263D7">
        <w:t xml:space="preserve">. </w:t>
      </w:r>
    </w:p>
    <w:p w14:paraId="4E7D3826" w14:textId="77777777" w:rsidR="00102D29" w:rsidRPr="007263D7" w:rsidRDefault="00102D29" w:rsidP="00C87B5A">
      <w:pPr>
        <w:tabs>
          <w:tab w:val="left" w:pos="426"/>
        </w:tabs>
        <w:jc w:val="both"/>
        <w:rPr>
          <w:rFonts w:ascii="Times New Roman" w:hAnsi="Times New Roman" w:cs="Times New Roman"/>
          <w:color w:val="000000" w:themeColor="text1"/>
          <w:sz w:val="28"/>
          <w:szCs w:val="28"/>
          <w:lang w:val="es-ES"/>
        </w:rPr>
      </w:pPr>
    </w:p>
    <w:p w14:paraId="34DFE54B" w14:textId="77777777" w:rsidR="00102D29" w:rsidRPr="007263D7" w:rsidRDefault="00102D29" w:rsidP="00C87B5A">
      <w:pPr>
        <w:pStyle w:val="Cabeceraypie"/>
        <w:numPr>
          <w:ilvl w:val="0"/>
          <w:numId w:val="1"/>
        </w:numPr>
        <w:tabs>
          <w:tab w:val="left" w:pos="426"/>
        </w:tabs>
        <w:ind w:left="0" w:firstLine="0"/>
        <w:jc w:val="both"/>
        <w:rPr>
          <w:rFonts w:ascii="Times New Roman" w:hAnsi="Times New Roman" w:cs="Times New Roman"/>
          <w:color w:val="000000" w:themeColor="text1"/>
          <w:sz w:val="28"/>
          <w:szCs w:val="28"/>
          <w:lang w:val="es-ES"/>
        </w:rPr>
      </w:pPr>
      <w:r w:rsidRPr="007263D7">
        <w:rPr>
          <w:rFonts w:ascii="Times New Roman" w:hAnsi="Times New Roman" w:cs="Times New Roman"/>
          <w:color w:val="000000" w:themeColor="text1"/>
          <w:sz w:val="28"/>
          <w:szCs w:val="28"/>
          <w:lang w:val="es-ES"/>
        </w:rPr>
        <w:t>Por el contrario, cuando la decisión previa es de inexequibilidad y se configura una cosa juzgada material, se aplican las siguientes reglas. En la etapa de admisibilidad, la demanda no puede ser rechazada de plano, pues la norma acusada hace parte del ordenamiento jurídico</w:t>
      </w:r>
      <w:r w:rsidRPr="007263D7">
        <w:rPr>
          <w:rStyle w:val="Refdenotaalpie"/>
          <w:rFonts w:ascii="Times New Roman" w:hAnsi="Times New Roman" w:cs="Times New Roman"/>
          <w:color w:val="000000" w:themeColor="text1"/>
          <w:sz w:val="28"/>
          <w:szCs w:val="28"/>
          <w:lang w:val="es-ES"/>
        </w:rPr>
        <w:footnoteReference w:id="37"/>
      </w:r>
      <w:r w:rsidRPr="007263D7">
        <w:rPr>
          <w:rFonts w:ascii="Times New Roman" w:hAnsi="Times New Roman" w:cs="Times New Roman"/>
          <w:color w:val="000000" w:themeColor="text1"/>
          <w:sz w:val="28"/>
          <w:szCs w:val="28"/>
          <w:lang w:val="es-ES"/>
        </w:rPr>
        <w:t>. Además, una vez admitida la acción pública, es relevante identificar el fundamento de la inexequibilidad de la decisión previa, ya sea por razones de fondo o de procedimiento</w:t>
      </w:r>
      <w:r w:rsidRPr="007263D7">
        <w:rPr>
          <w:rStyle w:val="Refdenotaalpie"/>
          <w:rFonts w:ascii="Times New Roman" w:hAnsi="Times New Roman" w:cs="Times New Roman"/>
          <w:color w:val="000000" w:themeColor="text1"/>
          <w:sz w:val="28"/>
          <w:szCs w:val="28"/>
          <w:lang w:val="es-ES"/>
        </w:rPr>
        <w:footnoteReference w:id="38"/>
      </w:r>
      <w:r w:rsidRPr="007263D7">
        <w:rPr>
          <w:rFonts w:ascii="Times New Roman" w:hAnsi="Times New Roman" w:cs="Times New Roman"/>
          <w:color w:val="000000" w:themeColor="text1"/>
          <w:sz w:val="28"/>
          <w:szCs w:val="28"/>
          <w:lang w:val="es-ES"/>
        </w:rPr>
        <w:t>. En el evento en el que la declaratoria de inexequibilidad obedezca a un defecto de forma en la expedición de la norma, el legislador está facultado para reproducir su contenido en una disposición posterior</w:t>
      </w:r>
      <w:r w:rsidRPr="007263D7">
        <w:rPr>
          <w:rStyle w:val="Refdenotaalpie"/>
          <w:rFonts w:ascii="Times New Roman" w:hAnsi="Times New Roman" w:cs="Times New Roman"/>
          <w:color w:val="000000" w:themeColor="text1"/>
          <w:sz w:val="28"/>
          <w:szCs w:val="28"/>
          <w:lang w:val="es-ES"/>
        </w:rPr>
        <w:footnoteReference w:id="39"/>
      </w:r>
      <w:r w:rsidRPr="007263D7">
        <w:rPr>
          <w:rFonts w:ascii="Times New Roman" w:hAnsi="Times New Roman" w:cs="Times New Roman"/>
          <w:color w:val="000000" w:themeColor="text1"/>
          <w:sz w:val="28"/>
          <w:szCs w:val="28"/>
          <w:lang w:val="es-ES"/>
        </w:rPr>
        <w:t>. En cambio, si el Congreso replica un contenido normativo previamente declarado inexequible por vicios de fondo y subsisten en la Constitución las disposiciones que sirvieron para realizar el control de constitucionalidad, la cosa juzgada material exige estarse a lo resuelto en el pronunciamiento anterior y, en consecuencia, declarar la inexequibilidad del nuevo precepto, en virtud de lo señalado en el artículo 243 de la Constitución</w:t>
      </w:r>
      <w:r w:rsidRPr="007263D7">
        <w:rPr>
          <w:rStyle w:val="Refdenotaalpie"/>
          <w:rFonts w:ascii="Times New Roman" w:hAnsi="Times New Roman" w:cs="Times New Roman"/>
          <w:color w:val="000000" w:themeColor="text1"/>
          <w:sz w:val="28"/>
          <w:szCs w:val="28"/>
          <w:lang w:val="es-ES"/>
        </w:rPr>
        <w:footnoteReference w:id="40"/>
      </w:r>
      <w:r w:rsidRPr="007263D7">
        <w:rPr>
          <w:rFonts w:ascii="Times New Roman" w:hAnsi="Times New Roman" w:cs="Times New Roman"/>
          <w:color w:val="000000" w:themeColor="text1"/>
          <w:sz w:val="28"/>
          <w:szCs w:val="28"/>
          <w:lang w:val="es-ES"/>
        </w:rPr>
        <w:t xml:space="preserve">. </w:t>
      </w:r>
    </w:p>
    <w:p w14:paraId="0C6C3FC6" w14:textId="77777777" w:rsidR="00102D29" w:rsidRPr="007263D7" w:rsidRDefault="00102D29" w:rsidP="00C87B5A">
      <w:pPr>
        <w:pStyle w:val="Cabeceraypie"/>
        <w:tabs>
          <w:tab w:val="left" w:pos="426"/>
        </w:tabs>
        <w:jc w:val="both"/>
        <w:rPr>
          <w:rFonts w:ascii="Times New Roman" w:hAnsi="Times New Roman" w:cs="Times New Roman"/>
          <w:color w:val="000000" w:themeColor="text1"/>
          <w:sz w:val="28"/>
          <w:szCs w:val="28"/>
          <w:lang w:val="es-ES"/>
        </w:rPr>
      </w:pPr>
    </w:p>
    <w:p w14:paraId="225437BD" w14:textId="77777777" w:rsidR="000D001E" w:rsidRPr="007263D7" w:rsidRDefault="00102D29" w:rsidP="00C87B5A">
      <w:pPr>
        <w:pStyle w:val="Cabeceraypie"/>
        <w:numPr>
          <w:ilvl w:val="0"/>
          <w:numId w:val="1"/>
        </w:numPr>
        <w:tabs>
          <w:tab w:val="left" w:pos="426"/>
        </w:tabs>
        <w:ind w:left="0" w:firstLine="0"/>
        <w:jc w:val="both"/>
        <w:rPr>
          <w:rFonts w:ascii="Times New Roman" w:hAnsi="Times New Roman" w:cs="Times New Roman"/>
          <w:color w:val="000000" w:themeColor="text1"/>
          <w:sz w:val="28"/>
          <w:szCs w:val="28"/>
          <w:lang w:val="es-ES"/>
        </w:rPr>
      </w:pPr>
      <w:r w:rsidRPr="007263D7">
        <w:rPr>
          <w:rFonts w:ascii="Times New Roman" w:hAnsi="Times New Roman" w:cs="Times New Roman"/>
          <w:color w:val="000000" w:themeColor="text1"/>
          <w:sz w:val="28"/>
          <w:szCs w:val="28"/>
          <w:lang w:val="es-ES"/>
        </w:rPr>
        <w:t>Por otro lado, en situaciones en las que el enunciado legal queda suprimido del ordenamiento jurídico, es decir, cuando la decisión previa es de inexequibilidad, la cosa juzgada siempre será absoluta</w:t>
      </w:r>
      <w:r w:rsidRPr="007263D7">
        <w:rPr>
          <w:rStyle w:val="Refdenotaalpie"/>
          <w:rFonts w:ascii="Times New Roman" w:hAnsi="Times New Roman" w:cs="Times New Roman"/>
          <w:color w:val="000000" w:themeColor="text1"/>
          <w:sz w:val="28"/>
          <w:szCs w:val="28"/>
          <w:lang w:val="es-ES"/>
        </w:rPr>
        <w:footnoteReference w:id="41"/>
      </w:r>
      <w:r w:rsidRPr="007263D7">
        <w:rPr>
          <w:rFonts w:ascii="Times New Roman" w:hAnsi="Times New Roman" w:cs="Times New Roman"/>
          <w:color w:val="000000" w:themeColor="text1"/>
          <w:sz w:val="28"/>
          <w:szCs w:val="28"/>
          <w:lang w:val="es-ES"/>
        </w:rPr>
        <w:t>. Estos efectos ocurren con independencia del parámetro de constitucionalidad que desconoció la norma invalidada, pues ya no forma parte del sistema jurídico</w:t>
      </w:r>
      <w:r w:rsidRPr="007263D7">
        <w:rPr>
          <w:rStyle w:val="Refdenotaalpie"/>
          <w:rFonts w:ascii="Times New Roman" w:hAnsi="Times New Roman" w:cs="Times New Roman"/>
          <w:color w:val="000000" w:themeColor="text1"/>
          <w:sz w:val="28"/>
          <w:szCs w:val="28"/>
          <w:lang w:val="es-ES"/>
        </w:rPr>
        <w:footnoteReference w:id="42"/>
      </w:r>
      <w:r w:rsidRPr="007263D7">
        <w:rPr>
          <w:rFonts w:ascii="Times New Roman" w:hAnsi="Times New Roman" w:cs="Times New Roman"/>
          <w:color w:val="000000" w:themeColor="text1"/>
          <w:sz w:val="28"/>
          <w:szCs w:val="28"/>
          <w:lang w:val="es-ES"/>
        </w:rPr>
        <w:t>. En otras palabras “no existe objeto para un nuevo pronunciamiento de esta Corporación”</w:t>
      </w:r>
      <w:r w:rsidRPr="007263D7">
        <w:rPr>
          <w:rStyle w:val="Refdenotaalpie"/>
          <w:rFonts w:ascii="Times New Roman" w:hAnsi="Times New Roman" w:cs="Times New Roman"/>
          <w:color w:val="000000" w:themeColor="text1"/>
          <w:sz w:val="28"/>
          <w:szCs w:val="28"/>
          <w:lang w:val="es-ES"/>
        </w:rPr>
        <w:footnoteReference w:id="43"/>
      </w:r>
      <w:r w:rsidRPr="007263D7">
        <w:rPr>
          <w:rFonts w:ascii="Times New Roman" w:hAnsi="Times New Roman" w:cs="Times New Roman"/>
          <w:color w:val="000000" w:themeColor="text1"/>
          <w:sz w:val="28"/>
          <w:szCs w:val="28"/>
          <w:lang w:val="es-ES"/>
        </w:rPr>
        <w:t xml:space="preserve">, y las autoridades tienen prohibido reproducir esa proposición jurídica. </w:t>
      </w:r>
    </w:p>
    <w:p w14:paraId="42E45C1C" w14:textId="77777777" w:rsidR="000D001E" w:rsidRPr="007263D7" w:rsidRDefault="000D001E" w:rsidP="00C87B5A">
      <w:pPr>
        <w:pStyle w:val="Prrafodelista"/>
        <w:numPr>
          <w:ilvl w:val="0"/>
          <w:numId w:val="0"/>
        </w:numPr>
      </w:pPr>
    </w:p>
    <w:p w14:paraId="4C8DB0F3" w14:textId="77777777" w:rsidR="000D001E" w:rsidRPr="007263D7" w:rsidRDefault="000D001E" w:rsidP="00C87B5A">
      <w:pPr>
        <w:pStyle w:val="Prrafodelista"/>
      </w:pPr>
      <w:r w:rsidRPr="007263D7">
        <w:t>A continuación, se resumen las clases de cosa juzgada constitucional identificadas por la Corte, los supuestos en los que se configuran, y sus consecuencias:</w:t>
      </w:r>
    </w:p>
    <w:p w14:paraId="7DA320CB" w14:textId="77777777" w:rsidR="000D001E" w:rsidRPr="007263D7" w:rsidRDefault="000D001E" w:rsidP="00C87B5A">
      <w:pPr>
        <w:pStyle w:val="Prrafodelista"/>
        <w:numPr>
          <w:ilvl w:val="0"/>
          <w:numId w:val="0"/>
        </w:numPr>
      </w:pPr>
    </w:p>
    <w:p w14:paraId="762E0AF9" w14:textId="77777777" w:rsidR="000D001E" w:rsidRPr="007263D7" w:rsidRDefault="000D001E" w:rsidP="00C87B5A">
      <w:pPr>
        <w:jc w:val="center"/>
        <w:rPr>
          <w:rFonts w:ascii="Times New Roman" w:hAnsi="Times New Roman" w:cs="Times New Roman"/>
          <w:color w:val="000000" w:themeColor="text1"/>
          <w:sz w:val="28"/>
          <w:szCs w:val="22"/>
          <w:lang w:val="es-ES"/>
        </w:rPr>
      </w:pPr>
      <w:r w:rsidRPr="007263D7">
        <w:rPr>
          <w:rFonts w:ascii="Times New Roman" w:hAnsi="Times New Roman" w:cs="Times New Roman"/>
          <w:color w:val="000000" w:themeColor="text1"/>
          <w:sz w:val="28"/>
          <w:szCs w:val="22"/>
          <w:lang w:val="es-ES"/>
        </w:rPr>
        <w:t xml:space="preserve">Tabla 3. </w:t>
      </w:r>
      <w:r w:rsidRPr="007263D7">
        <w:rPr>
          <w:rFonts w:ascii="Times New Roman" w:hAnsi="Times New Roman" w:cs="Times New Roman"/>
          <w:i/>
          <w:iCs/>
          <w:color w:val="000000" w:themeColor="text1"/>
          <w:sz w:val="28"/>
          <w:szCs w:val="22"/>
          <w:lang w:val="es-ES"/>
        </w:rPr>
        <w:t>Tipologías de la cosa juzgada constitucional</w:t>
      </w:r>
    </w:p>
    <w:tbl>
      <w:tblPr>
        <w:tblStyle w:val="Tablaconcuadrcula"/>
        <w:tblW w:w="0" w:type="auto"/>
        <w:tblLook w:val="04A0" w:firstRow="1" w:lastRow="0" w:firstColumn="1" w:lastColumn="0" w:noHBand="0" w:noVBand="1"/>
      </w:tblPr>
      <w:tblGrid>
        <w:gridCol w:w="1271"/>
        <w:gridCol w:w="3686"/>
        <w:gridCol w:w="3871"/>
      </w:tblGrid>
      <w:tr w:rsidR="00797633" w:rsidRPr="007263D7" w14:paraId="7AB64F2D" w14:textId="77777777" w:rsidTr="008B5549">
        <w:tc>
          <w:tcPr>
            <w:tcW w:w="1271" w:type="dxa"/>
            <w:shd w:val="clear" w:color="auto" w:fill="D9E2F3" w:themeFill="accent1" w:themeFillTint="33"/>
          </w:tcPr>
          <w:p w14:paraId="5F67DCA1" w14:textId="77777777" w:rsidR="000D001E" w:rsidRPr="007263D7" w:rsidRDefault="000D001E" w:rsidP="00C87B5A">
            <w:pPr>
              <w:jc w:val="both"/>
              <w:rPr>
                <w:rFonts w:ascii="Times New Roman" w:hAnsi="Times New Roman" w:cs="Times New Roman"/>
                <w:b/>
                <w:bCs/>
                <w:color w:val="000000" w:themeColor="text1"/>
                <w:sz w:val="28"/>
                <w:szCs w:val="22"/>
                <w:lang w:val="es-ES"/>
              </w:rPr>
            </w:pPr>
            <w:r w:rsidRPr="007263D7">
              <w:rPr>
                <w:rFonts w:ascii="Times New Roman" w:hAnsi="Times New Roman" w:cs="Times New Roman"/>
                <w:b/>
                <w:bCs/>
                <w:color w:val="000000" w:themeColor="text1"/>
                <w:sz w:val="28"/>
                <w:szCs w:val="22"/>
                <w:lang w:val="es-ES"/>
              </w:rPr>
              <w:t xml:space="preserve">Tipología </w:t>
            </w:r>
          </w:p>
        </w:tc>
        <w:tc>
          <w:tcPr>
            <w:tcW w:w="3686" w:type="dxa"/>
            <w:shd w:val="clear" w:color="auto" w:fill="D9E2F3" w:themeFill="accent1" w:themeFillTint="33"/>
          </w:tcPr>
          <w:p w14:paraId="2E87F52A" w14:textId="77777777" w:rsidR="000D001E" w:rsidRPr="007263D7" w:rsidRDefault="000D001E" w:rsidP="00C87B5A">
            <w:pPr>
              <w:jc w:val="center"/>
              <w:rPr>
                <w:rFonts w:ascii="Times New Roman" w:hAnsi="Times New Roman" w:cs="Times New Roman"/>
                <w:b/>
                <w:bCs/>
                <w:color w:val="000000" w:themeColor="text1"/>
                <w:sz w:val="28"/>
                <w:szCs w:val="22"/>
                <w:lang w:val="es-ES"/>
              </w:rPr>
            </w:pPr>
            <w:r w:rsidRPr="007263D7">
              <w:rPr>
                <w:rFonts w:ascii="Times New Roman" w:hAnsi="Times New Roman" w:cs="Times New Roman"/>
                <w:b/>
                <w:bCs/>
                <w:color w:val="000000" w:themeColor="text1"/>
                <w:sz w:val="28"/>
                <w:szCs w:val="22"/>
                <w:lang w:val="es-ES"/>
              </w:rPr>
              <w:t>Concepto</w:t>
            </w:r>
          </w:p>
        </w:tc>
        <w:tc>
          <w:tcPr>
            <w:tcW w:w="3871" w:type="dxa"/>
            <w:shd w:val="clear" w:color="auto" w:fill="D9E2F3" w:themeFill="accent1" w:themeFillTint="33"/>
          </w:tcPr>
          <w:p w14:paraId="30D51C95" w14:textId="77777777" w:rsidR="000D001E" w:rsidRPr="007263D7" w:rsidRDefault="000D001E" w:rsidP="00C87B5A">
            <w:pPr>
              <w:jc w:val="center"/>
              <w:rPr>
                <w:rFonts w:ascii="Times New Roman" w:hAnsi="Times New Roman" w:cs="Times New Roman"/>
                <w:b/>
                <w:bCs/>
                <w:color w:val="000000" w:themeColor="text1"/>
                <w:sz w:val="28"/>
                <w:szCs w:val="22"/>
                <w:lang w:val="es-ES"/>
              </w:rPr>
            </w:pPr>
            <w:r w:rsidRPr="007263D7">
              <w:rPr>
                <w:rFonts w:ascii="Times New Roman" w:hAnsi="Times New Roman" w:cs="Times New Roman"/>
                <w:b/>
                <w:bCs/>
                <w:color w:val="000000" w:themeColor="text1"/>
                <w:sz w:val="28"/>
                <w:szCs w:val="22"/>
                <w:lang w:val="es-ES"/>
              </w:rPr>
              <w:t>Consecuencias en los procesos que se encuentren en curso</w:t>
            </w:r>
          </w:p>
        </w:tc>
      </w:tr>
      <w:tr w:rsidR="00797633" w:rsidRPr="007263D7" w14:paraId="6DED6507" w14:textId="77777777" w:rsidTr="008B5549">
        <w:tc>
          <w:tcPr>
            <w:tcW w:w="1271" w:type="dxa"/>
            <w:vMerge w:val="restart"/>
          </w:tcPr>
          <w:p w14:paraId="3F086364" w14:textId="77777777" w:rsidR="000D001E" w:rsidRPr="007263D7" w:rsidRDefault="000D001E" w:rsidP="00C87B5A">
            <w:pPr>
              <w:jc w:val="both"/>
              <w:rPr>
                <w:rFonts w:ascii="Times New Roman" w:hAnsi="Times New Roman" w:cs="Times New Roman"/>
                <w:b/>
                <w:bCs/>
                <w:color w:val="000000" w:themeColor="text1"/>
                <w:sz w:val="28"/>
                <w:szCs w:val="22"/>
                <w:lang w:val="es-ES"/>
              </w:rPr>
            </w:pPr>
            <w:r w:rsidRPr="007263D7">
              <w:rPr>
                <w:rFonts w:ascii="Times New Roman" w:hAnsi="Times New Roman" w:cs="Times New Roman"/>
                <w:b/>
                <w:bCs/>
                <w:color w:val="000000" w:themeColor="text1"/>
                <w:sz w:val="28"/>
                <w:szCs w:val="22"/>
                <w:lang w:val="es-ES"/>
              </w:rPr>
              <w:t>Cosa juzgada formal</w:t>
            </w:r>
          </w:p>
        </w:tc>
        <w:tc>
          <w:tcPr>
            <w:tcW w:w="3686" w:type="dxa"/>
            <w:vMerge w:val="restart"/>
          </w:tcPr>
          <w:p w14:paraId="3FD9B856" w14:textId="77777777" w:rsidR="000D001E" w:rsidRPr="007263D7" w:rsidRDefault="000D001E" w:rsidP="00C87B5A">
            <w:pPr>
              <w:jc w:val="both"/>
              <w:rPr>
                <w:rFonts w:ascii="Times New Roman" w:hAnsi="Times New Roman" w:cs="Times New Roman"/>
                <w:color w:val="000000" w:themeColor="text1"/>
                <w:sz w:val="28"/>
                <w:szCs w:val="22"/>
                <w:lang w:val="es-ES"/>
              </w:rPr>
            </w:pPr>
            <w:r w:rsidRPr="007263D7">
              <w:rPr>
                <w:rFonts w:ascii="Times New Roman" w:hAnsi="Times New Roman" w:cs="Times New Roman"/>
                <w:color w:val="000000" w:themeColor="text1"/>
                <w:sz w:val="28"/>
                <w:szCs w:val="22"/>
                <w:lang w:val="es-ES"/>
              </w:rPr>
              <w:t>Se presenta cuando la Sala Plena de la Corte Constitucional ya se pronunció sobre la disposición demandada. Esta tipología recae sobre los textos normativos sometidos a control</w:t>
            </w:r>
            <w:r w:rsidRPr="007263D7">
              <w:rPr>
                <w:rStyle w:val="Refdenotaalpie"/>
                <w:rFonts w:ascii="Times New Roman" w:hAnsi="Times New Roman" w:cs="Times New Roman"/>
                <w:color w:val="000000" w:themeColor="text1"/>
                <w:sz w:val="28"/>
                <w:szCs w:val="22"/>
                <w:lang w:val="es-ES"/>
              </w:rPr>
              <w:footnoteReference w:id="44"/>
            </w:r>
            <w:r w:rsidRPr="007263D7">
              <w:rPr>
                <w:rFonts w:ascii="Times New Roman" w:hAnsi="Times New Roman" w:cs="Times New Roman"/>
                <w:color w:val="000000" w:themeColor="text1"/>
                <w:sz w:val="28"/>
                <w:szCs w:val="22"/>
                <w:lang w:val="es-ES"/>
              </w:rPr>
              <w:t>.</w:t>
            </w:r>
          </w:p>
        </w:tc>
        <w:tc>
          <w:tcPr>
            <w:tcW w:w="3871" w:type="dxa"/>
          </w:tcPr>
          <w:p w14:paraId="1E81A03F" w14:textId="77777777" w:rsidR="000D001E" w:rsidRPr="007263D7" w:rsidRDefault="000D001E" w:rsidP="00C87B5A">
            <w:pPr>
              <w:jc w:val="both"/>
              <w:rPr>
                <w:rFonts w:ascii="Times New Roman" w:hAnsi="Times New Roman" w:cs="Times New Roman"/>
                <w:color w:val="000000" w:themeColor="text1"/>
                <w:sz w:val="28"/>
                <w:szCs w:val="22"/>
                <w:lang w:val="es-ES"/>
              </w:rPr>
            </w:pPr>
            <w:r w:rsidRPr="007263D7">
              <w:rPr>
                <w:rFonts w:ascii="Times New Roman" w:hAnsi="Times New Roman" w:cs="Times New Roman"/>
                <w:b/>
                <w:bCs/>
                <w:color w:val="000000" w:themeColor="text1"/>
                <w:sz w:val="28"/>
                <w:szCs w:val="22"/>
                <w:lang w:val="es-ES"/>
              </w:rPr>
              <w:t>Decisión previa de exequibilidad.</w:t>
            </w:r>
            <w:r w:rsidRPr="007263D7">
              <w:rPr>
                <w:rFonts w:ascii="Times New Roman" w:hAnsi="Times New Roman" w:cs="Times New Roman"/>
                <w:color w:val="000000" w:themeColor="text1"/>
                <w:sz w:val="28"/>
                <w:szCs w:val="22"/>
                <w:lang w:val="es-ES"/>
              </w:rPr>
              <w:t xml:space="preserve"> La Corte debe estarse a lo resuelto en la sentencia previa que declaró la exequibilidad de la misma disposición, salvo que existan razones que debiliten la cosa juzgada.</w:t>
            </w:r>
          </w:p>
        </w:tc>
      </w:tr>
      <w:tr w:rsidR="00797633" w:rsidRPr="007263D7" w14:paraId="11995682" w14:textId="77777777" w:rsidTr="008B5549">
        <w:tc>
          <w:tcPr>
            <w:tcW w:w="1271" w:type="dxa"/>
            <w:vMerge/>
          </w:tcPr>
          <w:p w14:paraId="4749BD12" w14:textId="77777777" w:rsidR="000D001E" w:rsidRPr="007263D7" w:rsidRDefault="000D001E" w:rsidP="00C87B5A">
            <w:pPr>
              <w:jc w:val="both"/>
              <w:rPr>
                <w:rFonts w:ascii="Times New Roman" w:hAnsi="Times New Roman" w:cs="Times New Roman"/>
                <w:b/>
                <w:bCs/>
                <w:color w:val="000000" w:themeColor="text1"/>
                <w:sz w:val="28"/>
                <w:szCs w:val="22"/>
                <w:lang w:val="es-ES"/>
              </w:rPr>
            </w:pPr>
          </w:p>
        </w:tc>
        <w:tc>
          <w:tcPr>
            <w:tcW w:w="3686" w:type="dxa"/>
            <w:vMerge/>
          </w:tcPr>
          <w:p w14:paraId="72E73B38" w14:textId="77777777" w:rsidR="000D001E" w:rsidRPr="007263D7" w:rsidRDefault="000D001E" w:rsidP="00C87B5A">
            <w:pPr>
              <w:jc w:val="both"/>
              <w:rPr>
                <w:rFonts w:ascii="Times New Roman" w:hAnsi="Times New Roman" w:cs="Times New Roman"/>
                <w:color w:val="000000" w:themeColor="text1"/>
                <w:sz w:val="28"/>
                <w:szCs w:val="22"/>
                <w:lang w:val="es-ES"/>
              </w:rPr>
            </w:pPr>
          </w:p>
        </w:tc>
        <w:tc>
          <w:tcPr>
            <w:tcW w:w="3871" w:type="dxa"/>
          </w:tcPr>
          <w:p w14:paraId="2BD7D1D3" w14:textId="77777777" w:rsidR="000D001E" w:rsidRPr="007263D7" w:rsidRDefault="000D001E" w:rsidP="00C87B5A">
            <w:pPr>
              <w:jc w:val="both"/>
              <w:rPr>
                <w:rFonts w:ascii="Times New Roman" w:hAnsi="Times New Roman" w:cs="Times New Roman"/>
                <w:color w:val="000000" w:themeColor="text1"/>
                <w:sz w:val="28"/>
                <w:szCs w:val="22"/>
                <w:lang w:val="es-ES"/>
              </w:rPr>
            </w:pPr>
            <w:r w:rsidRPr="007263D7">
              <w:rPr>
                <w:rFonts w:ascii="Times New Roman" w:hAnsi="Times New Roman" w:cs="Times New Roman"/>
                <w:b/>
                <w:bCs/>
                <w:color w:val="000000" w:themeColor="text1"/>
                <w:sz w:val="28"/>
                <w:szCs w:val="22"/>
                <w:lang w:val="es-ES"/>
              </w:rPr>
              <w:t xml:space="preserve">Decisión previa de inexequibilidad. </w:t>
            </w:r>
            <w:r w:rsidRPr="007263D7">
              <w:rPr>
                <w:rFonts w:ascii="Times New Roman" w:hAnsi="Times New Roman" w:cs="Times New Roman"/>
                <w:color w:val="000000" w:themeColor="text1"/>
                <w:sz w:val="28"/>
                <w:szCs w:val="22"/>
                <w:lang w:val="es-ES"/>
              </w:rPr>
              <w:t>La Corte debe estarse a lo resuelto en la sentencia previa que declaró la inexequibilidad de la misma disposición.</w:t>
            </w:r>
          </w:p>
        </w:tc>
      </w:tr>
      <w:tr w:rsidR="00797633" w:rsidRPr="007263D7" w14:paraId="38A72D5E" w14:textId="77777777" w:rsidTr="008B5549">
        <w:tc>
          <w:tcPr>
            <w:tcW w:w="1271" w:type="dxa"/>
            <w:vMerge w:val="restart"/>
          </w:tcPr>
          <w:p w14:paraId="42987E50" w14:textId="77777777" w:rsidR="000D001E" w:rsidRPr="007263D7" w:rsidRDefault="000D001E" w:rsidP="00C87B5A">
            <w:pPr>
              <w:jc w:val="both"/>
              <w:rPr>
                <w:rFonts w:ascii="Times New Roman" w:hAnsi="Times New Roman" w:cs="Times New Roman"/>
                <w:b/>
                <w:bCs/>
                <w:color w:val="000000" w:themeColor="text1"/>
                <w:sz w:val="28"/>
                <w:szCs w:val="22"/>
                <w:lang w:val="es-ES"/>
              </w:rPr>
            </w:pPr>
            <w:r w:rsidRPr="007263D7">
              <w:rPr>
                <w:rFonts w:ascii="Times New Roman" w:hAnsi="Times New Roman" w:cs="Times New Roman"/>
                <w:b/>
                <w:bCs/>
                <w:color w:val="000000" w:themeColor="text1"/>
                <w:sz w:val="28"/>
                <w:szCs w:val="22"/>
                <w:lang w:val="es-ES"/>
              </w:rPr>
              <w:t xml:space="preserve">Cosa juzgada material </w:t>
            </w:r>
          </w:p>
        </w:tc>
        <w:tc>
          <w:tcPr>
            <w:tcW w:w="3686" w:type="dxa"/>
            <w:vMerge w:val="restart"/>
          </w:tcPr>
          <w:p w14:paraId="6F3288AB" w14:textId="77777777" w:rsidR="000D001E" w:rsidRPr="007263D7" w:rsidRDefault="000D001E" w:rsidP="00C87B5A">
            <w:pPr>
              <w:jc w:val="both"/>
              <w:rPr>
                <w:rFonts w:ascii="Times New Roman" w:hAnsi="Times New Roman" w:cs="Times New Roman"/>
                <w:color w:val="000000" w:themeColor="text1"/>
                <w:sz w:val="28"/>
                <w:szCs w:val="22"/>
                <w:lang w:val="es-ES"/>
              </w:rPr>
            </w:pPr>
            <w:r w:rsidRPr="007263D7">
              <w:rPr>
                <w:rFonts w:ascii="Times New Roman" w:hAnsi="Times New Roman" w:cs="Times New Roman"/>
                <w:color w:val="000000" w:themeColor="text1"/>
                <w:sz w:val="28"/>
                <w:szCs w:val="22"/>
                <w:lang w:val="es-ES"/>
              </w:rPr>
              <w:t>Se presenta cuando se acusa una disposición que es formalmente distinta, pero que tiene un contenido normativo idéntico al de otra que ya fue controlada por esta Corporación en sede de control de constitucionalidad. El juez debe evaluar: (i) si existe una decisión de constitucionalidad anterior sobre una regla de derecho idéntica, pero contenida en distintas disposiciones jurídicas; y luego (ii) determinar si hay identidad entre los cargos del pasado y del presente y el análisis constitucional de fondo sobre la proposición jurídica. Este estudio no recae sobre la disposición, sino sobre los contenidos normativos</w:t>
            </w:r>
            <w:r w:rsidRPr="007263D7">
              <w:rPr>
                <w:rStyle w:val="Refdenotaalpie"/>
                <w:rFonts w:ascii="Times New Roman" w:hAnsi="Times New Roman" w:cs="Times New Roman"/>
                <w:color w:val="000000" w:themeColor="text1"/>
                <w:sz w:val="28"/>
                <w:szCs w:val="22"/>
                <w:lang w:val="es-ES"/>
              </w:rPr>
              <w:footnoteReference w:id="45"/>
            </w:r>
            <w:r w:rsidRPr="007263D7">
              <w:rPr>
                <w:rFonts w:ascii="Times New Roman" w:hAnsi="Times New Roman" w:cs="Times New Roman"/>
                <w:color w:val="000000" w:themeColor="text1"/>
                <w:sz w:val="28"/>
                <w:szCs w:val="22"/>
                <w:lang w:val="es-ES"/>
              </w:rPr>
              <w:t>.</w:t>
            </w:r>
          </w:p>
        </w:tc>
        <w:tc>
          <w:tcPr>
            <w:tcW w:w="3871" w:type="dxa"/>
          </w:tcPr>
          <w:p w14:paraId="00B1FE83" w14:textId="77777777" w:rsidR="000D001E" w:rsidRPr="007263D7" w:rsidRDefault="000D001E" w:rsidP="00C87B5A">
            <w:pPr>
              <w:jc w:val="both"/>
              <w:rPr>
                <w:rFonts w:ascii="Times New Roman" w:hAnsi="Times New Roman" w:cs="Times New Roman"/>
                <w:b/>
                <w:bCs/>
                <w:color w:val="000000" w:themeColor="text1"/>
                <w:sz w:val="28"/>
                <w:szCs w:val="22"/>
                <w:lang w:val="es-ES"/>
              </w:rPr>
            </w:pPr>
            <w:r w:rsidRPr="007263D7">
              <w:rPr>
                <w:rFonts w:ascii="Times New Roman" w:hAnsi="Times New Roman" w:cs="Times New Roman"/>
                <w:b/>
                <w:bCs/>
                <w:color w:val="000000" w:themeColor="text1"/>
                <w:sz w:val="28"/>
                <w:szCs w:val="22"/>
                <w:lang w:val="es-ES"/>
              </w:rPr>
              <w:t xml:space="preserve">Decisión previa de exequibilidad. </w:t>
            </w:r>
            <w:r w:rsidRPr="007263D7">
              <w:rPr>
                <w:rFonts w:ascii="Times New Roman" w:hAnsi="Times New Roman" w:cs="Times New Roman"/>
                <w:color w:val="000000" w:themeColor="text1"/>
                <w:sz w:val="28"/>
                <w:szCs w:val="22"/>
                <w:lang w:val="es-ES"/>
              </w:rPr>
              <w:t xml:space="preserve">La Corte debe estarse a lo resuelto en la decisión previa que declaró la exequibilidad del mismo contenido normativo y, por consiguiente, declarar exequible la disposición ahora controlada, salvo que existan razones que debiliten la cosa juzgada. </w:t>
            </w:r>
          </w:p>
          <w:p w14:paraId="477D9AC4" w14:textId="77777777" w:rsidR="000D001E" w:rsidRPr="007263D7" w:rsidRDefault="000D001E" w:rsidP="00C87B5A">
            <w:pPr>
              <w:jc w:val="both"/>
              <w:rPr>
                <w:rFonts w:ascii="Times New Roman" w:hAnsi="Times New Roman" w:cs="Times New Roman"/>
                <w:color w:val="000000" w:themeColor="text1"/>
                <w:sz w:val="28"/>
                <w:szCs w:val="22"/>
                <w:lang w:val="es-ES"/>
              </w:rPr>
            </w:pPr>
          </w:p>
        </w:tc>
      </w:tr>
      <w:tr w:rsidR="00797633" w:rsidRPr="007263D7" w14:paraId="5815EEAE" w14:textId="77777777" w:rsidTr="008B5549">
        <w:trPr>
          <w:trHeight w:val="1932"/>
        </w:trPr>
        <w:tc>
          <w:tcPr>
            <w:tcW w:w="1271" w:type="dxa"/>
            <w:vMerge/>
            <w:tcBorders>
              <w:bottom w:val="single" w:sz="4" w:space="0" w:color="auto"/>
            </w:tcBorders>
          </w:tcPr>
          <w:p w14:paraId="00843E21" w14:textId="77777777" w:rsidR="000D001E" w:rsidRPr="007263D7" w:rsidRDefault="000D001E" w:rsidP="00C87B5A">
            <w:pPr>
              <w:jc w:val="both"/>
              <w:rPr>
                <w:rFonts w:ascii="Times New Roman" w:hAnsi="Times New Roman" w:cs="Times New Roman"/>
                <w:b/>
                <w:bCs/>
                <w:color w:val="000000" w:themeColor="text1"/>
                <w:sz w:val="28"/>
                <w:szCs w:val="22"/>
                <w:lang w:val="es-ES"/>
              </w:rPr>
            </w:pPr>
          </w:p>
        </w:tc>
        <w:tc>
          <w:tcPr>
            <w:tcW w:w="3686" w:type="dxa"/>
            <w:vMerge/>
            <w:tcBorders>
              <w:bottom w:val="single" w:sz="4" w:space="0" w:color="auto"/>
            </w:tcBorders>
          </w:tcPr>
          <w:p w14:paraId="6C501655" w14:textId="77777777" w:rsidR="000D001E" w:rsidRPr="007263D7" w:rsidRDefault="000D001E" w:rsidP="00C87B5A">
            <w:pPr>
              <w:jc w:val="both"/>
              <w:rPr>
                <w:rFonts w:ascii="Times New Roman" w:hAnsi="Times New Roman" w:cs="Times New Roman"/>
                <w:color w:val="000000" w:themeColor="text1"/>
                <w:sz w:val="28"/>
                <w:szCs w:val="22"/>
                <w:lang w:val="es-ES"/>
              </w:rPr>
            </w:pPr>
          </w:p>
        </w:tc>
        <w:tc>
          <w:tcPr>
            <w:tcW w:w="3871" w:type="dxa"/>
            <w:tcBorders>
              <w:bottom w:val="single" w:sz="4" w:space="0" w:color="auto"/>
            </w:tcBorders>
          </w:tcPr>
          <w:p w14:paraId="5775AA5F" w14:textId="77777777" w:rsidR="000D001E" w:rsidRPr="007263D7" w:rsidRDefault="000D001E" w:rsidP="00C87B5A">
            <w:pPr>
              <w:jc w:val="both"/>
              <w:rPr>
                <w:rFonts w:ascii="Times New Roman" w:hAnsi="Times New Roman" w:cs="Times New Roman"/>
                <w:b/>
                <w:bCs/>
                <w:color w:val="000000" w:themeColor="text1"/>
                <w:sz w:val="28"/>
                <w:szCs w:val="22"/>
                <w:lang w:val="es-ES"/>
              </w:rPr>
            </w:pPr>
            <w:r w:rsidRPr="007263D7">
              <w:rPr>
                <w:rFonts w:ascii="Times New Roman" w:hAnsi="Times New Roman" w:cs="Times New Roman"/>
                <w:b/>
                <w:bCs/>
                <w:color w:val="000000" w:themeColor="text1"/>
                <w:sz w:val="28"/>
                <w:szCs w:val="22"/>
                <w:lang w:val="es-ES"/>
              </w:rPr>
              <w:t xml:space="preserve">Decisión previa de inexequibilidad. </w:t>
            </w:r>
            <w:r w:rsidRPr="007263D7">
              <w:rPr>
                <w:rFonts w:ascii="Times New Roman" w:hAnsi="Times New Roman" w:cs="Times New Roman"/>
                <w:color w:val="000000" w:themeColor="text1"/>
                <w:sz w:val="28"/>
                <w:szCs w:val="22"/>
                <w:lang w:val="es-ES"/>
              </w:rPr>
              <w:t>La Corte debe estarse a lo resuelto en la sentencia previa que declaró la inexequibilidad del mismo contenido normativo y, por lo tanto, declarar inexequible la disposición ahora controlada, en virtud de lo dispuesto en el artículo 243 de la Constitución.</w:t>
            </w:r>
          </w:p>
        </w:tc>
      </w:tr>
      <w:tr w:rsidR="00797633" w:rsidRPr="007263D7" w14:paraId="33B0DA23" w14:textId="77777777" w:rsidTr="008B5549">
        <w:tc>
          <w:tcPr>
            <w:tcW w:w="1271" w:type="dxa"/>
          </w:tcPr>
          <w:p w14:paraId="5C725FD4" w14:textId="77777777" w:rsidR="000D001E" w:rsidRPr="007263D7" w:rsidRDefault="000D001E" w:rsidP="00C87B5A">
            <w:pPr>
              <w:jc w:val="both"/>
              <w:rPr>
                <w:rFonts w:ascii="Times New Roman" w:hAnsi="Times New Roman" w:cs="Times New Roman"/>
                <w:b/>
                <w:bCs/>
                <w:color w:val="000000" w:themeColor="text1"/>
                <w:sz w:val="28"/>
                <w:szCs w:val="22"/>
                <w:lang w:val="es-ES"/>
              </w:rPr>
            </w:pPr>
            <w:r w:rsidRPr="007263D7">
              <w:rPr>
                <w:rFonts w:ascii="Times New Roman" w:hAnsi="Times New Roman" w:cs="Times New Roman"/>
                <w:b/>
                <w:bCs/>
                <w:color w:val="000000" w:themeColor="text1"/>
                <w:sz w:val="28"/>
                <w:szCs w:val="22"/>
                <w:lang w:val="es-ES"/>
              </w:rPr>
              <w:t xml:space="preserve">Cosa juzgada absoluta </w:t>
            </w:r>
          </w:p>
        </w:tc>
        <w:tc>
          <w:tcPr>
            <w:tcW w:w="3686" w:type="dxa"/>
          </w:tcPr>
          <w:p w14:paraId="2AD320F5" w14:textId="77777777" w:rsidR="000D001E" w:rsidRPr="007263D7" w:rsidRDefault="000D001E" w:rsidP="00C87B5A">
            <w:pPr>
              <w:jc w:val="both"/>
              <w:rPr>
                <w:rFonts w:ascii="Times New Roman" w:hAnsi="Times New Roman" w:cs="Times New Roman"/>
                <w:color w:val="000000" w:themeColor="text1"/>
                <w:sz w:val="28"/>
                <w:szCs w:val="22"/>
                <w:lang w:val="es-ES"/>
              </w:rPr>
            </w:pPr>
            <w:r w:rsidRPr="007263D7">
              <w:rPr>
                <w:rFonts w:ascii="Times New Roman" w:hAnsi="Times New Roman" w:cs="Times New Roman"/>
                <w:color w:val="000000" w:themeColor="text1"/>
                <w:sz w:val="28"/>
                <w:szCs w:val="22"/>
                <w:lang w:val="es-ES"/>
              </w:rPr>
              <w:t xml:space="preserve">Se presenta en dos casos: primero, cuando la Corte declara la inexequibilidad de una norma y, por lo tanto, la expulsa del ordenamiento. Segundo, cuando el control de constitucionalidad se ejerció respecto a la integralidad de la Carta. </w:t>
            </w:r>
          </w:p>
        </w:tc>
        <w:tc>
          <w:tcPr>
            <w:tcW w:w="3871" w:type="dxa"/>
          </w:tcPr>
          <w:p w14:paraId="00A421C9" w14:textId="77777777" w:rsidR="000D001E" w:rsidRPr="007263D7" w:rsidRDefault="000D001E" w:rsidP="00C87B5A">
            <w:pPr>
              <w:jc w:val="both"/>
              <w:rPr>
                <w:rFonts w:ascii="Times New Roman" w:hAnsi="Times New Roman" w:cs="Times New Roman"/>
                <w:color w:val="000000" w:themeColor="text1"/>
                <w:sz w:val="28"/>
                <w:szCs w:val="22"/>
                <w:lang w:val="es-ES"/>
              </w:rPr>
            </w:pPr>
            <w:r w:rsidRPr="007263D7">
              <w:rPr>
                <w:rFonts w:ascii="Times New Roman" w:hAnsi="Times New Roman" w:cs="Times New Roman"/>
                <w:color w:val="000000" w:themeColor="text1"/>
                <w:sz w:val="28"/>
                <w:szCs w:val="22"/>
                <w:lang w:val="es-ES"/>
              </w:rPr>
              <w:t>La Corte debe estarse a lo resuelto en la sentencia previa.</w:t>
            </w:r>
          </w:p>
        </w:tc>
      </w:tr>
      <w:tr w:rsidR="00797633" w:rsidRPr="007263D7" w14:paraId="5AF9C308" w14:textId="77777777" w:rsidTr="008B5549">
        <w:tc>
          <w:tcPr>
            <w:tcW w:w="1271" w:type="dxa"/>
          </w:tcPr>
          <w:p w14:paraId="22AD3A73" w14:textId="77777777" w:rsidR="000D001E" w:rsidRPr="007263D7" w:rsidRDefault="000D001E" w:rsidP="00C87B5A">
            <w:pPr>
              <w:jc w:val="both"/>
              <w:rPr>
                <w:rFonts w:ascii="Times New Roman" w:hAnsi="Times New Roman" w:cs="Times New Roman"/>
                <w:b/>
                <w:bCs/>
                <w:color w:val="000000" w:themeColor="text1"/>
                <w:sz w:val="28"/>
                <w:szCs w:val="22"/>
                <w:lang w:val="es-ES"/>
              </w:rPr>
            </w:pPr>
            <w:r w:rsidRPr="007263D7">
              <w:rPr>
                <w:rFonts w:ascii="Times New Roman" w:hAnsi="Times New Roman" w:cs="Times New Roman"/>
                <w:b/>
                <w:bCs/>
                <w:color w:val="000000" w:themeColor="text1"/>
                <w:sz w:val="28"/>
                <w:szCs w:val="22"/>
                <w:lang w:val="es-ES"/>
              </w:rPr>
              <w:t xml:space="preserve">Cosa juzgada relativa </w:t>
            </w:r>
          </w:p>
        </w:tc>
        <w:tc>
          <w:tcPr>
            <w:tcW w:w="3686" w:type="dxa"/>
          </w:tcPr>
          <w:p w14:paraId="6AA80290" w14:textId="77777777" w:rsidR="000D001E" w:rsidRPr="007263D7" w:rsidRDefault="000D001E" w:rsidP="00C87B5A">
            <w:pPr>
              <w:jc w:val="both"/>
              <w:rPr>
                <w:rFonts w:ascii="Times New Roman" w:hAnsi="Times New Roman" w:cs="Times New Roman"/>
                <w:color w:val="000000" w:themeColor="text1"/>
                <w:sz w:val="28"/>
                <w:szCs w:val="22"/>
                <w:lang w:val="es-ES"/>
              </w:rPr>
            </w:pPr>
            <w:r w:rsidRPr="007263D7">
              <w:rPr>
                <w:rFonts w:ascii="Times New Roman" w:hAnsi="Times New Roman" w:cs="Times New Roman"/>
                <w:color w:val="000000" w:themeColor="text1"/>
                <w:sz w:val="28"/>
                <w:szCs w:val="22"/>
                <w:lang w:val="es-ES"/>
              </w:rPr>
              <w:t xml:space="preserve">Se presenta cuando la Corte Constitucional restringió los efectos de su decisión a los cargos analizados. </w:t>
            </w:r>
          </w:p>
        </w:tc>
        <w:tc>
          <w:tcPr>
            <w:tcW w:w="3871" w:type="dxa"/>
          </w:tcPr>
          <w:p w14:paraId="4A773A06" w14:textId="77777777" w:rsidR="000D001E" w:rsidRPr="007263D7" w:rsidRDefault="000D001E" w:rsidP="00C87B5A">
            <w:pPr>
              <w:jc w:val="both"/>
              <w:rPr>
                <w:rFonts w:ascii="Times New Roman" w:hAnsi="Times New Roman" w:cs="Times New Roman"/>
                <w:color w:val="000000" w:themeColor="text1"/>
                <w:sz w:val="28"/>
                <w:szCs w:val="22"/>
                <w:lang w:val="es-ES"/>
              </w:rPr>
            </w:pPr>
            <w:r w:rsidRPr="007263D7">
              <w:rPr>
                <w:rFonts w:ascii="Times New Roman" w:hAnsi="Times New Roman" w:cs="Times New Roman"/>
                <w:color w:val="000000" w:themeColor="text1"/>
                <w:sz w:val="28"/>
                <w:szCs w:val="22"/>
                <w:lang w:val="es-ES"/>
              </w:rPr>
              <w:t xml:space="preserve">Es posible un nuevo pronunciamiento sobre la disposición únicamente por cargos nuevos.  </w:t>
            </w:r>
          </w:p>
        </w:tc>
      </w:tr>
      <w:tr w:rsidR="00C87B5A" w:rsidRPr="007263D7" w14:paraId="774085FA" w14:textId="77777777" w:rsidTr="008B5549">
        <w:tc>
          <w:tcPr>
            <w:tcW w:w="1271" w:type="dxa"/>
          </w:tcPr>
          <w:p w14:paraId="3ABBF55B" w14:textId="77777777" w:rsidR="000D001E" w:rsidRPr="007263D7" w:rsidRDefault="000D001E" w:rsidP="00C87B5A">
            <w:pPr>
              <w:jc w:val="both"/>
              <w:rPr>
                <w:rFonts w:ascii="Times New Roman" w:hAnsi="Times New Roman" w:cs="Times New Roman"/>
                <w:b/>
                <w:bCs/>
                <w:color w:val="000000" w:themeColor="text1"/>
                <w:sz w:val="28"/>
                <w:szCs w:val="22"/>
                <w:lang w:val="es-ES"/>
              </w:rPr>
            </w:pPr>
            <w:r w:rsidRPr="007263D7">
              <w:rPr>
                <w:rFonts w:ascii="Times New Roman" w:hAnsi="Times New Roman" w:cs="Times New Roman"/>
                <w:b/>
                <w:bCs/>
                <w:color w:val="000000" w:themeColor="text1"/>
                <w:sz w:val="28"/>
                <w:szCs w:val="22"/>
                <w:lang w:val="es-ES"/>
              </w:rPr>
              <w:t xml:space="preserve">Cosa juzgada aparente </w:t>
            </w:r>
          </w:p>
        </w:tc>
        <w:tc>
          <w:tcPr>
            <w:tcW w:w="3686" w:type="dxa"/>
          </w:tcPr>
          <w:p w14:paraId="57C069AA" w14:textId="77777777" w:rsidR="000D001E" w:rsidRPr="007263D7" w:rsidRDefault="000D001E" w:rsidP="00C87B5A">
            <w:pPr>
              <w:jc w:val="both"/>
              <w:rPr>
                <w:rFonts w:ascii="Times New Roman" w:hAnsi="Times New Roman" w:cs="Times New Roman"/>
                <w:color w:val="000000" w:themeColor="text1"/>
                <w:sz w:val="28"/>
                <w:szCs w:val="22"/>
                <w:lang w:val="es-ES"/>
              </w:rPr>
            </w:pPr>
            <w:r w:rsidRPr="007263D7">
              <w:rPr>
                <w:rFonts w:ascii="Times New Roman" w:hAnsi="Times New Roman" w:cs="Times New Roman"/>
                <w:color w:val="000000" w:themeColor="text1"/>
                <w:sz w:val="28"/>
                <w:szCs w:val="22"/>
                <w:lang w:val="es-ES"/>
              </w:rPr>
              <w:t xml:space="preserve">Se presenta cuando la Corte Constitucional formalmente declara la exequibilidad de una disposición, pero en realidad no hay un estudio de constitucionalidad en la decisión. </w:t>
            </w:r>
          </w:p>
        </w:tc>
        <w:tc>
          <w:tcPr>
            <w:tcW w:w="3871" w:type="dxa"/>
          </w:tcPr>
          <w:p w14:paraId="0BA29526" w14:textId="77777777" w:rsidR="000D001E" w:rsidRPr="007263D7" w:rsidRDefault="000D001E" w:rsidP="00C87B5A">
            <w:pPr>
              <w:jc w:val="both"/>
              <w:rPr>
                <w:rFonts w:ascii="Times New Roman" w:hAnsi="Times New Roman" w:cs="Times New Roman"/>
                <w:color w:val="000000" w:themeColor="text1"/>
                <w:sz w:val="28"/>
                <w:szCs w:val="22"/>
                <w:lang w:val="es-ES"/>
              </w:rPr>
            </w:pPr>
            <w:r w:rsidRPr="007263D7">
              <w:rPr>
                <w:rFonts w:ascii="Times New Roman" w:hAnsi="Times New Roman" w:cs="Times New Roman"/>
                <w:color w:val="000000" w:themeColor="text1"/>
                <w:sz w:val="28"/>
                <w:szCs w:val="22"/>
                <w:lang w:val="es-ES"/>
              </w:rPr>
              <w:t>Es posible un nuevo pronunciamiento sobre la disposición.</w:t>
            </w:r>
          </w:p>
        </w:tc>
      </w:tr>
    </w:tbl>
    <w:p w14:paraId="13EB03D6" w14:textId="77777777" w:rsidR="000D001E" w:rsidRPr="007263D7" w:rsidRDefault="000D001E" w:rsidP="00C87B5A">
      <w:pPr>
        <w:pStyle w:val="Prrafodelista"/>
        <w:numPr>
          <w:ilvl w:val="0"/>
          <w:numId w:val="0"/>
        </w:numPr>
      </w:pPr>
    </w:p>
    <w:p w14:paraId="141F79FA" w14:textId="7F59895D" w:rsidR="00C47191" w:rsidRPr="007263D7" w:rsidRDefault="000D001E" w:rsidP="00C87B5A">
      <w:pPr>
        <w:pStyle w:val="Cabeceraypie"/>
        <w:numPr>
          <w:ilvl w:val="0"/>
          <w:numId w:val="1"/>
        </w:numPr>
        <w:tabs>
          <w:tab w:val="left" w:pos="426"/>
        </w:tabs>
        <w:ind w:left="0" w:firstLine="0"/>
        <w:jc w:val="both"/>
        <w:rPr>
          <w:rFonts w:ascii="Times New Roman" w:hAnsi="Times New Roman" w:cs="Times New Roman"/>
          <w:color w:val="000000" w:themeColor="text1"/>
          <w:sz w:val="28"/>
          <w:szCs w:val="28"/>
          <w:lang w:val="es-ES"/>
        </w:rPr>
      </w:pPr>
      <w:r w:rsidRPr="007263D7">
        <w:rPr>
          <w:rFonts w:ascii="Times New Roman" w:hAnsi="Times New Roman" w:cs="Times New Roman"/>
          <w:color w:val="000000" w:themeColor="text1"/>
          <w:sz w:val="28"/>
          <w:szCs w:val="28"/>
          <w:lang w:val="es-ES"/>
        </w:rPr>
        <w:t>Ahora bien, c</w:t>
      </w:r>
      <w:r w:rsidR="00102D29" w:rsidRPr="007263D7">
        <w:rPr>
          <w:rFonts w:ascii="Times New Roman" w:hAnsi="Times New Roman" w:cs="Times New Roman"/>
          <w:color w:val="000000" w:themeColor="text1"/>
          <w:sz w:val="28"/>
          <w:szCs w:val="28"/>
          <w:lang w:val="es-ES"/>
        </w:rPr>
        <w:t xml:space="preserve">omo la </w:t>
      </w:r>
      <w:r w:rsidR="006C0097" w:rsidRPr="007263D7">
        <w:rPr>
          <w:rFonts w:ascii="Times New Roman" w:hAnsi="Times New Roman" w:cs="Times New Roman"/>
          <w:color w:val="000000" w:themeColor="text1"/>
          <w:sz w:val="28"/>
          <w:szCs w:val="28"/>
          <w:lang w:val="es-ES"/>
        </w:rPr>
        <w:t>S</w:t>
      </w:r>
      <w:r w:rsidR="00102D29" w:rsidRPr="007263D7">
        <w:rPr>
          <w:rFonts w:ascii="Times New Roman" w:hAnsi="Times New Roman" w:cs="Times New Roman"/>
          <w:color w:val="000000" w:themeColor="text1"/>
          <w:sz w:val="28"/>
          <w:szCs w:val="28"/>
          <w:lang w:val="es-ES"/>
        </w:rPr>
        <w:t>entencia C-</w:t>
      </w:r>
      <w:r w:rsidR="00F73472" w:rsidRPr="007263D7">
        <w:rPr>
          <w:rFonts w:ascii="Times New Roman" w:hAnsi="Times New Roman" w:cs="Times New Roman"/>
          <w:color w:val="000000" w:themeColor="text1"/>
          <w:sz w:val="28"/>
          <w:szCs w:val="28"/>
          <w:lang w:val="es-ES"/>
        </w:rPr>
        <w:t>161</w:t>
      </w:r>
      <w:r w:rsidR="00102D29" w:rsidRPr="007263D7">
        <w:rPr>
          <w:rFonts w:ascii="Times New Roman" w:hAnsi="Times New Roman" w:cs="Times New Roman"/>
          <w:color w:val="000000" w:themeColor="text1"/>
          <w:sz w:val="28"/>
          <w:szCs w:val="28"/>
          <w:lang w:val="es-ES"/>
        </w:rPr>
        <w:t xml:space="preserve"> de 2024 declaró inexequible</w:t>
      </w:r>
      <w:r w:rsidR="007804F9" w:rsidRPr="007263D7">
        <w:rPr>
          <w:rFonts w:ascii="Times New Roman" w:hAnsi="Times New Roman" w:cs="Times New Roman"/>
          <w:color w:val="000000" w:themeColor="text1"/>
          <w:sz w:val="28"/>
          <w:szCs w:val="28"/>
          <w:lang w:val="es-ES"/>
        </w:rPr>
        <w:t xml:space="preserve"> con efectos diferidos</w:t>
      </w:r>
      <w:r w:rsidR="00102D29" w:rsidRPr="007263D7">
        <w:rPr>
          <w:rFonts w:ascii="Times New Roman" w:hAnsi="Times New Roman" w:cs="Times New Roman"/>
          <w:color w:val="000000" w:themeColor="text1"/>
          <w:sz w:val="28"/>
          <w:szCs w:val="28"/>
          <w:lang w:val="es-ES"/>
        </w:rPr>
        <w:t xml:space="preserve"> la Ley </w:t>
      </w:r>
      <w:r w:rsidR="00F73472" w:rsidRPr="007263D7">
        <w:rPr>
          <w:rFonts w:ascii="Times New Roman" w:hAnsi="Times New Roman" w:cs="Times New Roman"/>
          <w:color w:val="000000" w:themeColor="text1"/>
          <w:sz w:val="28"/>
          <w:szCs w:val="28"/>
          <w:lang w:val="es-ES"/>
        </w:rPr>
        <w:t>2281</w:t>
      </w:r>
      <w:r w:rsidR="00102D29" w:rsidRPr="007263D7">
        <w:rPr>
          <w:rFonts w:ascii="Times New Roman" w:hAnsi="Times New Roman" w:cs="Times New Roman"/>
          <w:color w:val="000000" w:themeColor="text1"/>
          <w:sz w:val="28"/>
          <w:szCs w:val="28"/>
          <w:lang w:val="es-ES"/>
        </w:rPr>
        <w:t xml:space="preserve"> de 2023, disposici</w:t>
      </w:r>
      <w:r w:rsidR="00F73472" w:rsidRPr="007263D7">
        <w:rPr>
          <w:rFonts w:ascii="Times New Roman" w:hAnsi="Times New Roman" w:cs="Times New Roman"/>
          <w:color w:val="000000" w:themeColor="text1"/>
          <w:sz w:val="28"/>
          <w:szCs w:val="28"/>
          <w:lang w:val="es-ES"/>
        </w:rPr>
        <w:t>ón</w:t>
      </w:r>
      <w:r w:rsidR="00102D29" w:rsidRPr="007263D7">
        <w:rPr>
          <w:rFonts w:ascii="Times New Roman" w:hAnsi="Times New Roman" w:cs="Times New Roman"/>
          <w:color w:val="000000" w:themeColor="text1"/>
          <w:sz w:val="28"/>
          <w:szCs w:val="28"/>
          <w:lang w:val="es-ES"/>
        </w:rPr>
        <w:t xml:space="preserve"> que fue demandada en esta ocasión, la </w:t>
      </w:r>
      <w:r w:rsidR="006C0097" w:rsidRPr="007263D7">
        <w:rPr>
          <w:rFonts w:ascii="Times New Roman" w:hAnsi="Times New Roman" w:cs="Times New Roman"/>
          <w:color w:val="000000" w:themeColor="text1"/>
          <w:sz w:val="28"/>
          <w:szCs w:val="28"/>
          <w:lang w:val="es-ES"/>
        </w:rPr>
        <w:t>Corte</w:t>
      </w:r>
      <w:r w:rsidR="00102D29" w:rsidRPr="007263D7">
        <w:rPr>
          <w:rFonts w:ascii="Times New Roman" w:hAnsi="Times New Roman" w:cs="Times New Roman"/>
          <w:color w:val="000000" w:themeColor="text1"/>
          <w:sz w:val="28"/>
          <w:szCs w:val="28"/>
          <w:lang w:val="es-ES"/>
        </w:rPr>
        <w:t xml:space="preserve"> se referirá a las reglas jurisprudenciales </w:t>
      </w:r>
      <w:r w:rsidR="007804F9" w:rsidRPr="007263D7">
        <w:rPr>
          <w:rFonts w:ascii="Times New Roman" w:hAnsi="Times New Roman" w:cs="Times New Roman"/>
          <w:color w:val="000000" w:themeColor="text1"/>
          <w:sz w:val="28"/>
          <w:szCs w:val="28"/>
          <w:lang w:val="es-ES"/>
        </w:rPr>
        <w:t>aplicables en estos supuestos</w:t>
      </w:r>
      <w:r w:rsidR="00102D29" w:rsidRPr="007263D7">
        <w:rPr>
          <w:rFonts w:ascii="Times New Roman" w:hAnsi="Times New Roman" w:cs="Times New Roman"/>
          <w:color w:val="000000" w:themeColor="text1"/>
          <w:sz w:val="28"/>
          <w:szCs w:val="28"/>
          <w:lang w:val="es-ES"/>
        </w:rPr>
        <w:t>.</w:t>
      </w:r>
    </w:p>
    <w:p w14:paraId="0E5F323C" w14:textId="77777777" w:rsidR="00C47191" w:rsidRPr="007263D7" w:rsidRDefault="00C47191" w:rsidP="00C87B5A">
      <w:pPr>
        <w:pStyle w:val="Cabeceraypie"/>
        <w:tabs>
          <w:tab w:val="left" w:pos="426"/>
        </w:tabs>
        <w:jc w:val="both"/>
        <w:rPr>
          <w:rFonts w:ascii="Times New Roman" w:hAnsi="Times New Roman" w:cs="Times New Roman"/>
          <w:color w:val="000000" w:themeColor="text1"/>
          <w:sz w:val="28"/>
          <w:szCs w:val="28"/>
          <w:lang w:val="es-ES"/>
        </w:rPr>
      </w:pPr>
    </w:p>
    <w:p w14:paraId="13BEA0C7" w14:textId="55C16F52" w:rsidR="00102D29" w:rsidRPr="007263D7" w:rsidRDefault="00102D29" w:rsidP="00C87B5A">
      <w:pPr>
        <w:pStyle w:val="Cabeceraypie"/>
        <w:numPr>
          <w:ilvl w:val="0"/>
          <w:numId w:val="1"/>
        </w:numPr>
        <w:tabs>
          <w:tab w:val="left" w:pos="426"/>
        </w:tabs>
        <w:ind w:left="0" w:firstLine="0"/>
        <w:jc w:val="both"/>
        <w:rPr>
          <w:rFonts w:ascii="Times New Roman" w:hAnsi="Times New Roman" w:cs="Times New Roman"/>
          <w:color w:val="000000" w:themeColor="text1"/>
          <w:sz w:val="28"/>
          <w:szCs w:val="28"/>
          <w:lang w:val="es-ES"/>
        </w:rPr>
      </w:pPr>
      <w:r w:rsidRPr="007263D7">
        <w:rPr>
          <w:rFonts w:ascii="Times New Roman" w:hAnsi="Times New Roman" w:cs="Times New Roman"/>
          <w:color w:val="000000" w:themeColor="text1"/>
          <w:sz w:val="28"/>
          <w:szCs w:val="28"/>
          <w:lang w:val="es-ES"/>
        </w:rPr>
        <w:t xml:space="preserve">En las sentencias C-383 de 2022 y C-200 de 2019, se reiteraron y sintetizaron las reglas aplicables en casos que involucran el conocimiento de demandas que cuestionan normas previamente declaradas inexequibles. Si se detecta esta situación en la etapa de admisibilidad, el magistrado sustanciador debe rechazar la demanda. Si pese a ello la acción pública de inconstitucionalidad se admite o se configura una cosa juzgada formal sobreviniente porque durante el curso del proceso la Corte profirió una sentencia que declaró inexequible la </w:t>
      </w:r>
      <w:r w:rsidR="009F1CFF" w:rsidRPr="007263D7">
        <w:rPr>
          <w:rFonts w:ascii="Times New Roman" w:hAnsi="Times New Roman" w:cs="Times New Roman"/>
          <w:color w:val="000000" w:themeColor="text1"/>
          <w:sz w:val="28"/>
          <w:szCs w:val="28"/>
          <w:lang w:val="es-ES"/>
        </w:rPr>
        <w:t>disposición</w:t>
      </w:r>
      <w:r w:rsidRPr="007263D7">
        <w:rPr>
          <w:rFonts w:ascii="Times New Roman" w:hAnsi="Times New Roman" w:cs="Times New Roman"/>
          <w:color w:val="000000" w:themeColor="text1"/>
          <w:sz w:val="28"/>
          <w:szCs w:val="28"/>
          <w:lang w:val="es-ES"/>
        </w:rPr>
        <w:t xml:space="preserve"> acusada, este Tribunal deberá adoptar un fallo en el que disponga estarse a lo resuelto en la decisión anterior de inexequibilidad</w:t>
      </w:r>
      <w:r w:rsidRPr="007263D7">
        <w:rPr>
          <w:rFonts w:ascii="Times New Roman" w:hAnsi="Times New Roman" w:cs="Times New Roman"/>
          <w:color w:val="000000" w:themeColor="text1"/>
          <w:sz w:val="28"/>
          <w:szCs w:val="28"/>
          <w:vertAlign w:val="superscript"/>
          <w:lang w:val="es-ES"/>
        </w:rPr>
        <w:footnoteReference w:id="46"/>
      </w:r>
      <w:r w:rsidRPr="007263D7">
        <w:rPr>
          <w:rFonts w:ascii="Times New Roman" w:hAnsi="Times New Roman" w:cs="Times New Roman"/>
          <w:color w:val="000000" w:themeColor="text1"/>
          <w:sz w:val="28"/>
          <w:szCs w:val="28"/>
          <w:lang w:val="es-ES"/>
        </w:rPr>
        <w:t xml:space="preserve">. </w:t>
      </w:r>
    </w:p>
    <w:p w14:paraId="002CD11F" w14:textId="77777777" w:rsidR="00C47191" w:rsidRPr="007263D7" w:rsidRDefault="00C47191" w:rsidP="00C87B5A">
      <w:pPr>
        <w:pStyle w:val="Cabeceraypie"/>
        <w:tabs>
          <w:tab w:val="left" w:pos="426"/>
        </w:tabs>
        <w:jc w:val="both"/>
        <w:rPr>
          <w:rFonts w:ascii="Times New Roman" w:hAnsi="Times New Roman" w:cs="Times New Roman"/>
          <w:color w:val="000000" w:themeColor="text1"/>
          <w:sz w:val="28"/>
          <w:szCs w:val="28"/>
          <w:lang w:val="es-ES"/>
        </w:rPr>
      </w:pPr>
    </w:p>
    <w:p w14:paraId="132AB6A1" w14:textId="039847EE" w:rsidR="00102D29" w:rsidRPr="007263D7" w:rsidRDefault="00102D29" w:rsidP="00C87B5A">
      <w:pPr>
        <w:pStyle w:val="Cabeceraypie"/>
        <w:numPr>
          <w:ilvl w:val="0"/>
          <w:numId w:val="1"/>
        </w:numPr>
        <w:tabs>
          <w:tab w:val="left" w:pos="426"/>
        </w:tabs>
        <w:ind w:left="0" w:firstLine="0"/>
        <w:jc w:val="both"/>
        <w:rPr>
          <w:rFonts w:ascii="Times New Roman" w:hAnsi="Times New Roman" w:cs="Times New Roman"/>
          <w:b/>
          <w:bCs/>
          <w:color w:val="000000" w:themeColor="text1"/>
          <w:sz w:val="28"/>
          <w:szCs w:val="28"/>
          <w:lang w:val="es-ES"/>
        </w:rPr>
      </w:pPr>
      <w:r w:rsidRPr="007263D7">
        <w:rPr>
          <w:rFonts w:ascii="Times New Roman" w:hAnsi="Times New Roman" w:cs="Times New Roman"/>
          <w:color w:val="000000" w:themeColor="text1"/>
          <w:sz w:val="28"/>
          <w:szCs w:val="28"/>
          <w:lang w:val="es-ES"/>
        </w:rPr>
        <w:t xml:space="preserve">En la </w:t>
      </w:r>
      <w:r w:rsidR="006C0097" w:rsidRPr="007263D7">
        <w:rPr>
          <w:rFonts w:ascii="Times New Roman" w:hAnsi="Times New Roman" w:cs="Times New Roman"/>
          <w:color w:val="000000" w:themeColor="text1"/>
          <w:sz w:val="28"/>
          <w:szCs w:val="28"/>
          <w:lang w:val="es-ES"/>
        </w:rPr>
        <w:t>S</w:t>
      </w:r>
      <w:r w:rsidRPr="007263D7">
        <w:rPr>
          <w:rFonts w:ascii="Times New Roman" w:hAnsi="Times New Roman" w:cs="Times New Roman"/>
          <w:color w:val="000000" w:themeColor="text1"/>
          <w:sz w:val="28"/>
          <w:szCs w:val="28"/>
          <w:lang w:val="es-ES"/>
        </w:rPr>
        <w:t>entencia C-383 de 2022, también se refrendó la regla de que la declaración de inexequibilidad de una disposición legal genera cosa juzgada absoluta formal con respecto al mismo texto normativo en caso de que sea demandado o estudiado posteriormente. Por lo tanto, la sentencia de esta Corporación que suprime del ordenamiento jurídico un precepto constituye cosa juzgada frente a posteriores demandas contra esa misma norma y a este Tribunal solo le corresponde estarse a lo resuelto en la decisión anterior</w:t>
      </w:r>
      <w:r w:rsidRPr="007263D7">
        <w:rPr>
          <w:rFonts w:ascii="Times New Roman" w:hAnsi="Times New Roman" w:cs="Times New Roman"/>
          <w:color w:val="000000" w:themeColor="text1"/>
          <w:sz w:val="28"/>
          <w:szCs w:val="28"/>
          <w:vertAlign w:val="superscript"/>
          <w:lang w:val="es-ES"/>
        </w:rPr>
        <w:footnoteReference w:id="47"/>
      </w:r>
      <w:r w:rsidRPr="007263D7">
        <w:rPr>
          <w:rFonts w:ascii="Times New Roman" w:hAnsi="Times New Roman" w:cs="Times New Roman"/>
          <w:color w:val="000000" w:themeColor="text1"/>
          <w:sz w:val="28"/>
          <w:szCs w:val="28"/>
          <w:lang w:val="es-ES"/>
        </w:rPr>
        <w:t>. Esta situación se debe a que la norma ya no pertenece al ordenamiento jurídico, por lo que es imposible efectuar control alguno sobre ella. Así las cosas, “n</w:t>
      </w:r>
      <w:r w:rsidRPr="007263D7">
        <w:rPr>
          <w:rFonts w:ascii="Times New Roman" w:hAnsi="Times New Roman" w:cs="Times New Roman"/>
          <w:color w:val="000000" w:themeColor="text1"/>
          <w:sz w:val="28"/>
          <w:szCs w:val="28"/>
          <w:shd w:val="clear" w:color="auto" w:fill="FFFFFF"/>
          <w:lang w:val="es-ES"/>
        </w:rPr>
        <w:t xml:space="preserve">o tendría ningún sentido declarar nuevamente su disconformidad, </w:t>
      </w:r>
      <w:r w:rsidR="00063589" w:rsidRPr="007263D7">
        <w:rPr>
          <w:rFonts w:ascii="Times New Roman" w:hAnsi="Times New Roman" w:cs="Times New Roman"/>
          <w:color w:val="000000" w:themeColor="text1"/>
          <w:sz w:val="28"/>
          <w:szCs w:val="28"/>
          <w:shd w:val="clear" w:color="auto" w:fill="FFFFFF"/>
          <w:lang w:val="es-ES"/>
        </w:rPr>
        <w:t>[…]</w:t>
      </w:r>
      <w:r w:rsidRPr="007263D7">
        <w:rPr>
          <w:rFonts w:ascii="Times New Roman" w:hAnsi="Times New Roman" w:cs="Times New Roman"/>
          <w:color w:val="000000" w:themeColor="text1"/>
          <w:sz w:val="28"/>
          <w:szCs w:val="28"/>
          <w:shd w:val="clear" w:color="auto" w:fill="FFFFFF"/>
          <w:lang w:val="es-ES"/>
        </w:rPr>
        <w:t xml:space="preserve"> si se tiene presente que no es posible volver sobre una norma que ya no existe</w:t>
      </w:r>
      <w:r w:rsidRPr="007263D7">
        <w:rPr>
          <w:rFonts w:ascii="Times New Roman" w:hAnsi="Times New Roman" w:cs="Times New Roman"/>
          <w:color w:val="000000" w:themeColor="text1"/>
          <w:sz w:val="28"/>
          <w:szCs w:val="28"/>
          <w:lang w:val="es-ES"/>
        </w:rPr>
        <w:t>”</w:t>
      </w:r>
      <w:r w:rsidRPr="007263D7">
        <w:rPr>
          <w:rStyle w:val="Refdenotaalpie"/>
          <w:rFonts w:ascii="Times New Roman" w:hAnsi="Times New Roman" w:cs="Times New Roman"/>
          <w:color w:val="000000" w:themeColor="text1"/>
          <w:sz w:val="28"/>
          <w:szCs w:val="28"/>
          <w:lang w:val="es-ES"/>
        </w:rPr>
        <w:footnoteReference w:id="48"/>
      </w:r>
      <w:r w:rsidRPr="007263D7">
        <w:rPr>
          <w:rFonts w:ascii="Times New Roman" w:hAnsi="Times New Roman" w:cs="Times New Roman"/>
          <w:color w:val="000000" w:themeColor="text1"/>
          <w:sz w:val="28"/>
          <w:szCs w:val="28"/>
          <w:lang w:val="es-ES"/>
        </w:rPr>
        <w:t xml:space="preserve">.  </w:t>
      </w:r>
    </w:p>
    <w:p w14:paraId="68AD0B23" w14:textId="77777777" w:rsidR="00102D29" w:rsidRPr="007263D7" w:rsidRDefault="00102D29" w:rsidP="00C87B5A">
      <w:pPr>
        <w:pStyle w:val="Cabeceraypie"/>
        <w:tabs>
          <w:tab w:val="left" w:pos="426"/>
        </w:tabs>
        <w:jc w:val="both"/>
        <w:rPr>
          <w:rFonts w:ascii="Times New Roman" w:hAnsi="Times New Roman" w:cs="Times New Roman"/>
          <w:color w:val="000000" w:themeColor="text1"/>
          <w:sz w:val="28"/>
          <w:szCs w:val="28"/>
          <w:lang w:val="es-ES"/>
        </w:rPr>
      </w:pPr>
    </w:p>
    <w:p w14:paraId="519136F3" w14:textId="3A2D640A" w:rsidR="00102D29" w:rsidRPr="007263D7" w:rsidRDefault="00102D29" w:rsidP="00C87B5A">
      <w:pPr>
        <w:pStyle w:val="Cabeceraypie"/>
        <w:numPr>
          <w:ilvl w:val="0"/>
          <w:numId w:val="1"/>
        </w:numPr>
        <w:tabs>
          <w:tab w:val="left" w:pos="426"/>
        </w:tabs>
        <w:ind w:left="0" w:firstLine="0"/>
        <w:jc w:val="both"/>
        <w:rPr>
          <w:rFonts w:ascii="Times New Roman" w:hAnsi="Times New Roman" w:cs="Times New Roman"/>
          <w:b/>
          <w:bCs/>
          <w:color w:val="000000" w:themeColor="text1"/>
          <w:sz w:val="28"/>
          <w:szCs w:val="28"/>
          <w:lang w:val="es-ES"/>
        </w:rPr>
      </w:pPr>
      <w:r w:rsidRPr="007263D7">
        <w:rPr>
          <w:rFonts w:ascii="Times New Roman" w:hAnsi="Times New Roman" w:cs="Times New Roman"/>
          <w:color w:val="000000" w:themeColor="text1"/>
          <w:sz w:val="28"/>
          <w:szCs w:val="28"/>
          <w:lang w:val="es-ES"/>
        </w:rPr>
        <w:t xml:space="preserve">En este contexto, se mencionarán algunos ejemplos en los que se estudiaron demandas contra normas que fueron declaradas inexequibles. En la </w:t>
      </w:r>
      <w:r w:rsidR="00063589" w:rsidRPr="007263D7">
        <w:rPr>
          <w:rFonts w:ascii="Times New Roman" w:hAnsi="Times New Roman" w:cs="Times New Roman"/>
          <w:color w:val="000000" w:themeColor="text1"/>
          <w:sz w:val="28"/>
          <w:szCs w:val="28"/>
          <w:lang w:val="es-ES"/>
        </w:rPr>
        <w:t>S</w:t>
      </w:r>
      <w:r w:rsidRPr="007263D7">
        <w:rPr>
          <w:rFonts w:ascii="Times New Roman" w:hAnsi="Times New Roman" w:cs="Times New Roman"/>
          <w:color w:val="000000" w:themeColor="text1"/>
          <w:sz w:val="28"/>
          <w:szCs w:val="28"/>
          <w:lang w:val="es-ES"/>
        </w:rPr>
        <w:t xml:space="preserve">entencia C-383 de 2022, la </w:t>
      </w:r>
      <w:r w:rsidR="00C157B0" w:rsidRPr="007263D7">
        <w:rPr>
          <w:rFonts w:ascii="Times New Roman" w:hAnsi="Times New Roman" w:cs="Times New Roman"/>
          <w:color w:val="000000" w:themeColor="text1"/>
          <w:sz w:val="28"/>
          <w:szCs w:val="28"/>
          <w:lang w:val="es-ES"/>
        </w:rPr>
        <w:t>Corte</w:t>
      </w:r>
      <w:r w:rsidRPr="007263D7">
        <w:rPr>
          <w:rFonts w:ascii="Times New Roman" w:hAnsi="Times New Roman" w:cs="Times New Roman"/>
          <w:color w:val="000000" w:themeColor="text1"/>
          <w:sz w:val="28"/>
          <w:szCs w:val="28"/>
          <w:lang w:val="es-ES"/>
        </w:rPr>
        <w:t xml:space="preserve"> declaró estarse a lo resuelto en la providencia C-155 de 2022 en relación con la demanda formulada contra las disposiciones de la Ley 2098 de 2021. Esta decisión se fundamentó en que las normas cuestionadas en el proceso que concluyó con la </w:t>
      </w:r>
      <w:r w:rsidR="00063589" w:rsidRPr="007263D7">
        <w:rPr>
          <w:rFonts w:ascii="Times New Roman" w:hAnsi="Times New Roman" w:cs="Times New Roman"/>
          <w:color w:val="000000" w:themeColor="text1"/>
          <w:sz w:val="28"/>
          <w:szCs w:val="28"/>
          <w:lang w:val="es-ES"/>
        </w:rPr>
        <w:t>S</w:t>
      </w:r>
      <w:r w:rsidRPr="007263D7">
        <w:rPr>
          <w:rFonts w:ascii="Times New Roman" w:hAnsi="Times New Roman" w:cs="Times New Roman"/>
          <w:color w:val="000000" w:themeColor="text1"/>
          <w:sz w:val="28"/>
          <w:szCs w:val="28"/>
          <w:lang w:val="es-ES"/>
        </w:rPr>
        <w:t>entencia C-383 de 2022 fueron declaradas inexequibles en la Sentencia C-155 de 2022 con efecto retroactivo</w:t>
      </w:r>
      <w:r w:rsidRPr="007263D7">
        <w:rPr>
          <w:rStyle w:val="Refdenotaalpie"/>
          <w:rFonts w:ascii="Times New Roman" w:hAnsi="Times New Roman" w:cs="Times New Roman"/>
          <w:color w:val="000000" w:themeColor="text1"/>
          <w:sz w:val="28"/>
          <w:szCs w:val="28"/>
          <w:lang w:val="es-ES"/>
        </w:rPr>
        <w:footnoteReference w:id="49"/>
      </w:r>
      <w:r w:rsidRPr="007263D7">
        <w:rPr>
          <w:rFonts w:ascii="Times New Roman" w:hAnsi="Times New Roman" w:cs="Times New Roman"/>
          <w:color w:val="000000" w:themeColor="text1"/>
          <w:sz w:val="28"/>
          <w:szCs w:val="28"/>
          <w:lang w:val="es-ES"/>
        </w:rPr>
        <w:t>. Para la Corte, los enunciados legales fueron expulsados del ordenamiento jurídico y no procedía una decisión de fondo.</w:t>
      </w:r>
    </w:p>
    <w:p w14:paraId="4AF5DE12" w14:textId="77777777" w:rsidR="00102D29" w:rsidRPr="007263D7" w:rsidRDefault="00102D29" w:rsidP="00C87B5A">
      <w:pPr>
        <w:pStyle w:val="Cabeceraypie"/>
        <w:tabs>
          <w:tab w:val="left" w:pos="426"/>
        </w:tabs>
        <w:jc w:val="both"/>
        <w:rPr>
          <w:rFonts w:ascii="Times New Roman" w:hAnsi="Times New Roman" w:cs="Times New Roman"/>
          <w:color w:val="000000" w:themeColor="text1"/>
          <w:sz w:val="28"/>
          <w:szCs w:val="28"/>
          <w:lang w:val="es-ES"/>
        </w:rPr>
      </w:pPr>
    </w:p>
    <w:p w14:paraId="0B341329" w14:textId="77777777" w:rsidR="008C5DFD" w:rsidRPr="007263D7" w:rsidRDefault="00102D29" w:rsidP="00C87B5A">
      <w:pPr>
        <w:pStyle w:val="Cabeceraypie"/>
        <w:numPr>
          <w:ilvl w:val="0"/>
          <w:numId w:val="1"/>
        </w:numPr>
        <w:tabs>
          <w:tab w:val="left" w:pos="426"/>
        </w:tabs>
        <w:ind w:left="0" w:firstLine="0"/>
        <w:jc w:val="both"/>
        <w:rPr>
          <w:rFonts w:ascii="Times New Roman" w:hAnsi="Times New Roman" w:cs="Times New Roman"/>
          <w:b/>
          <w:bCs/>
          <w:color w:val="000000" w:themeColor="text1"/>
          <w:sz w:val="28"/>
          <w:szCs w:val="28"/>
          <w:lang w:val="es-ES"/>
        </w:rPr>
      </w:pPr>
      <w:r w:rsidRPr="007263D7">
        <w:rPr>
          <w:rFonts w:ascii="Times New Roman" w:hAnsi="Times New Roman" w:cs="Times New Roman"/>
          <w:color w:val="000000" w:themeColor="text1"/>
          <w:sz w:val="28"/>
          <w:szCs w:val="28"/>
          <w:lang w:val="es-ES"/>
        </w:rPr>
        <w:t xml:space="preserve">Asimismo, en la </w:t>
      </w:r>
      <w:r w:rsidR="00063589" w:rsidRPr="007263D7">
        <w:rPr>
          <w:rFonts w:ascii="Times New Roman" w:hAnsi="Times New Roman" w:cs="Times New Roman"/>
          <w:color w:val="000000" w:themeColor="text1"/>
          <w:sz w:val="28"/>
          <w:szCs w:val="28"/>
          <w:lang w:val="es-ES"/>
        </w:rPr>
        <w:t>S</w:t>
      </w:r>
      <w:r w:rsidRPr="007263D7">
        <w:rPr>
          <w:rFonts w:ascii="Times New Roman" w:hAnsi="Times New Roman" w:cs="Times New Roman"/>
          <w:color w:val="000000" w:themeColor="text1"/>
          <w:sz w:val="28"/>
          <w:szCs w:val="28"/>
          <w:lang w:val="es-ES"/>
        </w:rPr>
        <w:t xml:space="preserve">entencia C-306 de 2022 se declaró estarse a lo resuelto en la decisión de inexequibilidad que se adoptó sobre el artículo 124 de la Ley 2159 de 2021 en la </w:t>
      </w:r>
      <w:r w:rsidR="00063589" w:rsidRPr="007263D7">
        <w:rPr>
          <w:rFonts w:ascii="Times New Roman" w:hAnsi="Times New Roman" w:cs="Times New Roman"/>
          <w:color w:val="000000" w:themeColor="text1"/>
          <w:sz w:val="28"/>
          <w:szCs w:val="28"/>
          <w:lang w:val="es-ES"/>
        </w:rPr>
        <w:t>S</w:t>
      </w:r>
      <w:r w:rsidRPr="007263D7">
        <w:rPr>
          <w:rFonts w:ascii="Times New Roman" w:hAnsi="Times New Roman" w:cs="Times New Roman"/>
          <w:color w:val="000000" w:themeColor="text1"/>
          <w:sz w:val="28"/>
          <w:szCs w:val="28"/>
          <w:lang w:val="es-ES"/>
        </w:rPr>
        <w:t xml:space="preserve">entencia C-153 de 2022, la cual implicó la supresión de esa disposición del ordenamiento jurídico. En efecto, la </w:t>
      </w:r>
      <w:r w:rsidR="00063589" w:rsidRPr="007263D7">
        <w:rPr>
          <w:rFonts w:ascii="Times New Roman" w:hAnsi="Times New Roman" w:cs="Times New Roman"/>
          <w:color w:val="000000" w:themeColor="text1"/>
          <w:sz w:val="28"/>
          <w:szCs w:val="28"/>
          <w:lang w:val="es-ES"/>
        </w:rPr>
        <w:t>Corte</w:t>
      </w:r>
      <w:r w:rsidRPr="007263D7">
        <w:rPr>
          <w:rFonts w:ascii="Times New Roman" w:hAnsi="Times New Roman" w:cs="Times New Roman"/>
          <w:color w:val="000000" w:themeColor="text1"/>
          <w:sz w:val="28"/>
          <w:szCs w:val="28"/>
          <w:lang w:val="es-ES"/>
        </w:rPr>
        <w:t xml:space="preserve"> se abstuvo de estudiar los cargos presentados contra dicha disposición, al configurarse una cosa juzgada absoluta sobre esta</w:t>
      </w:r>
      <w:r w:rsidRPr="007263D7">
        <w:rPr>
          <w:rStyle w:val="Refdenotaalpie"/>
          <w:rFonts w:ascii="Times New Roman" w:hAnsi="Times New Roman" w:cs="Times New Roman"/>
          <w:color w:val="000000" w:themeColor="text1"/>
          <w:sz w:val="28"/>
          <w:szCs w:val="28"/>
          <w:lang w:val="es-ES"/>
        </w:rPr>
        <w:footnoteReference w:id="50"/>
      </w:r>
      <w:r w:rsidRPr="007263D7">
        <w:rPr>
          <w:rFonts w:ascii="Times New Roman" w:hAnsi="Times New Roman" w:cs="Times New Roman"/>
          <w:color w:val="000000" w:themeColor="text1"/>
          <w:sz w:val="28"/>
          <w:szCs w:val="28"/>
          <w:lang w:val="es-ES"/>
        </w:rPr>
        <w:t xml:space="preserve">. Otro ejemplo de aplicación de estos efectos de la cosa juzgada se encuentra en la </w:t>
      </w:r>
      <w:r w:rsidR="00063589" w:rsidRPr="007263D7">
        <w:rPr>
          <w:rFonts w:ascii="Times New Roman" w:hAnsi="Times New Roman" w:cs="Times New Roman"/>
          <w:color w:val="000000" w:themeColor="text1"/>
          <w:sz w:val="28"/>
          <w:szCs w:val="28"/>
          <w:lang w:val="es-ES"/>
        </w:rPr>
        <w:t>S</w:t>
      </w:r>
      <w:r w:rsidRPr="007263D7">
        <w:rPr>
          <w:rFonts w:ascii="Times New Roman" w:hAnsi="Times New Roman" w:cs="Times New Roman"/>
          <w:color w:val="000000" w:themeColor="text1"/>
          <w:sz w:val="28"/>
          <w:szCs w:val="28"/>
          <w:lang w:val="es-ES"/>
        </w:rPr>
        <w:t xml:space="preserve">entencia C-489 de 2009. En esta decisión, la </w:t>
      </w:r>
      <w:r w:rsidR="00944851" w:rsidRPr="007263D7">
        <w:rPr>
          <w:rFonts w:ascii="Times New Roman" w:hAnsi="Times New Roman" w:cs="Times New Roman"/>
          <w:color w:val="000000" w:themeColor="text1"/>
          <w:sz w:val="28"/>
          <w:szCs w:val="28"/>
          <w:lang w:val="es-ES"/>
        </w:rPr>
        <w:t>Corte</w:t>
      </w:r>
      <w:r w:rsidRPr="007263D7">
        <w:rPr>
          <w:rFonts w:ascii="Times New Roman" w:hAnsi="Times New Roman" w:cs="Times New Roman"/>
          <w:color w:val="000000" w:themeColor="text1"/>
          <w:sz w:val="28"/>
          <w:szCs w:val="28"/>
          <w:lang w:val="es-ES"/>
        </w:rPr>
        <w:t xml:space="preserve"> se estuvo a lo resuelto en la </w:t>
      </w:r>
      <w:r w:rsidR="00063589" w:rsidRPr="007263D7">
        <w:rPr>
          <w:rFonts w:ascii="Times New Roman" w:hAnsi="Times New Roman" w:cs="Times New Roman"/>
          <w:color w:val="000000" w:themeColor="text1"/>
          <w:sz w:val="28"/>
          <w:szCs w:val="28"/>
          <w:lang w:val="es-ES"/>
        </w:rPr>
        <w:t>S</w:t>
      </w:r>
      <w:r w:rsidRPr="007263D7">
        <w:rPr>
          <w:rFonts w:ascii="Times New Roman" w:hAnsi="Times New Roman" w:cs="Times New Roman"/>
          <w:color w:val="000000" w:themeColor="text1"/>
          <w:sz w:val="28"/>
          <w:szCs w:val="28"/>
          <w:lang w:val="es-ES"/>
        </w:rPr>
        <w:t xml:space="preserve">entencia C-1198 de 2008, que determinó la inexequibilidad de algunos fragmentos del inciso segundo del numeral 3º del artículo 2 de la Ley 1142 de 2007. Esto se fundamentó en que la norma ya no pertenecía al ordenamiento jurídico y no había lugar a estudiar la constitucionalidad de dicho precepto, independientemente de que los cargos planteados en la nueva demanda fueran distintos a aquellos que motivaron la declaratoria de inexequibilidad en el pronunciamiento anterior. </w:t>
      </w:r>
    </w:p>
    <w:p w14:paraId="1FA1B2C3" w14:textId="77777777" w:rsidR="008C5DFD" w:rsidRPr="007263D7" w:rsidRDefault="008C5DFD" w:rsidP="00C87B5A">
      <w:pPr>
        <w:pStyle w:val="Cabeceraypie"/>
        <w:tabs>
          <w:tab w:val="left" w:pos="426"/>
        </w:tabs>
        <w:jc w:val="both"/>
        <w:rPr>
          <w:rFonts w:ascii="Times New Roman" w:hAnsi="Times New Roman" w:cs="Times New Roman"/>
          <w:b/>
          <w:bCs/>
          <w:color w:val="000000" w:themeColor="text1"/>
          <w:sz w:val="28"/>
          <w:szCs w:val="28"/>
          <w:lang w:val="es-ES"/>
        </w:rPr>
      </w:pPr>
    </w:p>
    <w:p w14:paraId="25913B9B" w14:textId="03072A1B" w:rsidR="008C5DFD" w:rsidRPr="007263D7" w:rsidRDefault="000B0E70" w:rsidP="00C87B5A">
      <w:pPr>
        <w:pStyle w:val="Cabeceraypie"/>
        <w:numPr>
          <w:ilvl w:val="0"/>
          <w:numId w:val="1"/>
        </w:numPr>
        <w:tabs>
          <w:tab w:val="left" w:pos="426"/>
        </w:tabs>
        <w:ind w:left="0" w:firstLine="0"/>
        <w:jc w:val="both"/>
        <w:rPr>
          <w:rFonts w:ascii="Times New Roman" w:hAnsi="Times New Roman" w:cs="Times New Roman"/>
          <w:b/>
          <w:bCs/>
          <w:color w:val="000000" w:themeColor="text1"/>
          <w:sz w:val="28"/>
          <w:szCs w:val="28"/>
          <w:lang w:val="es-ES"/>
        </w:rPr>
      </w:pPr>
      <w:r w:rsidRPr="007263D7">
        <w:rPr>
          <w:rFonts w:ascii="Times New Roman" w:hAnsi="Times New Roman" w:cs="Times New Roman"/>
          <w:bCs/>
          <w:color w:val="000000" w:themeColor="text1"/>
          <w:sz w:val="28"/>
          <w:szCs w:val="28"/>
          <w:lang w:val="es-ES"/>
        </w:rPr>
        <w:t>Ahora bien, l</w:t>
      </w:r>
      <w:r w:rsidR="00CF2961" w:rsidRPr="007263D7">
        <w:rPr>
          <w:rFonts w:ascii="Times New Roman" w:hAnsi="Times New Roman" w:cs="Times New Roman"/>
          <w:bCs/>
          <w:color w:val="000000" w:themeColor="text1"/>
          <w:sz w:val="28"/>
          <w:szCs w:val="28"/>
          <w:lang w:val="es-ES"/>
        </w:rPr>
        <w:t xml:space="preserve">a Corte Constitucional </w:t>
      </w:r>
      <w:r w:rsidRPr="007263D7">
        <w:rPr>
          <w:rFonts w:ascii="Times New Roman" w:hAnsi="Times New Roman" w:cs="Times New Roman"/>
          <w:bCs/>
          <w:color w:val="000000" w:themeColor="text1"/>
          <w:sz w:val="28"/>
          <w:szCs w:val="28"/>
          <w:lang w:val="es-ES"/>
        </w:rPr>
        <w:t xml:space="preserve">ha reconocido </w:t>
      </w:r>
      <w:r w:rsidR="00CF2961" w:rsidRPr="007263D7">
        <w:rPr>
          <w:rFonts w:ascii="Times New Roman" w:hAnsi="Times New Roman" w:cs="Times New Roman"/>
          <w:bCs/>
          <w:color w:val="000000" w:themeColor="text1"/>
          <w:sz w:val="28"/>
          <w:szCs w:val="28"/>
          <w:lang w:val="es-ES"/>
        </w:rPr>
        <w:t>que</w:t>
      </w:r>
      <w:r w:rsidR="00A85908" w:rsidRPr="007263D7">
        <w:rPr>
          <w:rFonts w:ascii="Times New Roman" w:hAnsi="Times New Roman" w:cs="Times New Roman"/>
          <w:bCs/>
          <w:color w:val="000000" w:themeColor="text1"/>
          <w:sz w:val="28"/>
          <w:szCs w:val="28"/>
          <w:lang w:val="es-ES"/>
        </w:rPr>
        <w:t>, según la naturaleza del cargo,</w:t>
      </w:r>
      <w:r w:rsidR="00CF2961" w:rsidRPr="007263D7">
        <w:rPr>
          <w:rFonts w:ascii="Times New Roman" w:hAnsi="Times New Roman" w:cs="Times New Roman"/>
          <w:bCs/>
          <w:color w:val="000000" w:themeColor="text1"/>
          <w:sz w:val="28"/>
          <w:szCs w:val="28"/>
          <w:lang w:val="es-ES"/>
        </w:rPr>
        <w:t xml:space="preserve"> es posible un pronunciamiento</w:t>
      </w:r>
      <w:r w:rsidR="00A85908" w:rsidRPr="007263D7">
        <w:rPr>
          <w:rFonts w:ascii="Times New Roman" w:hAnsi="Times New Roman" w:cs="Times New Roman"/>
          <w:bCs/>
          <w:color w:val="000000" w:themeColor="text1"/>
          <w:sz w:val="28"/>
          <w:szCs w:val="28"/>
          <w:lang w:val="es-ES"/>
        </w:rPr>
        <w:t xml:space="preserve"> de fondo</w:t>
      </w:r>
      <w:r w:rsidR="00CF2961" w:rsidRPr="007263D7">
        <w:rPr>
          <w:rFonts w:ascii="Times New Roman" w:hAnsi="Times New Roman" w:cs="Times New Roman"/>
          <w:bCs/>
          <w:color w:val="000000" w:themeColor="text1"/>
          <w:sz w:val="28"/>
          <w:szCs w:val="28"/>
          <w:lang w:val="es-ES"/>
        </w:rPr>
        <w:t xml:space="preserve"> luego de una declaratoria de inexequibilidad</w:t>
      </w:r>
      <w:r w:rsidR="007804F9" w:rsidRPr="007263D7">
        <w:rPr>
          <w:rFonts w:ascii="Times New Roman" w:hAnsi="Times New Roman" w:cs="Times New Roman"/>
          <w:bCs/>
          <w:color w:val="000000" w:themeColor="text1"/>
          <w:sz w:val="28"/>
          <w:szCs w:val="28"/>
          <w:lang w:val="es-ES"/>
        </w:rPr>
        <w:t>, cuando esta se da</w:t>
      </w:r>
      <w:r w:rsidR="00CF2961" w:rsidRPr="007263D7">
        <w:rPr>
          <w:rFonts w:ascii="Times New Roman" w:hAnsi="Times New Roman" w:cs="Times New Roman"/>
          <w:bCs/>
          <w:color w:val="000000" w:themeColor="text1"/>
          <w:sz w:val="28"/>
          <w:szCs w:val="28"/>
          <w:lang w:val="es-ES"/>
        </w:rPr>
        <w:t xml:space="preserve"> con efectos diferidos</w:t>
      </w:r>
      <w:r w:rsidR="006875BA" w:rsidRPr="007263D7">
        <w:rPr>
          <w:rStyle w:val="Refdenotaalpie"/>
          <w:rFonts w:ascii="Times New Roman" w:hAnsi="Times New Roman" w:cs="Times New Roman"/>
          <w:bCs/>
          <w:color w:val="000000" w:themeColor="text1"/>
          <w:sz w:val="28"/>
          <w:szCs w:val="28"/>
          <w:lang w:val="es-ES"/>
        </w:rPr>
        <w:footnoteReference w:id="51"/>
      </w:r>
      <w:r w:rsidR="00CF2961" w:rsidRPr="007263D7">
        <w:rPr>
          <w:rFonts w:ascii="Times New Roman" w:hAnsi="Times New Roman" w:cs="Times New Roman"/>
          <w:bCs/>
          <w:color w:val="000000" w:themeColor="text1"/>
          <w:sz w:val="28"/>
          <w:szCs w:val="28"/>
          <w:lang w:val="es-ES"/>
        </w:rPr>
        <w:t>.</w:t>
      </w:r>
      <w:r w:rsidR="002F4769" w:rsidRPr="007263D7">
        <w:rPr>
          <w:rFonts w:ascii="Times New Roman" w:hAnsi="Times New Roman" w:cs="Times New Roman"/>
          <w:bCs/>
          <w:color w:val="000000" w:themeColor="text1"/>
          <w:sz w:val="28"/>
          <w:szCs w:val="28"/>
          <w:lang w:val="es-ES"/>
        </w:rPr>
        <w:t xml:space="preserve"> En caso de que </w:t>
      </w:r>
      <w:r w:rsidR="00CF2961" w:rsidRPr="007263D7">
        <w:rPr>
          <w:rFonts w:ascii="Times New Roman" w:hAnsi="Times New Roman" w:cs="Times New Roman"/>
          <w:bCs/>
          <w:color w:val="000000" w:themeColor="text1"/>
          <w:sz w:val="28"/>
          <w:szCs w:val="28"/>
          <w:lang w:val="es-ES"/>
        </w:rPr>
        <w:t xml:space="preserve">la inexequibilidad se </w:t>
      </w:r>
      <w:r w:rsidR="002F4769" w:rsidRPr="007263D7">
        <w:rPr>
          <w:rFonts w:ascii="Times New Roman" w:hAnsi="Times New Roman" w:cs="Times New Roman"/>
          <w:bCs/>
          <w:color w:val="000000" w:themeColor="text1"/>
          <w:sz w:val="28"/>
          <w:szCs w:val="28"/>
          <w:lang w:val="es-ES"/>
        </w:rPr>
        <w:t>declare</w:t>
      </w:r>
      <w:r w:rsidR="00CF2961" w:rsidRPr="007263D7">
        <w:rPr>
          <w:rFonts w:ascii="Times New Roman" w:hAnsi="Times New Roman" w:cs="Times New Roman"/>
          <w:bCs/>
          <w:color w:val="000000" w:themeColor="text1"/>
          <w:sz w:val="28"/>
          <w:szCs w:val="28"/>
          <w:lang w:val="es-ES"/>
        </w:rPr>
        <w:t xml:space="preserve"> por vicios de procedimiento y </w:t>
      </w:r>
      <w:r w:rsidR="002F4769" w:rsidRPr="007263D7">
        <w:rPr>
          <w:rFonts w:ascii="Times New Roman" w:hAnsi="Times New Roman" w:cs="Times New Roman"/>
          <w:bCs/>
          <w:color w:val="000000" w:themeColor="text1"/>
          <w:sz w:val="28"/>
          <w:szCs w:val="28"/>
          <w:lang w:val="es-ES"/>
        </w:rPr>
        <w:t xml:space="preserve">los efectos </w:t>
      </w:r>
      <w:r w:rsidR="00B853C2" w:rsidRPr="007263D7">
        <w:rPr>
          <w:rFonts w:ascii="Times New Roman" w:hAnsi="Times New Roman" w:cs="Times New Roman"/>
          <w:bCs/>
          <w:color w:val="000000" w:themeColor="text1"/>
          <w:sz w:val="28"/>
          <w:szCs w:val="28"/>
          <w:lang w:val="es-ES"/>
        </w:rPr>
        <w:t xml:space="preserve">de esa sentencia </w:t>
      </w:r>
      <w:r w:rsidR="00A85908" w:rsidRPr="007263D7">
        <w:rPr>
          <w:rFonts w:ascii="Times New Roman" w:hAnsi="Times New Roman" w:cs="Times New Roman"/>
          <w:bCs/>
          <w:color w:val="000000" w:themeColor="text1"/>
          <w:sz w:val="28"/>
          <w:szCs w:val="28"/>
          <w:lang w:val="es-ES"/>
        </w:rPr>
        <w:t>sean</w:t>
      </w:r>
      <w:r w:rsidR="002F4769" w:rsidRPr="007263D7">
        <w:rPr>
          <w:rFonts w:ascii="Times New Roman" w:hAnsi="Times New Roman" w:cs="Times New Roman"/>
          <w:bCs/>
          <w:color w:val="000000" w:themeColor="text1"/>
          <w:sz w:val="28"/>
          <w:szCs w:val="28"/>
          <w:lang w:val="es-ES"/>
        </w:rPr>
        <w:t xml:space="preserve"> diferidos, es posible adelantar un nuevo estudio de constitucionalidad </w:t>
      </w:r>
      <w:r w:rsidR="002F4769" w:rsidRPr="007263D7">
        <w:rPr>
          <w:rFonts w:ascii="Times New Roman" w:hAnsi="Times New Roman" w:cs="Times New Roman"/>
          <w:color w:val="000000" w:themeColor="text1"/>
          <w:sz w:val="28"/>
          <w:szCs w:val="28"/>
          <w:shd w:val="clear" w:color="auto" w:fill="FFFFFF"/>
        </w:rPr>
        <w:t>en el que podrá “declararse</w:t>
      </w:r>
      <w:r w:rsidR="00CF2961" w:rsidRPr="007263D7">
        <w:rPr>
          <w:rFonts w:ascii="Times New Roman" w:hAnsi="Times New Roman" w:cs="Times New Roman"/>
          <w:color w:val="000000" w:themeColor="text1"/>
          <w:sz w:val="28"/>
          <w:szCs w:val="28"/>
          <w:shd w:val="clear" w:color="auto" w:fill="FFFFFF"/>
        </w:rPr>
        <w:t xml:space="preserve"> su exequibilidad, caso en el cual permanecerá vigente hasta que se agote el lapso temporal fijado en el fallo inicial, o se declare inexequible, caso en el cual deberá ser retirada del orden jurídico inmediatamente”</w:t>
      </w:r>
      <w:r w:rsidR="002F4769" w:rsidRPr="007263D7">
        <w:rPr>
          <w:rStyle w:val="Refdenotaalpie"/>
          <w:rFonts w:ascii="Times New Roman" w:hAnsi="Times New Roman" w:cs="Times New Roman"/>
          <w:color w:val="000000" w:themeColor="text1"/>
          <w:sz w:val="28"/>
          <w:szCs w:val="28"/>
          <w:shd w:val="clear" w:color="auto" w:fill="FFFFFF"/>
        </w:rPr>
        <w:footnoteReference w:id="52"/>
      </w:r>
      <w:r w:rsidR="00CF2961" w:rsidRPr="007263D7">
        <w:rPr>
          <w:rFonts w:ascii="Times New Roman" w:hAnsi="Times New Roman" w:cs="Times New Roman"/>
          <w:color w:val="000000" w:themeColor="text1"/>
          <w:sz w:val="28"/>
          <w:szCs w:val="28"/>
          <w:shd w:val="clear" w:color="auto" w:fill="FFFFFF"/>
        </w:rPr>
        <w:t>.</w:t>
      </w:r>
      <w:r w:rsidR="00CF2961" w:rsidRPr="007263D7">
        <w:rPr>
          <w:rFonts w:ascii="Times New Roman" w:hAnsi="Times New Roman" w:cs="Times New Roman"/>
          <w:bCs/>
          <w:color w:val="000000" w:themeColor="text1"/>
          <w:sz w:val="28"/>
          <w:szCs w:val="28"/>
          <w:lang w:val="es-ES"/>
        </w:rPr>
        <w:t xml:space="preserve"> </w:t>
      </w:r>
    </w:p>
    <w:p w14:paraId="4CBEF9D1" w14:textId="77777777" w:rsidR="008C5DFD" w:rsidRPr="007263D7" w:rsidRDefault="008C5DFD" w:rsidP="00C87B5A">
      <w:pPr>
        <w:pStyle w:val="Cabeceraypie"/>
        <w:tabs>
          <w:tab w:val="left" w:pos="426"/>
        </w:tabs>
        <w:jc w:val="both"/>
        <w:rPr>
          <w:rFonts w:ascii="Times New Roman" w:hAnsi="Times New Roman" w:cs="Times New Roman"/>
          <w:b/>
          <w:bCs/>
          <w:color w:val="000000" w:themeColor="text1"/>
          <w:sz w:val="28"/>
          <w:szCs w:val="28"/>
          <w:lang w:val="es-ES"/>
        </w:rPr>
      </w:pPr>
    </w:p>
    <w:p w14:paraId="5363DE7A" w14:textId="79361C02" w:rsidR="008C5DFD" w:rsidRPr="007263D7" w:rsidRDefault="001230DC" w:rsidP="00C87B5A">
      <w:pPr>
        <w:pStyle w:val="Cabeceraypie"/>
        <w:numPr>
          <w:ilvl w:val="0"/>
          <w:numId w:val="1"/>
        </w:numPr>
        <w:tabs>
          <w:tab w:val="left" w:pos="426"/>
        </w:tabs>
        <w:ind w:left="0" w:firstLine="0"/>
        <w:jc w:val="both"/>
        <w:rPr>
          <w:rFonts w:ascii="Times New Roman" w:hAnsi="Times New Roman" w:cs="Times New Roman"/>
          <w:b/>
          <w:bCs/>
          <w:color w:val="000000" w:themeColor="text1"/>
          <w:sz w:val="28"/>
          <w:szCs w:val="28"/>
          <w:lang w:val="es-ES"/>
        </w:rPr>
      </w:pPr>
      <w:r w:rsidRPr="007263D7">
        <w:rPr>
          <w:rFonts w:ascii="Times New Roman" w:hAnsi="Times New Roman" w:cs="Times New Roman"/>
          <w:color w:val="000000" w:themeColor="text1"/>
          <w:sz w:val="28"/>
          <w:szCs w:val="28"/>
        </w:rPr>
        <w:t>En este sentido destaca l</w:t>
      </w:r>
      <w:r w:rsidR="00A85908" w:rsidRPr="007263D7">
        <w:rPr>
          <w:rFonts w:ascii="Times New Roman" w:hAnsi="Times New Roman" w:cs="Times New Roman"/>
          <w:color w:val="000000" w:themeColor="text1"/>
          <w:sz w:val="28"/>
          <w:szCs w:val="28"/>
        </w:rPr>
        <w:t xml:space="preserve">a </w:t>
      </w:r>
      <w:r w:rsidRPr="007263D7">
        <w:rPr>
          <w:rFonts w:ascii="Times New Roman" w:hAnsi="Times New Roman" w:cs="Times New Roman"/>
          <w:color w:val="000000" w:themeColor="text1"/>
          <w:sz w:val="28"/>
          <w:szCs w:val="28"/>
        </w:rPr>
        <w:t>S</w:t>
      </w:r>
      <w:r w:rsidR="00A85908" w:rsidRPr="007263D7">
        <w:rPr>
          <w:rFonts w:ascii="Times New Roman" w:hAnsi="Times New Roman" w:cs="Times New Roman"/>
          <w:color w:val="000000" w:themeColor="text1"/>
          <w:sz w:val="28"/>
          <w:szCs w:val="28"/>
        </w:rPr>
        <w:t xml:space="preserve">entencia C-088 de 2014 </w:t>
      </w:r>
      <w:r w:rsidR="00914C70" w:rsidRPr="007263D7">
        <w:rPr>
          <w:rFonts w:ascii="Times New Roman" w:hAnsi="Times New Roman" w:cs="Times New Roman"/>
          <w:color w:val="000000" w:themeColor="text1"/>
          <w:sz w:val="28"/>
          <w:szCs w:val="28"/>
        </w:rPr>
        <w:t xml:space="preserve">que </w:t>
      </w:r>
      <w:r w:rsidR="00A85908" w:rsidRPr="007263D7">
        <w:rPr>
          <w:rFonts w:ascii="Times New Roman" w:hAnsi="Times New Roman" w:cs="Times New Roman"/>
          <w:color w:val="000000" w:themeColor="text1"/>
          <w:sz w:val="28"/>
          <w:szCs w:val="28"/>
        </w:rPr>
        <w:t>analizó una demanda de inconstitucionalidad contra el artículo 22 de la Ley 1437 de 2011</w:t>
      </w:r>
      <w:r w:rsidR="00016F8E" w:rsidRPr="007263D7">
        <w:rPr>
          <w:rFonts w:ascii="Times New Roman" w:hAnsi="Times New Roman" w:cs="Times New Roman"/>
          <w:color w:val="000000" w:themeColor="text1"/>
          <w:sz w:val="28"/>
          <w:szCs w:val="28"/>
        </w:rPr>
        <w:t xml:space="preserve">. </w:t>
      </w:r>
      <w:r w:rsidR="00A85908" w:rsidRPr="007263D7">
        <w:rPr>
          <w:rFonts w:ascii="Times New Roman" w:hAnsi="Times New Roman" w:cs="Times New Roman"/>
          <w:color w:val="000000" w:themeColor="text1"/>
          <w:sz w:val="28"/>
          <w:szCs w:val="28"/>
        </w:rPr>
        <w:t xml:space="preserve">La Corte había declarado previamente este artículo inconstitucional en la </w:t>
      </w:r>
      <w:r w:rsidR="003C2D4C" w:rsidRPr="007263D7">
        <w:rPr>
          <w:rFonts w:ascii="Times New Roman" w:hAnsi="Times New Roman" w:cs="Times New Roman"/>
          <w:color w:val="000000" w:themeColor="text1"/>
          <w:sz w:val="28"/>
          <w:szCs w:val="28"/>
        </w:rPr>
        <w:t>S</w:t>
      </w:r>
      <w:r w:rsidR="00A85908" w:rsidRPr="007263D7">
        <w:rPr>
          <w:rFonts w:ascii="Times New Roman" w:hAnsi="Times New Roman" w:cs="Times New Roman"/>
          <w:color w:val="000000" w:themeColor="text1"/>
          <w:sz w:val="28"/>
          <w:szCs w:val="28"/>
        </w:rPr>
        <w:t>entencia C-818 de 2011</w:t>
      </w:r>
      <w:r w:rsidR="00016F8E" w:rsidRPr="007263D7">
        <w:rPr>
          <w:rFonts w:ascii="Times New Roman" w:hAnsi="Times New Roman" w:cs="Times New Roman"/>
          <w:color w:val="000000" w:themeColor="text1"/>
          <w:sz w:val="28"/>
          <w:szCs w:val="28"/>
        </w:rPr>
        <w:t xml:space="preserve"> porque consideró que debía</w:t>
      </w:r>
      <w:r w:rsidR="00A85908" w:rsidRPr="007263D7">
        <w:rPr>
          <w:rFonts w:ascii="Times New Roman" w:hAnsi="Times New Roman" w:cs="Times New Roman"/>
          <w:color w:val="000000" w:themeColor="text1"/>
          <w:sz w:val="28"/>
          <w:szCs w:val="28"/>
        </w:rPr>
        <w:t xml:space="preserve"> ser regulado por una ley estatutaria</w:t>
      </w:r>
      <w:r w:rsidR="00016F8E" w:rsidRPr="007263D7">
        <w:rPr>
          <w:rFonts w:ascii="Times New Roman" w:hAnsi="Times New Roman" w:cs="Times New Roman"/>
          <w:color w:val="000000" w:themeColor="text1"/>
          <w:sz w:val="28"/>
          <w:szCs w:val="28"/>
        </w:rPr>
        <w:t xml:space="preserve">. En esa decisión, la Corte difirió los efectos de la sentencia </w:t>
      </w:r>
      <w:r w:rsidR="00A85908" w:rsidRPr="007263D7">
        <w:rPr>
          <w:rFonts w:ascii="Times New Roman" w:hAnsi="Times New Roman" w:cs="Times New Roman"/>
          <w:color w:val="000000" w:themeColor="text1"/>
          <w:sz w:val="28"/>
          <w:szCs w:val="28"/>
        </w:rPr>
        <w:t>para que el Congreso se encargara de la regulación.</w:t>
      </w:r>
    </w:p>
    <w:p w14:paraId="1689CA8E" w14:textId="77777777" w:rsidR="008C5DFD" w:rsidRPr="007263D7" w:rsidRDefault="008C5DFD" w:rsidP="00C87B5A">
      <w:pPr>
        <w:pStyle w:val="Cabeceraypie"/>
        <w:tabs>
          <w:tab w:val="left" w:pos="426"/>
        </w:tabs>
        <w:jc w:val="both"/>
        <w:rPr>
          <w:rFonts w:ascii="Times New Roman" w:hAnsi="Times New Roman" w:cs="Times New Roman"/>
          <w:b/>
          <w:bCs/>
          <w:color w:val="000000" w:themeColor="text1"/>
          <w:sz w:val="28"/>
          <w:szCs w:val="28"/>
          <w:lang w:val="es-ES"/>
        </w:rPr>
      </w:pPr>
    </w:p>
    <w:p w14:paraId="46F8A622" w14:textId="44B7BEF3" w:rsidR="00634A83" w:rsidRPr="007263D7" w:rsidRDefault="00A85908" w:rsidP="00C87B5A">
      <w:pPr>
        <w:pStyle w:val="Cabeceraypie"/>
        <w:numPr>
          <w:ilvl w:val="0"/>
          <w:numId w:val="1"/>
        </w:numPr>
        <w:tabs>
          <w:tab w:val="left" w:pos="426"/>
        </w:tabs>
        <w:ind w:left="0" w:firstLine="0"/>
        <w:jc w:val="both"/>
        <w:rPr>
          <w:rFonts w:ascii="Times New Roman" w:hAnsi="Times New Roman" w:cs="Times New Roman"/>
          <w:color w:val="000000" w:themeColor="text1"/>
          <w:sz w:val="28"/>
        </w:rPr>
      </w:pPr>
      <w:r w:rsidRPr="007263D7">
        <w:rPr>
          <w:rFonts w:ascii="Times New Roman" w:hAnsi="Times New Roman" w:cs="Times New Roman"/>
          <w:color w:val="000000" w:themeColor="text1"/>
          <w:sz w:val="28"/>
          <w:szCs w:val="28"/>
        </w:rPr>
        <w:t xml:space="preserve">A partir de lo anterior, la Corte se preguntó si </w:t>
      </w:r>
      <w:r w:rsidR="00CA2AED" w:rsidRPr="007263D7">
        <w:rPr>
          <w:rFonts w:ascii="Times New Roman" w:hAnsi="Times New Roman" w:cs="Times New Roman"/>
          <w:color w:val="000000" w:themeColor="text1"/>
          <w:sz w:val="28"/>
          <w:szCs w:val="28"/>
        </w:rPr>
        <w:t xml:space="preserve">una norma que fue declarada </w:t>
      </w:r>
      <w:r w:rsidRPr="007263D7">
        <w:rPr>
          <w:rFonts w:ascii="Times New Roman" w:hAnsi="Times New Roman" w:cs="Times New Roman"/>
          <w:color w:val="000000" w:themeColor="text1"/>
          <w:sz w:val="28"/>
          <w:szCs w:val="28"/>
        </w:rPr>
        <w:t>inexequibil</w:t>
      </w:r>
      <w:r w:rsidR="00CA2AED" w:rsidRPr="007263D7">
        <w:rPr>
          <w:rFonts w:ascii="Times New Roman" w:hAnsi="Times New Roman" w:cs="Times New Roman"/>
          <w:color w:val="000000" w:themeColor="text1"/>
          <w:sz w:val="28"/>
          <w:szCs w:val="28"/>
        </w:rPr>
        <w:t xml:space="preserve">e a través de un fallo con efectos </w:t>
      </w:r>
      <w:r w:rsidRPr="007263D7">
        <w:rPr>
          <w:rFonts w:ascii="Times New Roman" w:hAnsi="Times New Roman" w:cs="Times New Roman"/>
          <w:color w:val="000000" w:themeColor="text1"/>
          <w:sz w:val="28"/>
          <w:szCs w:val="28"/>
        </w:rPr>
        <w:t>diferi</w:t>
      </w:r>
      <w:r w:rsidR="00CA2AED" w:rsidRPr="007263D7">
        <w:rPr>
          <w:rFonts w:ascii="Times New Roman" w:hAnsi="Times New Roman" w:cs="Times New Roman"/>
          <w:color w:val="000000" w:themeColor="text1"/>
          <w:sz w:val="28"/>
          <w:szCs w:val="28"/>
        </w:rPr>
        <w:t>dos</w:t>
      </w:r>
      <w:r w:rsidRPr="007263D7">
        <w:rPr>
          <w:rFonts w:ascii="Times New Roman" w:hAnsi="Times New Roman" w:cs="Times New Roman"/>
          <w:color w:val="000000" w:themeColor="text1"/>
          <w:sz w:val="28"/>
          <w:szCs w:val="28"/>
        </w:rPr>
        <w:t xml:space="preserve"> por falencias procedimentales puede ser </w:t>
      </w:r>
      <w:r w:rsidR="00CA2AED" w:rsidRPr="007263D7">
        <w:rPr>
          <w:rFonts w:ascii="Times New Roman" w:hAnsi="Times New Roman" w:cs="Times New Roman"/>
          <w:color w:val="000000" w:themeColor="text1"/>
          <w:sz w:val="28"/>
          <w:szCs w:val="28"/>
        </w:rPr>
        <w:t>nuevamente revisada</w:t>
      </w:r>
      <w:r w:rsidRPr="007263D7">
        <w:rPr>
          <w:rFonts w:ascii="Times New Roman" w:hAnsi="Times New Roman" w:cs="Times New Roman"/>
          <w:color w:val="000000" w:themeColor="text1"/>
          <w:sz w:val="28"/>
          <w:szCs w:val="28"/>
        </w:rPr>
        <w:t xml:space="preserve"> </w:t>
      </w:r>
      <w:r w:rsidR="00CA2AED" w:rsidRPr="007263D7">
        <w:rPr>
          <w:rFonts w:ascii="Times New Roman" w:hAnsi="Times New Roman" w:cs="Times New Roman"/>
          <w:color w:val="000000" w:themeColor="text1"/>
          <w:sz w:val="28"/>
          <w:szCs w:val="28"/>
        </w:rPr>
        <w:t>por un</w:t>
      </w:r>
      <w:r w:rsidRPr="007263D7">
        <w:rPr>
          <w:rFonts w:ascii="Times New Roman" w:hAnsi="Times New Roman" w:cs="Times New Roman"/>
          <w:color w:val="000000" w:themeColor="text1"/>
          <w:sz w:val="28"/>
          <w:szCs w:val="28"/>
        </w:rPr>
        <w:t xml:space="preserve"> juicio de constitucionalidad basado en vicios sustantivos. La Sala Plena indicó que, en ocasiones anteriores, la respuesta había sido negativa. Sin embargo, al evaluar distintos argumentos sobre la posibilidad de examinar demandas posteriores referentes a normas inexequibles con efectos diferidos, la Sala decidió modificar el precedente que excluía el control constitucional respecto a disposiciones vigentes ya declaradas inconstitucionales en función de vicios de procedimiento</w:t>
      </w:r>
      <w:r w:rsidR="00016F8E" w:rsidRPr="007263D7">
        <w:rPr>
          <w:rFonts w:ascii="Times New Roman" w:hAnsi="Times New Roman" w:cs="Times New Roman"/>
          <w:color w:val="000000" w:themeColor="text1"/>
          <w:sz w:val="28"/>
          <w:szCs w:val="28"/>
        </w:rPr>
        <w:t xml:space="preserve"> y reconoció la posibilidad de estudiar la constitucionalidad de la norma </w:t>
      </w:r>
      <w:r w:rsidRPr="007263D7">
        <w:rPr>
          <w:rFonts w:ascii="Times New Roman" w:hAnsi="Times New Roman" w:cs="Times New Roman"/>
          <w:color w:val="000000" w:themeColor="text1"/>
          <w:sz w:val="28"/>
          <w:szCs w:val="28"/>
        </w:rPr>
        <w:t>cuando las objeciones se centran en deficiencias sustantivas</w:t>
      </w:r>
      <w:r w:rsidR="00A878EA" w:rsidRPr="007263D7">
        <w:rPr>
          <w:rStyle w:val="Refdenotaalpie"/>
          <w:rFonts w:ascii="Times New Roman" w:hAnsi="Times New Roman" w:cs="Times New Roman"/>
          <w:color w:val="000000" w:themeColor="text1"/>
          <w:sz w:val="28"/>
          <w:szCs w:val="28"/>
        </w:rPr>
        <w:footnoteReference w:id="53"/>
      </w:r>
      <w:r w:rsidR="00A878EA" w:rsidRPr="007263D7">
        <w:rPr>
          <w:rFonts w:ascii="Times New Roman" w:hAnsi="Times New Roman" w:cs="Times New Roman"/>
          <w:color w:val="000000" w:themeColor="text1"/>
          <w:sz w:val="28"/>
          <w:szCs w:val="28"/>
        </w:rPr>
        <w:t>. Así, esa sentencia</w:t>
      </w:r>
      <w:r w:rsidR="00634A83" w:rsidRPr="007263D7">
        <w:rPr>
          <w:rFonts w:ascii="Times New Roman" w:hAnsi="Times New Roman" w:cs="Times New Roman"/>
          <w:color w:val="000000" w:themeColor="text1"/>
          <w:sz w:val="28"/>
          <w:szCs w:val="28"/>
        </w:rPr>
        <w:t xml:space="preserve"> </w:t>
      </w:r>
      <w:r w:rsidR="00A878EA" w:rsidRPr="007263D7">
        <w:rPr>
          <w:rFonts w:ascii="Times New Roman" w:hAnsi="Times New Roman" w:cs="Times New Roman"/>
          <w:color w:val="000000" w:themeColor="text1"/>
          <w:sz w:val="28"/>
          <w:szCs w:val="28"/>
        </w:rPr>
        <w:t>concluyó que</w:t>
      </w:r>
      <w:r w:rsidR="00634A83" w:rsidRPr="007263D7">
        <w:rPr>
          <w:rFonts w:ascii="Times New Roman" w:hAnsi="Times New Roman" w:cs="Times New Roman"/>
          <w:color w:val="000000" w:themeColor="text1"/>
          <w:sz w:val="28"/>
          <w:szCs w:val="28"/>
        </w:rPr>
        <w:t xml:space="preserve"> cuando se adopta una decisión de inexequibilidad diferida es</w:t>
      </w:r>
      <w:r w:rsidR="00A878EA" w:rsidRPr="007263D7">
        <w:rPr>
          <w:rFonts w:ascii="Times New Roman" w:hAnsi="Times New Roman" w:cs="Times New Roman"/>
          <w:color w:val="000000" w:themeColor="text1"/>
          <w:sz w:val="28"/>
          <w:szCs w:val="28"/>
        </w:rPr>
        <w:t xml:space="preserve"> </w:t>
      </w:r>
      <w:r w:rsidR="00634A83" w:rsidRPr="007263D7">
        <w:rPr>
          <w:rFonts w:ascii="Times New Roman" w:hAnsi="Times New Roman" w:cs="Times New Roman"/>
          <w:color w:val="000000" w:themeColor="text1"/>
          <w:sz w:val="28"/>
          <w:szCs w:val="28"/>
        </w:rPr>
        <w:t>posible plantear nuevos cargos durante el tiempo del diferimiento. Ello significa que, mientras el plazo del</w:t>
      </w:r>
      <w:r w:rsidR="00A878EA" w:rsidRPr="007263D7">
        <w:rPr>
          <w:rFonts w:ascii="Times New Roman" w:hAnsi="Times New Roman" w:cs="Times New Roman"/>
          <w:color w:val="000000" w:themeColor="text1"/>
          <w:sz w:val="28"/>
          <w:szCs w:val="28"/>
        </w:rPr>
        <w:t xml:space="preserve"> </w:t>
      </w:r>
      <w:r w:rsidR="00634A83" w:rsidRPr="007263D7">
        <w:rPr>
          <w:rFonts w:ascii="Times New Roman" w:hAnsi="Times New Roman" w:cs="Times New Roman"/>
          <w:color w:val="000000" w:themeColor="text1"/>
          <w:sz w:val="28"/>
          <w:szCs w:val="28"/>
        </w:rPr>
        <w:t xml:space="preserve">diferimiento no concluya, la cosa juzgada es relativa. </w:t>
      </w:r>
    </w:p>
    <w:p w14:paraId="405AE655" w14:textId="77777777" w:rsidR="00102D29" w:rsidRPr="007263D7" w:rsidRDefault="00102D29" w:rsidP="00C87B5A">
      <w:pPr>
        <w:pStyle w:val="Cabeceraypie"/>
        <w:tabs>
          <w:tab w:val="left" w:pos="426"/>
        </w:tabs>
        <w:jc w:val="both"/>
        <w:rPr>
          <w:rFonts w:ascii="Times New Roman" w:hAnsi="Times New Roman" w:cs="Times New Roman"/>
          <w:color w:val="000000" w:themeColor="text1"/>
          <w:sz w:val="28"/>
          <w:szCs w:val="28"/>
          <w:lang w:val="es-ES"/>
        </w:rPr>
      </w:pPr>
    </w:p>
    <w:p w14:paraId="7A432B3C" w14:textId="287E4EA4" w:rsidR="00102D29" w:rsidRPr="007263D7" w:rsidRDefault="00102D29" w:rsidP="00C87B5A">
      <w:pPr>
        <w:pStyle w:val="Cabeceraypie"/>
        <w:numPr>
          <w:ilvl w:val="0"/>
          <w:numId w:val="1"/>
        </w:numPr>
        <w:tabs>
          <w:tab w:val="left" w:pos="426"/>
        </w:tabs>
        <w:ind w:left="0" w:firstLine="0"/>
        <w:jc w:val="both"/>
        <w:rPr>
          <w:rFonts w:ascii="Times New Roman" w:hAnsi="Times New Roman" w:cs="Times New Roman"/>
          <w:b/>
          <w:bCs/>
          <w:color w:val="000000" w:themeColor="text1"/>
          <w:sz w:val="28"/>
          <w:lang w:val="es-ES"/>
        </w:rPr>
      </w:pPr>
      <w:r w:rsidRPr="007263D7">
        <w:rPr>
          <w:rFonts w:ascii="Times New Roman" w:hAnsi="Times New Roman" w:cs="Times New Roman"/>
          <w:color w:val="000000" w:themeColor="text1"/>
          <w:sz w:val="28"/>
          <w:szCs w:val="28"/>
          <w:lang w:val="es-ES"/>
        </w:rPr>
        <w:t xml:space="preserve">En </w:t>
      </w:r>
      <w:r w:rsidR="000D001E" w:rsidRPr="007263D7">
        <w:rPr>
          <w:rFonts w:ascii="Times New Roman" w:hAnsi="Times New Roman" w:cs="Times New Roman"/>
          <w:color w:val="000000" w:themeColor="text1"/>
          <w:sz w:val="28"/>
          <w:szCs w:val="28"/>
          <w:lang w:val="es-ES"/>
        </w:rPr>
        <w:t>suma</w:t>
      </w:r>
      <w:r w:rsidRPr="007263D7">
        <w:rPr>
          <w:rFonts w:ascii="Times New Roman" w:hAnsi="Times New Roman" w:cs="Times New Roman"/>
          <w:color w:val="000000" w:themeColor="text1"/>
          <w:sz w:val="28"/>
          <w:szCs w:val="28"/>
          <w:lang w:val="es-ES"/>
        </w:rPr>
        <w:t xml:space="preserve">, </w:t>
      </w:r>
      <w:r w:rsidRPr="007263D7">
        <w:rPr>
          <w:rStyle w:val="baj"/>
          <w:rFonts w:ascii="Times New Roman" w:hAnsi="Times New Roman" w:cs="Times New Roman"/>
          <w:color w:val="000000" w:themeColor="text1"/>
          <w:sz w:val="28"/>
          <w:szCs w:val="28"/>
        </w:rPr>
        <w:t>la cosa juzgada constitucional es una institución que otorga el carácter inmutable a una decisión e impide volver a estudiar la norma o reproducirla de nuevo. En el caso de los fallos de inexequibilidad, la cosa juzgada es absoluta debido a que elimina la norma del ordenamiento jurídico. Por lo tanto, no procede el estudio de fondo de las demandas que se encuentran en curso o de otras nuevas, y la decisión que debe dictar esta Corporación corresponde a estarse a lo resuelto en la anterior</w:t>
      </w:r>
      <w:r w:rsidRPr="007263D7">
        <w:rPr>
          <w:rFonts w:ascii="Times New Roman" w:hAnsi="Times New Roman" w:cs="Times New Roman"/>
          <w:color w:val="000000" w:themeColor="text1"/>
          <w:sz w:val="28"/>
          <w:szCs w:val="28"/>
          <w:lang w:val="es-ES"/>
        </w:rPr>
        <w:t xml:space="preserve"> sentencia que declaró la inexequibilidad de la norma.</w:t>
      </w:r>
      <w:r w:rsidR="00133E40" w:rsidRPr="007263D7">
        <w:rPr>
          <w:rFonts w:ascii="Times New Roman" w:hAnsi="Times New Roman" w:cs="Times New Roman"/>
          <w:color w:val="000000" w:themeColor="text1"/>
          <w:sz w:val="28"/>
          <w:szCs w:val="28"/>
          <w:lang w:val="es-ES"/>
        </w:rPr>
        <w:t xml:space="preserve"> Sin embargo, si la declaratoria previa de inexequ</w:t>
      </w:r>
      <w:r w:rsidR="007D32E8" w:rsidRPr="007263D7">
        <w:rPr>
          <w:rFonts w:ascii="Times New Roman" w:hAnsi="Times New Roman" w:cs="Times New Roman"/>
          <w:color w:val="000000" w:themeColor="text1"/>
          <w:sz w:val="28"/>
          <w:szCs w:val="28"/>
          <w:lang w:val="es-ES"/>
        </w:rPr>
        <w:t>i</w:t>
      </w:r>
      <w:r w:rsidR="00133E40" w:rsidRPr="007263D7">
        <w:rPr>
          <w:rFonts w:ascii="Times New Roman" w:hAnsi="Times New Roman" w:cs="Times New Roman"/>
          <w:color w:val="000000" w:themeColor="text1"/>
          <w:sz w:val="28"/>
          <w:szCs w:val="28"/>
          <w:lang w:val="es-ES"/>
        </w:rPr>
        <w:t>bilidad fue por vicios de procedimiento y la decisión tuvo efectos diferidos</w:t>
      </w:r>
      <w:r w:rsidR="007D32E8" w:rsidRPr="007263D7">
        <w:rPr>
          <w:rFonts w:ascii="Times New Roman" w:hAnsi="Times New Roman" w:cs="Times New Roman"/>
          <w:color w:val="000000" w:themeColor="text1"/>
          <w:sz w:val="28"/>
          <w:szCs w:val="28"/>
          <w:lang w:val="es-ES"/>
        </w:rPr>
        <w:t>,</w:t>
      </w:r>
      <w:r w:rsidR="00133E40" w:rsidRPr="007263D7">
        <w:rPr>
          <w:rFonts w:ascii="Times New Roman" w:hAnsi="Times New Roman" w:cs="Times New Roman"/>
          <w:color w:val="000000" w:themeColor="text1"/>
          <w:sz w:val="28"/>
          <w:szCs w:val="28"/>
          <w:lang w:val="es-ES"/>
        </w:rPr>
        <w:t xml:space="preserve"> la Corte puede </w:t>
      </w:r>
      <w:r w:rsidR="00133E40" w:rsidRPr="007263D7">
        <w:rPr>
          <w:rFonts w:ascii="Times New Roman" w:hAnsi="Times New Roman" w:cs="Times New Roman"/>
          <w:color w:val="000000" w:themeColor="text1"/>
          <w:sz w:val="28"/>
          <w:szCs w:val="28"/>
        </w:rPr>
        <w:t xml:space="preserve">estudiar la constitucionalidad de la norma cuando esas nuevas demandas se centran en deficiencias sustantivas. </w:t>
      </w:r>
    </w:p>
    <w:p w14:paraId="232D8B4F" w14:textId="77777777" w:rsidR="00102D29" w:rsidRPr="007263D7" w:rsidRDefault="00102D29" w:rsidP="00C87B5A">
      <w:pPr>
        <w:pStyle w:val="Prrafodelista"/>
        <w:numPr>
          <w:ilvl w:val="0"/>
          <w:numId w:val="0"/>
        </w:numPr>
      </w:pPr>
    </w:p>
    <w:p w14:paraId="25462A85" w14:textId="75764E32" w:rsidR="00102D29" w:rsidRPr="007263D7" w:rsidRDefault="00797633" w:rsidP="00C87B5A">
      <w:pPr>
        <w:suppressAutoHyphens w:val="0"/>
        <w:rPr>
          <w:rFonts w:ascii="Times New Roman" w:hAnsi="Times New Roman" w:cs="Times New Roman"/>
          <w:b/>
          <w:bCs/>
          <w:color w:val="000000" w:themeColor="text1"/>
          <w:sz w:val="28"/>
          <w:szCs w:val="28"/>
          <w:lang w:val="es-ES"/>
        </w:rPr>
      </w:pPr>
      <w:r w:rsidRPr="007263D7">
        <w:rPr>
          <w:rFonts w:ascii="Times New Roman" w:hAnsi="Times New Roman" w:cs="Times New Roman"/>
          <w:b/>
          <w:bCs/>
          <w:color w:val="000000" w:themeColor="text1"/>
          <w:sz w:val="28"/>
          <w:szCs w:val="28"/>
          <w:lang w:val="es-ES"/>
        </w:rPr>
        <w:t>3</w:t>
      </w:r>
      <w:r w:rsidR="00F52A2A" w:rsidRPr="007263D7">
        <w:rPr>
          <w:rFonts w:ascii="Times New Roman" w:hAnsi="Times New Roman" w:cs="Times New Roman"/>
          <w:b/>
          <w:bCs/>
          <w:color w:val="000000" w:themeColor="text1"/>
          <w:sz w:val="28"/>
          <w:szCs w:val="28"/>
          <w:lang w:val="es-ES"/>
        </w:rPr>
        <w:t xml:space="preserve">.2. </w:t>
      </w:r>
      <w:r w:rsidR="00102D29" w:rsidRPr="007263D7">
        <w:rPr>
          <w:rFonts w:ascii="Times New Roman" w:hAnsi="Times New Roman" w:cs="Times New Roman"/>
          <w:b/>
          <w:bCs/>
          <w:color w:val="000000" w:themeColor="text1"/>
          <w:sz w:val="28"/>
          <w:szCs w:val="28"/>
          <w:lang w:val="es-ES"/>
        </w:rPr>
        <w:t xml:space="preserve">La </w:t>
      </w:r>
      <w:r w:rsidR="000D001E" w:rsidRPr="007263D7">
        <w:rPr>
          <w:rFonts w:ascii="Times New Roman" w:hAnsi="Times New Roman" w:cs="Times New Roman"/>
          <w:b/>
          <w:bCs/>
          <w:color w:val="000000" w:themeColor="text1"/>
          <w:sz w:val="28"/>
          <w:szCs w:val="28"/>
          <w:lang w:val="es-ES"/>
        </w:rPr>
        <w:t>S</w:t>
      </w:r>
      <w:r w:rsidR="00102D29" w:rsidRPr="007263D7">
        <w:rPr>
          <w:rFonts w:ascii="Times New Roman" w:hAnsi="Times New Roman" w:cs="Times New Roman"/>
          <w:b/>
          <w:bCs/>
          <w:color w:val="000000" w:themeColor="text1"/>
          <w:sz w:val="28"/>
          <w:szCs w:val="28"/>
          <w:lang w:val="es-ES"/>
        </w:rPr>
        <w:t>entencia C-</w:t>
      </w:r>
      <w:r w:rsidR="00EF5D50" w:rsidRPr="007263D7">
        <w:rPr>
          <w:rFonts w:ascii="Times New Roman" w:hAnsi="Times New Roman" w:cs="Times New Roman"/>
          <w:b/>
          <w:bCs/>
          <w:color w:val="000000" w:themeColor="text1"/>
          <w:sz w:val="28"/>
          <w:szCs w:val="28"/>
          <w:lang w:val="es-ES"/>
        </w:rPr>
        <w:t>161</w:t>
      </w:r>
      <w:r w:rsidR="00102D29" w:rsidRPr="007263D7">
        <w:rPr>
          <w:rFonts w:ascii="Times New Roman" w:hAnsi="Times New Roman" w:cs="Times New Roman"/>
          <w:b/>
          <w:bCs/>
          <w:color w:val="000000" w:themeColor="text1"/>
          <w:sz w:val="28"/>
          <w:szCs w:val="28"/>
          <w:lang w:val="es-ES"/>
        </w:rPr>
        <w:t xml:space="preserve"> de 2024</w:t>
      </w:r>
    </w:p>
    <w:p w14:paraId="0FD9FB79" w14:textId="77777777" w:rsidR="00102D29" w:rsidRPr="007263D7" w:rsidRDefault="00102D29" w:rsidP="00C87B5A">
      <w:pPr>
        <w:pStyle w:val="Sinespaciado"/>
        <w:jc w:val="both"/>
        <w:rPr>
          <w:rFonts w:ascii="Times New Roman" w:hAnsi="Times New Roman" w:cs="Times New Roman"/>
          <w:color w:val="000000" w:themeColor="text1"/>
          <w:sz w:val="28"/>
          <w:szCs w:val="28"/>
        </w:rPr>
      </w:pPr>
    </w:p>
    <w:p w14:paraId="2F74FBB6" w14:textId="5216CFC0" w:rsidR="00102D29" w:rsidRPr="007263D7" w:rsidRDefault="00102D29" w:rsidP="00C87B5A">
      <w:pPr>
        <w:pStyle w:val="Prrafodelista"/>
      </w:pPr>
      <w:r w:rsidRPr="007263D7">
        <w:t xml:space="preserve">En la </w:t>
      </w:r>
      <w:r w:rsidR="002E4B19" w:rsidRPr="007263D7">
        <w:t>s</w:t>
      </w:r>
      <w:r w:rsidRPr="007263D7">
        <w:t>entencia C-</w:t>
      </w:r>
      <w:r w:rsidR="002E4B19" w:rsidRPr="007263D7">
        <w:t>161</w:t>
      </w:r>
      <w:r w:rsidRPr="007263D7">
        <w:t xml:space="preserve"> de 2024, la </w:t>
      </w:r>
      <w:r w:rsidR="000D001E" w:rsidRPr="007263D7">
        <w:t>Corte</w:t>
      </w:r>
      <w:r w:rsidRPr="007263D7">
        <w:t xml:space="preserve"> analizó dos demandas de inconstitucionalidad formuladas contra </w:t>
      </w:r>
      <w:r w:rsidR="002E4B19" w:rsidRPr="007263D7">
        <w:t>la totalidad de la Ley 2281 de 2023</w:t>
      </w:r>
      <w:r w:rsidRPr="007263D7">
        <w:t xml:space="preserve">, que </w:t>
      </w:r>
      <w:r w:rsidR="00AD47E7" w:rsidRPr="007263D7">
        <w:t>creó</w:t>
      </w:r>
      <w:r w:rsidR="002E4B19" w:rsidRPr="007263D7">
        <w:t xml:space="preserve"> el Ministerio de Igualdad y Equidad</w:t>
      </w:r>
      <w:r w:rsidR="00AD47E7" w:rsidRPr="007263D7">
        <w:t>, y en contra del artículo 12 de esa ley que confería facultades extraordinarias al presidente de la República para integrar el Sector Administrativo de Igualdad y Equidad, mediante la adscripción y vinculación de entidades de la administración pública.</w:t>
      </w:r>
      <w:r w:rsidRPr="007263D7">
        <w:t xml:space="preserve"> </w:t>
      </w:r>
    </w:p>
    <w:p w14:paraId="46688FD5" w14:textId="77777777" w:rsidR="00AD47E7" w:rsidRPr="007263D7" w:rsidRDefault="00AD47E7" w:rsidP="00C87B5A">
      <w:pPr>
        <w:pStyle w:val="Prrafodelista"/>
        <w:numPr>
          <w:ilvl w:val="0"/>
          <w:numId w:val="0"/>
        </w:numPr>
      </w:pPr>
    </w:p>
    <w:p w14:paraId="4C34222D" w14:textId="502CE206" w:rsidR="00942FB3" w:rsidRPr="007263D7" w:rsidRDefault="00102D29" w:rsidP="00C87B5A">
      <w:pPr>
        <w:pStyle w:val="Prrafodelista"/>
      </w:pPr>
      <w:r w:rsidRPr="007263D7">
        <w:t xml:space="preserve">En esa ocasión, los demandantes propusieron </w:t>
      </w:r>
      <w:r w:rsidR="00AD47E7" w:rsidRPr="007263D7">
        <w:t>tres</w:t>
      </w:r>
      <w:r w:rsidRPr="007263D7">
        <w:t xml:space="preserve"> cargos de inconstitucionalidad: </w:t>
      </w:r>
      <w:r w:rsidR="00AD47E7" w:rsidRPr="007263D7">
        <w:t>dos en contra de la totalidad de la Ley por vicios de procedimiento en su formación y uno en contra del artículo 12</w:t>
      </w:r>
      <w:r w:rsidRPr="007263D7">
        <w:t xml:space="preserve">. </w:t>
      </w:r>
      <w:r w:rsidR="00DA79C7" w:rsidRPr="007263D7">
        <w:t>Según l</w:t>
      </w:r>
      <w:r w:rsidR="00942FB3" w:rsidRPr="007263D7">
        <w:t xml:space="preserve">os </w:t>
      </w:r>
      <w:r w:rsidR="00DA79C7" w:rsidRPr="007263D7">
        <w:t xml:space="preserve">dos primeros cargos </w:t>
      </w:r>
      <w:r w:rsidR="00942FB3" w:rsidRPr="007263D7">
        <w:t xml:space="preserve">la ley era inexequible porque (i)  el informe de ponencia para primer debate no fue aprobado conforme a las reglas de </w:t>
      </w:r>
      <w:r w:rsidR="00942FB3" w:rsidRPr="007263D7">
        <w:rPr>
          <w:i/>
          <w:iCs/>
        </w:rPr>
        <w:t>quorum</w:t>
      </w:r>
      <w:r w:rsidR="00942FB3" w:rsidRPr="007263D7">
        <w:t xml:space="preserve">, modo de votación y mayorías previstas en los artículos 145 de la Constitución y 119 de la Ley 5ª de 1992; </w:t>
      </w:r>
      <w:r w:rsidR="00DA79C7" w:rsidRPr="007263D7">
        <w:t xml:space="preserve">y </w:t>
      </w:r>
      <w:r w:rsidR="00942FB3" w:rsidRPr="007263D7">
        <w:t>(ii) el Congreso de la República y el Gobierno nacional no analizaron el impacto fiscal de la iniciativa, conforme a lo previsto en el artículo 7º de la Ley 819 de 2003</w:t>
      </w:r>
      <w:r w:rsidR="00DA79C7" w:rsidRPr="007263D7">
        <w:t>. El tercer cargo</w:t>
      </w:r>
      <w:r w:rsidR="00942FB3" w:rsidRPr="007263D7">
        <w:t xml:space="preserve"> </w:t>
      </w:r>
      <w:r w:rsidR="00DA79C7" w:rsidRPr="007263D7">
        <w:t xml:space="preserve">señalaba que el </w:t>
      </w:r>
      <w:r w:rsidR="00942FB3" w:rsidRPr="007263D7">
        <w:t xml:space="preserve">artículo 12 </w:t>
      </w:r>
      <w:r w:rsidR="00DA79C7" w:rsidRPr="007263D7">
        <w:t>implicaba una vulneración</w:t>
      </w:r>
      <w:r w:rsidR="00942FB3" w:rsidRPr="007263D7">
        <w:t xml:space="preserve"> </w:t>
      </w:r>
      <w:r w:rsidR="00DA79C7" w:rsidRPr="007263D7">
        <w:t>d</w:t>
      </w:r>
      <w:r w:rsidR="00942FB3" w:rsidRPr="007263D7">
        <w:t xml:space="preserve">el numeral 10 del artículo 150 de la Constitución y, en particular, </w:t>
      </w:r>
      <w:r w:rsidR="00DA79C7" w:rsidRPr="007263D7">
        <w:t>d</w:t>
      </w:r>
      <w:r w:rsidR="00942FB3" w:rsidRPr="007263D7">
        <w:t>el requisito de precisión para la concesión de facultades extraordinarias al presidente de la República. Según los demandantes, el objeto de las facultades extraordinarias no era claro ni preciso, porque el Congreso de la República no estableció criterios para la adscripción y vinculación, lo que implicaba que el presidente de la República podía efectuar una modificación de la administración pública nacional sin limitación alguna</w:t>
      </w:r>
      <w:r w:rsidR="00DA79C7" w:rsidRPr="007263D7">
        <w:t>.</w:t>
      </w:r>
    </w:p>
    <w:p w14:paraId="07100932" w14:textId="77777777" w:rsidR="00942FB3" w:rsidRPr="007263D7" w:rsidRDefault="00942FB3" w:rsidP="00C87B5A">
      <w:pPr>
        <w:pStyle w:val="Prrafodelista"/>
        <w:numPr>
          <w:ilvl w:val="0"/>
          <w:numId w:val="0"/>
        </w:numPr>
      </w:pPr>
    </w:p>
    <w:p w14:paraId="35E946A4" w14:textId="15366BB6" w:rsidR="00102D29" w:rsidRPr="007263D7" w:rsidRDefault="00102D29" w:rsidP="00C87B5A">
      <w:pPr>
        <w:pStyle w:val="Prrafodelista"/>
      </w:pPr>
      <w:r w:rsidRPr="007263D7">
        <w:t xml:space="preserve">La </w:t>
      </w:r>
      <w:r w:rsidR="00942FB3" w:rsidRPr="007263D7">
        <w:t>Corte</w:t>
      </w:r>
      <w:r w:rsidRPr="007263D7">
        <w:t xml:space="preserve"> </w:t>
      </w:r>
      <w:r w:rsidR="009C405C" w:rsidRPr="007263D7">
        <w:t>indicó</w:t>
      </w:r>
      <w:r w:rsidRPr="007263D7">
        <w:t xml:space="preserve"> </w:t>
      </w:r>
      <w:r w:rsidR="009C405C" w:rsidRPr="007263D7">
        <w:t>que el primer y el tercer cargo no debían prosperar, pues los demandantes no tenían razón en que la ley fuera inconstitucional por los motivos demandados</w:t>
      </w:r>
      <w:r w:rsidR="00274A88" w:rsidRPr="007263D7">
        <w:rPr>
          <w:rStyle w:val="Refdenotaalpie"/>
          <w:color w:val="000000" w:themeColor="text1"/>
          <w:lang w:val="es-ES"/>
        </w:rPr>
        <w:footnoteReference w:id="54"/>
      </w:r>
      <w:r w:rsidRPr="007263D7">
        <w:t>.</w:t>
      </w:r>
      <w:r w:rsidR="009C405C" w:rsidRPr="007263D7">
        <w:t xml:space="preserve"> Sin embargo,</w:t>
      </w:r>
      <w:r w:rsidRPr="007263D7">
        <w:t xml:space="preserve"> </w:t>
      </w:r>
      <w:r w:rsidR="009C405C" w:rsidRPr="007263D7">
        <w:t xml:space="preserve">la Corte consideró que </w:t>
      </w:r>
      <w:r w:rsidR="00942FB3" w:rsidRPr="007263D7">
        <w:t xml:space="preserve">la </w:t>
      </w:r>
      <w:r w:rsidR="009C405C" w:rsidRPr="007263D7">
        <w:t xml:space="preserve">ley demandada </w:t>
      </w:r>
      <w:r w:rsidR="00DA79C7" w:rsidRPr="007263D7">
        <w:t xml:space="preserve">sí </w:t>
      </w:r>
      <w:r w:rsidR="009C405C" w:rsidRPr="007263D7">
        <w:t xml:space="preserve">era inconstitucional por las razones que los demandantes expusieron en el segundo cargo, pues </w:t>
      </w:r>
      <w:r w:rsidR="009F22C3" w:rsidRPr="007263D7">
        <w:t>en el trámite de aprobación de la Ley 2281 de 2023 el Congreso de la República incurrió en un vicio de procedimiento insubsanable: no llevó a cabo el análisis de impacto fiscal de la creación del Ministerio de Igualdad y Equidad, conforme a las exigencias previstas en el artículo 7 de la Ley 819 de 2003</w:t>
      </w:r>
      <w:r w:rsidR="009F22C3" w:rsidRPr="007263D7">
        <w:rPr>
          <w:rStyle w:val="Refdenotaalpie"/>
          <w:color w:val="000000" w:themeColor="text1"/>
          <w:lang w:val="es-ES"/>
        </w:rPr>
        <w:footnoteReference w:id="55"/>
      </w:r>
      <w:r w:rsidR="009F22C3" w:rsidRPr="007263D7">
        <w:t>.</w:t>
      </w:r>
    </w:p>
    <w:p w14:paraId="5147CD08" w14:textId="77777777" w:rsidR="00102D29" w:rsidRPr="007263D7" w:rsidRDefault="00102D29" w:rsidP="00C87B5A">
      <w:pPr>
        <w:pStyle w:val="Prrafodelista"/>
        <w:numPr>
          <w:ilvl w:val="0"/>
          <w:numId w:val="0"/>
        </w:numPr>
      </w:pPr>
    </w:p>
    <w:p w14:paraId="5B2E9E2F" w14:textId="66EFE5D5" w:rsidR="00C20796" w:rsidRPr="007263D7" w:rsidRDefault="00102D29" w:rsidP="00C87B5A">
      <w:pPr>
        <w:pStyle w:val="Prrafodelista"/>
      </w:pPr>
      <w:r w:rsidRPr="007263D7">
        <w:t xml:space="preserve">Al respecto, </w:t>
      </w:r>
      <w:r w:rsidR="00AF514C" w:rsidRPr="007263D7">
        <w:t xml:space="preserve">la </w:t>
      </w:r>
      <w:r w:rsidR="00DA79C7" w:rsidRPr="007263D7">
        <w:t>Corte</w:t>
      </w:r>
      <w:r w:rsidR="00AF514C" w:rsidRPr="007263D7">
        <w:t xml:space="preserve"> reiteró que el análisis de impacto fiscal persigue cuatro finalidades constitucionales: salvaguardar la estabilidad macroeconómica, ordenar las finanzas públicas, fortalecer la transparencia y </w:t>
      </w:r>
      <w:r w:rsidR="00DA79C7" w:rsidRPr="007263D7">
        <w:t xml:space="preserve">el </w:t>
      </w:r>
      <w:r w:rsidR="00AF514C" w:rsidRPr="007263D7">
        <w:t xml:space="preserve">control ciudadano en el trámite legislativo y garantizar la aplicación efectiva de las leyes. </w:t>
      </w:r>
      <w:r w:rsidR="00622154" w:rsidRPr="007263D7">
        <w:t xml:space="preserve">La Sala Plena indicó que </w:t>
      </w:r>
      <w:r w:rsidR="00475947" w:rsidRPr="007263D7">
        <w:t>para el logro de</w:t>
      </w:r>
      <w:r w:rsidR="00AF514C" w:rsidRPr="007263D7">
        <w:t xml:space="preserve"> estas finalidades el artículo 7 de la Ley 819 de 2003 impone deberes específicos al Gobierno </w:t>
      </w:r>
      <w:r w:rsidR="00C20796" w:rsidRPr="007263D7">
        <w:t>n</w:t>
      </w:r>
      <w:r w:rsidR="00AF514C" w:rsidRPr="007263D7">
        <w:t xml:space="preserve">acional, </w:t>
      </w:r>
      <w:r w:rsidR="00374392" w:rsidRPr="007263D7">
        <w:t>a</w:t>
      </w:r>
      <w:r w:rsidR="00AF514C" w:rsidRPr="007263D7">
        <w:t xml:space="preserve">l Ministerio de Hacienda y Crédito Público y </w:t>
      </w:r>
      <w:r w:rsidR="00374392" w:rsidRPr="007263D7">
        <w:t>a</w:t>
      </w:r>
      <w:r w:rsidR="00AF514C" w:rsidRPr="007263D7">
        <w:t>l Congreso de la República. El propósito del control constitucional que efectúa la Corte</w:t>
      </w:r>
      <w:r w:rsidR="00374392" w:rsidRPr="007263D7">
        <w:t xml:space="preserve"> se</w:t>
      </w:r>
      <w:r w:rsidR="00AF514C" w:rsidRPr="007263D7">
        <w:t xml:space="preserve"> </w:t>
      </w:r>
      <w:r w:rsidR="00F119F6" w:rsidRPr="007263D7">
        <w:t>limita</w:t>
      </w:r>
      <w:r w:rsidR="00AF514C" w:rsidRPr="007263D7">
        <w:t xml:space="preserve"> a verificar,</w:t>
      </w:r>
      <w:r w:rsidR="00475947" w:rsidRPr="007263D7">
        <w:t xml:space="preserve"> </w:t>
      </w:r>
      <w:r w:rsidR="00AF514C" w:rsidRPr="007263D7">
        <w:t>a partir de una valoración global de</w:t>
      </w:r>
      <w:r w:rsidR="00DA79C7" w:rsidRPr="007263D7">
        <w:t>l</w:t>
      </w:r>
      <w:r w:rsidR="00AF514C" w:rsidRPr="007263D7">
        <w:t xml:space="preserve"> procedimiento legislativo, el cumplimiento del mandato general previsto en el artículo 7</w:t>
      </w:r>
      <w:r w:rsidR="00C20796" w:rsidRPr="007263D7">
        <w:t xml:space="preserve"> </w:t>
      </w:r>
      <w:r w:rsidR="00AF514C" w:rsidRPr="007263D7">
        <w:t>de la Ley 819 de 2003 y las finalidades constitucionales del análisis de impacto fiscal.</w:t>
      </w:r>
    </w:p>
    <w:p w14:paraId="49770DC1" w14:textId="77777777" w:rsidR="00F52A2A" w:rsidRPr="007263D7" w:rsidRDefault="00F52A2A" w:rsidP="00C87B5A">
      <w:pPr>
        <w:pStyle w:val="Prrafodelista"/>
        <w:numPr>
          <w:ilvl w:val="0"/>
          <w:numId w:val="0"/>
        </w:numPr>
      </w:pPr>
    </w:p>
    <w:p w14:paraId="35BEBBFF" w14:textId="4A45FBC7" w:rsidR="00AF514C" w:rsidRPr="007263D7" w:rsidRDefault="00AF514C" w:rsidP="00C87B5A">
      <w:pPr>
        <w:pStyle w:val="Prrafodelista"/>
      </w:pPr>
      <w:r w:rsidRPr="007263D7">
        <w:t>En este caso, la Corte Constitucional constató que la Ley 2281 de 2023 ordenaba</w:t>
      </w:r>
      <w:r w:rsidR="0018411F" w:rsidRPr="007263D7">
        <w:t xml:space="preserve"> un</w:t>
      </w:r>
      <w:r w:rsidRPr="007263D7">
        <w:t xml:space="preserve"> gasto</w:t>
      </w:r>
      <w:r w:rsidR="00DA79C7" w:rsidRPr="007263D7">
        <w:t xml:space="preserve">, pues </w:t>
      </w:r>
      <w:r w:rsidRPr="007263D7">
        <w:t xml:space="preserve">disponía la creación de un nuevo ministerio: el Ministerio de Igualdad y Equidad. </w:t>
      </w:r>
      <w:r w:rsidR="00DA79C7" w:rsidRPr="007263D7">
        <w:t>Esto</w:t>
      </w:r>
      <w:r w:rsidRPr="007263D7">
        <w:t xml:space="preserve"> implicaba erogaciones presupuestales adicionales para cubrir</w:t>
      </w:r>
      <w:r w:rsidR="00310261" w:rsidRPr="007263D7">
        <w:t xml:space="preserve"> los</w:t>
      </w:r>
      <w:r w:rsidRPr="007263D7">
        <w:t xml:space="preserve"> gastos de funcionamiento</w:t>
      </w:r>
      <w:r w:rsidR="00F26029" w:rsidRPr="007263D7">
        <w:t xml:space="preserve">, lo que hacía que </w:t>
      </w:r>
      <w:r w:rsidRPr="007263D7">
        <w:t xml:space="preserve">el análisis de impacto fiscal </w:t>
      </w:r>
      <w:r w:rsidR="00374392" w:rsidRPr="007263D7">
        <w:t>fu</w:t>
      </w:r>
      <w:r w:rsidRPr="007263D7">
        <w:t xml:space="preserve">era exigible. Asimismo, la Corte encontró que en este caso la iniciativa era gubernamental porque </w:t>
      </w:r>
      <w:r w:rsidR="00310261" w:rsidRPr="007263D7">
        <w:t>de acuerdo con e</w:t>
      </w:r>
      <w:r w:rsidRPr="007263D7">
        <w:t xml:space="preserve">l inciso 2 del artículo 154 de la Constitución la iniciativa para crear ministerios es exclusiva del Gobierno </w:t>
      </w:r>
      <w:r w:rsidR="00DA79C7" w:rsidRPr="007263D7">
        <w:t>n</w:t>
      </w:r>
      <w:r w:rsidRPr="007263D7">
        <w:t>acional. Por lo tanto, el nivel de rigurosidad aplicable al análisis de impacto fiscal debía ser estricto.</w:t>
      </w:r>
    </w:p>
    <w:p w14:paraId="273F12B7" w14:textId="3F4D09B9" w:rsidR="00F52A2A" w:rsidRPr="007263D7" w:rsidRDefault="00F52A2A" w:rsidP="00C87B5A">
      <w:pPr>
        <w:pStyle w:val="Prrafodelista"/>
        <w:numPr>
          <w:ilvl w:val="0"/>
          <w:numId w:val="0"/>
        </w:numPr>
      </w:pPr>
    </w:p>
    <w:p w14:paraId="54F4BD05" w14:textId="68CB53E1" w:rsidR="00C20796" w:rsidRPr="007263D7" w:rsidRDefault="00C20796" w:rsidP="00C87B5A">
      <w:pPr>
        <w:pStyle w:val="Prrafodelista"/>
      </w:pPr>
      <w:r w:rsidRPr="007263D7">
        <w:t xml:space="preserve">A partir de una valoración global del trámite legislativo, la </w:t>
      </w:r>
      <w:r w:rsidR="00DA79C7" w:rsidRPr="007263D7">
        <w:t>Corte</w:t>
      </w:r>
      <w:r w:rsidRPr="007263D7">
        <w:t xml:space="preserve"> concluyó que la Ley 2281 de 2023, mediante la cual se dispuso la creación del Ministerio de Igualdad y Equidad, se aprobó sin llevar a cabo el análisis de impacto fiscal de la iniciativa, conforme a las exigencias previstas en el artículo 7 de la Ley 819 de 2003. Esta conclusión estuvo fundada en las siguientes tres premisas: </w:t>
      </w:r>
    </w:p>
    <w:p w14:paraId="4C045696" w14:textId="77777777" w:rsidR="00C20796" w:rsidRPr="007263D7" w:rsidRDefault="00C20796" w:rsidP="00C87B5A">
      <w:pPr>
        <w:pStyle w:val="Prrafodelista"/>
        <w:numPr>
          <w:ilvl w:val="0"/>
          <w:numId w:val="0"/>
        </w:numPr>
      </w:pPr>
    </w:p>
    <w:p w14:paraId="42E4F1B2" w14:textId="31056247" w:rsidR="00C20796" w:rsidRPr="007263D7" w:rsidRDefault="00C20796" w:rsidP="00C87B5A">
      <w:pPr>
        <w:suppressAutoHyphens w:val="0"/>
        <w:ind w:left="720"/>
        <w:jc w:val="both"/>
        <w:rPr>
          <w:rFonts w:ascii="Times New Roman" w:hAnsi="Times New Roman" w:cs="Times New Roman"/>
          <w:color w:val="000000" w:themeColor="text1"/>
          <w:sz w:val="28"/>
          <w:szCs w:val="28"/>
          <w:lang w:val="es-ES"/>
        </w:rPr>
      </w:pPr>
      <w:r w:rsidRPr="007263D7">
        <w:rPr>
          <w:rFonts w:ascii="Times New Roman" w:hAnsi="Times New Roman" w:cs="Times New Roman"/>
          <w:color w:val="000000" w:themeColor="text1"/>
          <w:sz w:val="28"/>
          <w:szCs w:val="28"/>
          <w:lang w:val="es-ES"/>
        </w:rPr>
        <w:t xml:space="preserve">(i) </w:t>
      </w:r>
      <w:r w:rsidR="00310261" w:rsidRPr="007263D7">
        <w:rPr>
          <w:rFonts w:ascii="Times New Roman" w:hAnsi="Times New Roman" w:cs="Times New Roman"/>
          <w:color w:val="000000" w:themeColor="text1"/>
          <w:sz w:val="28"/>
          <w:szCs w:val="28"/>
          <w:lang w:val="es-ES"/>
        </w:rPr>
        <w:t>e</w:t>
      </w:r>
      <w:r w:rsidRPr="007263D7">
        <w:rPr>
          <w:rFonts w:ascii="Times New Roman" w:hAnsi="Times New Roman" w:cs="Times New Roman"/>
          <w:color w:val="000000" w:themeColor="text1"/>
          <w:sz w:val="28"/>
          <w:szCs w:val="28"/>
          <w:lang w:val="es-ES"/>
        </w:rPr>
        <w:t xml:space="preserve">n la exposición de motivos el Gobierno </w:t>
      </w:r>
      <w:r w:rsidR="00310261" w:rsidRPr="007263D7">
        <w:rPr>
          <w:rFonts w:ascii="Times New Roman" w:hAnsi="Times New Roman" w:cs="Times New Roman"/>
          <w:color w:val="000000" w:themeColor="text1"/>
          <w:sz w:val="28"/>
          <w:szCs w:val="28"/>
          <w:lang w:val="es-ES"/>
        </w:rPr>
        <w:t>n</w:t>
      </w:r>
      <w:r w:rsidRPr="007263D7">
        <w:rPr>
          <w:rFonts w:ascii="Times New Roman" w:hAnsi="Times New Roman" w:cs="Times New Roman"/>
          <w:color w:val="000000" w:themeColor="text1"/>
          <w:sz w:val="28"/>
          <w:szCs w:val="28"/>
          <w:lang w:val="es-ES"/>
        </w:rPr>
        <w:t xml:space="preserve">acional </w:t>
      </w:r>
      <w:r w:rsidR="00310261" w:rsidRPr="007263D7">
        <w:rPr>
          <w:rFonts w:ascii="Times New Roman" w:hAnsi="Times New Roman" w:cs="Times New Roman"/>
          <w:color w:val="000000" w:themeColor="text1"/>
          <w:sz w:val="28"/>
          <w:szCs w:val="28"/>
          <w:lang w:val="es-ES"/>
        </w:rPr>
        <w:t>n</w:t>
      </w:r>
      <w:r w:rsidRPr="007263D7">
        <w:rPr>
          <w:rFonts w:ascii="Times New Roman" w:hAnsi="Times New Roman" w:cs="Times New Roman"/>
          <w:color w:val="000000" w:themeColor="text1"/>
          <w:sz w:val="28"/>
          <w:szCs w:val="28"/>
          <w:lang w:val="es-ES"/>
        </w:rPr>
        <w:t>o presentó ninguna consideración sobre los referentes básicos del impacto fiscal de la iniciativa</w:t>
      </w:r>
      <w:r w:rsidR="00374392" w:rsidRPr="007263D7">
        <w:rPr>
          <w:rFonts w:ascii="Times New Roman" w:hAnsi="Times New Roman" w:cs="Times New Roman"/>
          <w:color w:val="000000" w:themeColor="text1"/>
          <w:sz w:val="28"/>
          <w:szCs w:val="28"/>
          <w:lang w:val="es-ES"/>
        </w:rPr>
        <w:t xml:space="preserve">, y la </w:t>
      </w:r>
      <w:r w:rsidRPr="007263D7">
        <w:rPr>
          <w:rFonts w:ascii="Times New Roman" w:hAnsi="Times New Roman" w:cs="Times New Roman"/>
          <w:color w:val="000000" w:themeColor="text1"/>
          <w:sz w:val="28"/>
          <w:szCs w:val="28"/>
          <w:lang w:val="es-ES"/>
        </w:rPr>
        <w:t xml:space="preserve">omisión persistió en los informes de ponencia. </w:t>
      </w:r>
      <w:r w:rsidR="00C67F97" w:rsidRPr="007263D7">
        <w:rPr>
          <w:rFonts w:ascii="Times New Roman" w:hAnsi="Times New Roman" w:cs="Times New Roman"/>
          <w:color w:val="000000" w:themeColor="text1"/>
          <w:sz w:val="28"/>
          <w:szCs w:val="28"/>
          <w:lang w:val="es-ES"/>
        </w:rPr>
        <w:t>Esa situación</w:t>
      </w:r>
      <w:r w:rsidRPr="007263D7">
        <w:rPr>
          <w:rFonts w:ascii="Times New Roman" w:hAnsi="Times New Roman" w:cs="Times New Roman"/>
          <w:color w:val="000000" w:themeColor="text1"/>
          <w:sz w:val="28"/>
          <w:szCs w:val="28"/>
          <w:lang w:val="es-ES"/>
        </w:rPr>
        <w:t xml:space="preserve"> reflej</w:t>
      </w:r>
      <w:r w:rsidR="00475947" w:rsidRPr="007263D7">
        <w:rPr>
          <w:rFonts w:ascii="Times New Roman" w:hAnsi="Times New Roman" w:cs="Times New Roman"/>
          <w:color w:val="000000" w:themeColor="text1"/>
          <w:sz w:val="28"/>
          <w:szCs w:val="28"/>
          <w:lang w:val="es-ES"/>
        </w:rPr>
        <w:t xml:space="preserve">ó </w:t>
      </w:r>
      <w:r w:rsidRPr="007263D7">
        <w:rPr>
          <w:rFonts w:ascii="Times New Roman" w:hAnsi="Times New Roman" w:cs="Times New Roman"/>
          <w:color w:val="000000" w:themeColor="text1"/>
          <w:sz w:val="28"/>
          <w:szCs w:val="28"/>
          <w:lang w:val="es-ES"/>
        </w:rPr>
        <w:t xml:space="preserve">un desconocimiento de la obligación prevista en el inciso 4º del artículo 7 de la Ley 819 de 2003, así como un incumplimiento del deber de planeación a cargo del Gobierno </w:t>
      </w:r>
      <w:r w:rsidR="00374392" w:rsidRPr="007263D7">
        <w:rPr>
          <w:rFonts w:ascii="Times New Roman" w:hAnsi="Times New Roman" w:cs="Times New Roman"/>
          <w:color w:val="000000" w:themeColor="text1"/>
          <w:sz w:val="28"/>
          <w:szCs w:val="28"/>
          <w:lang w:val="es-ES"/>
        </w:rPr>
        <w:t>n</w:t>
      </w:r>
      <w:r w:rsidRPr="007263D7">
        <w:rPr>
          <w:rFonts w:ascii="Times New Roman" w:hAnsi="Times New Roman" w:cs="Times New Roman"/>
          <w:color w:val="000000" w:themeColor="text1"/>
          <w:sz w:val="28"/>
          <w:szCs w:val="28"/>
          <w:lang w:val="es-ES"/>
        </w:rPr>
        <w:t>acional</w:t>
      </w:r>
      <w:r w:rsidR="00374392" w:rsidRPr="007263D7">
        <w:rPr>
          <w:rFonts w:ascii="Times New Roman" w:hAnsi="Times New Roman" w:cs="Times New Roman"/>
          <w:color w:val="000000" w:themeColor="text1"/>
          <w:sz w:val="28"/>
          <w:szCs w:val="28"/>
          <w:lang w:val="es-ES"/>
        </w:rPr>
        <w:t>,</w:t>
      </w:r>
      <w:r w:rsidRPr="007263D7">
        <w:rPr>
          <w:rFonts w:ascii="Times New Roman" w:hAnsi="Times New Roman" w:cs="Times New Roman"/>
          <w:color w:val="000000" w:themeColor="text1"/>
          <w:sz w:val="28"/>
          <w:szCs w:val="28"/>
          <w:lang w:val="es-ES"/>
        </w:rPr>
        <w:t xml:space="preserve"> que luego se proyectó en todo el trámite legislativo</w:t>
      </w:r>
      <w:r w:rsidR="00374392" w:rsidRPr="007263D7">
        <w:rPr>
          <w:rFonts w:ascii="Times New Roman" w:hAnsi="Times New Roman" w:cs="Times New Roman"/>
          <w:color w:val="000000" w:themeColor="text1"/>
          <w:sz w:val="28"/>
          <w:szCs w:val="28"/>
          <w:lang w:val="es-ES"/>
        </w:rPr>
        <w:t>;</w:t>
      </w:r>
    </w:p>
    <w:p w14:paraId="32C01A02" w14:textId="5909030A" w:rsidR="00C20796" w:rsidRPr="007263D7" w:rsidRDefault="00C20796" w:rsidP="00C87B5A">
      <w:pPr>
        <w:pStyle w:val="Prrafodelista"/>
        <w:numPr>
          <w:ilvl w:val="0"/>
          <w:numId w:val="0"/>
        </w:numPr>
      </w:pPr>
    </w:p>
    <w:p w14:paraId="0EB28FA7" w14:textId="606776ED" w:rsidR="00C20796" w:rsidRPr="007263D7" w:rsidRDefault="00C20796" w:rsidP="00C87B5A">
      <w:pPr>
        <w:suppressAutoHyphens w:val="0"/>
        <w:ind w:left="720"/>
        <w:jc w:val="both"/>
        <w:rPr>
          <w:rFonts w:ascii="Times New Roman" w:hAnsi="Times New Roman" w:cs="Times New Roman"/>
          <w:color w:val="000000" w:themeColor="text1"/>
          <w:sz w:val="28"/>
          <w:szCs w:val="28"/>
          <w:lang w:val="es-ES"/>
        </w:rPr>
      </w:pPr>
      <w:r w:rsidRPr="007263D7">
        <w:rPr>
          <w:rFonts w:ascii="Times New Roman" w:hAnsi="Times New Roman" w:cs="Times New Roman"/>
          <w:color w:val="000000" w:themeColor="text1"/>
          <w:sz w:val="28"/>
          <w:szCs w:val="28"/>
          <w:lang w:val="es-ES"/>
        </w:rPr>
        <w:t xml:space="preserve">(ii) </w:t>
      </w:r>
      <w:r w:rsidR="00374392" w:rsidRPr="007263D7">
        <w:rPr>
          <w:rFonts w:ascii="Times New Roman" w:hAnsi="Times New Roman" w:cs="Times New Roman"/>
          <w:color w:val="000000" w:themeColor="text1"/>
          <w:sz w:val="28"/>
          <w:szCs w:val="28"/>
          <w:lang w:val="es-ES"/>
        </w:rPr>
        <w:t>e</w:t>
      </w:r>
      <w:r w:rsidRPr="007263D7">
        <w:rPr>
          <w:rFonts w:ascii="Times New Roman" w:hAnsi="Times New Roman" w:cs="Times New Roman"/>
          <w:color w:val="000000" w:themeColor="text1"/>
          <w:sz w:val="28"/>
          <w:szCs w:val="28"/>
          <w:lang w:val="es-ES"/>
        </w:rPr>
        <w:t>l Ministerio de Hacienda y Crédito Público no presentó un concepto sobre el impacto fiscal de la iniciativa, conforme a lo previsto en el inciso 3º del artículo 7 de la Ley 819 de 2003. Por el contrario, radicó un escrito de “comentarios” en el que se limitó a señalar que el costo fiscal que implicaba la creación del ministerio sólo podía ser estimado una vez se conociera la estructura orgánica final</w:t>
      </w:r>
      <w:r w:rsidR="00C67F97" w:rsidRPr="007263D7">
        <w:rPr>
          <w:rFonts w:ascii="Times New Roman" w:hAnsi="Times New Roman" w:cs="Times New Roman"/>
          <w:color w:val="000000" w:themeColor="text1"/>
          <w:sz w:val="28"/>
          <w:szCs w:val="28"/>
          <w:lang w:val="es-ES"/>
        </w:rPr>
        <w:t>;</w:t>
      </w:r>
      <w:r w:rsidRPr="007263D7">
        <w:rPr>
          <w:rFonts w:ascii="Times New Roman" w:hAnsi="Times New Roman" w:cs="Times New Roman"/>
          <w:color w:val="000000" w:themeColor="text1"/>
          <w:sz w:val="28"/>
          <w:szCs w:val="28"/>
          <w:lang w:val="es-ES"/>
        </w:rPr>
        <w:t xml:space="preserve"> presentó una tabla que contenía los costos de referencia de personal de todos los ministerios para la vigencia 2023, sin siquiera precisar el costo estimado del nuevo ministerio</w:t>
      </w:r>
      <w:r w:rsidR="00C67F97" w:rsidRPr="007263D7">
        <w:rPr>
          <w:rFonts w:ascii="Times New Roman" w:hAnsi="Times New Roman" w:cs="Times New Roman"/>
          <w:color w:val="000000" w:themeColor="text1"/>
          <w:sz w:val="28"/>
          <w:szCs w:val="28"/>
          <w:lang w:val="es-ES"/>
        </w:rPr>
        <w:t>;</w:t>
      </w:r>
      <w:r w:rsidRPr="007263D7">
        <w:rPr>
          <w:rFonts w:ascii="Times New Roman" w:hAnsi="Times New Roman" w:cs="Times New Roman"/>
          <w:color w:val="000000" w:themeColor="text1"/>
          <w:sz w:val="28"/>
          <w:szCs w:val="28"/>
          <w:lang w:val="es-ES"/>
        </w:rPr>
        <w:t xml:space="preserve"> no identificó la fuente sustitutiva de ingresos</w:t>
      </w:r>
      <w:r w:rsidR="00C67F97" w:rsidRPr="007263D7">
        <w:rPr>
          <w:rFonts w:ascii="Times New Roman" w:hAnsi="Times New Roman" w:cs="Times New Roman"/>
          <w:color w:val="000000" w:themeColor="text1"/>
          <w:sz w:val="28"/>
          <w:szCs w:val="28"/>
          <w:lang w:val="es-ES"/>
        </w:rPr>
        <w:t>;</w:t>
      </w:r>
      <w:r w:rsidRPr="007263D7">
        <w:rPr>
          <w:rFonts w:ascii="Times New Roman" w:hAnsi="Times New Roman" w:cs="Times New Roman"/>
          <w:color w:val="000000" w:themeColor="text1"/>
          <w:sz w:val="28"/>
          <w:szCs w:val="28"/>
          <w:lang w:val="es-ES"/>
        </w:rPr>
        <w:t xml:space="preserve"> y, por último, no indicó si el concepto era favorable o desfavorable</w:t>
      </w:r>
      <w:r w:rsidR="00374392" w:rsidRPr="007263D7">
        <w:rPr>
          <w:rFonts w:ascii="Times New Roman" w:hAnsi="Times New Roman" w:cs="Times New Roman"/>
          <w:color w:val="000000" w:themeColor="text1"/>
          <w:sz w:val="28"/>
          <w:szCs w:val="28"/>
          <w:lang w:val="es-ES"/>
        </w:rPr>
        <w:t>;</w:t>
      </w:r>
    </w:p>
    <w:p w14:paraId="29E5364E" w14:textId="7DF5486E" w:rsidR="00C20796" w:rsidRPr="007263D7" w:rsidRDefault="00C20796" w:rsidP="00C87B5A">
      <w:pPr>
        <w:pStyle w:val="Prrafodelista"/>
        <w:numPr>
          <w:ilvl w:val="0"/>
          <w:numId w:val="0"/>
        </w:numPr>
      </w:pPr>
    </w:p>
    <w:p w14:paraId="5961172A" w14:textId="4D9F87C2" w:rsidR="00C20796" w:rsidRPr="007263D7" w:rsidRDefault="00C20796" w:rsidP="00C87B5A">
      <w:pPr>
        <w:suppressAutoHyphens w:val="0"/>
        <w:ind w:left="720"/>
        <w:jc w:val="both"/>
        <w:rPr>
          <w:rFonts w:ascii="Times New Roman" w:hAnsi="Times New Roman" w:cs="Times New Roman"/>
          <w:color w:val="000000" w:themeColor="text1"/>
          <w:sz w:val="28"/>
          <w:szCs w:val="28"/>
          <w:lang w:val="es-ES"/>
        </w:rPr>
      </w:pPr>
      <w:r w:rsidRPr="007263D7">
        <w:rPr>
          <w:rFonts w:ascii="Times New Roman" w:hAnsi="Times New Roman" w:cs="Times New Roman"/>
          <w:color w:val="000000" w:themeColor="text1"/>
          <w:sz w:val="28"/>
          <w:szCs w:val="28"/>
          <w:lang w:val="es-ES"/>
        </w:rPr>
        <w:t xml:space="preserve">(iii) </w:t>
      </w:r>
      <w:r w:rsidR="00374392" w:rsidRPr="007263D7">
        <w:rPr>
          <w:rFonts w:ascii="Times New Roman" w:hAnsi="Times New Roman" w:cs="Times New Roman"/>
          <w:color w:val="000000" w:themeColor="text1"/>
          <w:sz w:val="28"/>
          <w:szCs w:val="28"/>
          <w:lang w:val="es-ES"/>
        </w:rPr>
        <w:t>l</w:t>
      </w:r>
      <w:r w:rsidRPr="007263D7">
        <w:rPr>
          <w:rFonts w:ascii="Times New Roman" w:hAnsi="Times New Roman" w:cs="Times New Roman"/>
          <w:color w:val="000000" w:themeColor="text1"/>
          <w:sz w:val="28"/>
          <w:szCs w:val="28"/>
          <w:lang w:val="es-ES"/>
        </w:rPr>
        <w:t xml:space="preserve">os incumplimientos del Gobierno </w:t>
      </w:r>
      <w:r w:rsidR="00C67F97" w:rsidRPr="007263D7">
        <w:rPr>
          <w:rFonts w:ascii="Times New Roman" w:hAnsi="Times New Roman" w:cs="Times New Roman"/>
          <w:color w:val="000000" w:themeColor="text1"/>
          <w:sz w:val="28"/>
          <w:szCs w:val="28"/>
          <w:lang w:val="es-ES"/>
        </w:rPr>
        <w:t>n</w:t>
      </w:r>
      <w:r w:rsidRPr="007263D7">
        <w:rPr>
          <w:rFonts w:ascii="Times New Roman" w:hAnsi="Times New Roman" w:cs="Times New Roman"/>
          <w:color w:val="000000" w:themeColor="text1"/>
          <w:sz w:val="28"/>
          <w:szCs w:val="28"/>
          <w:lang w:val="es-ES"/>
        </w:rPr>
        <w:t>acional impidieron que el Congreso de la República contara con la información mínima necesaria para poder deliberar y estudiar, de forma seria y fundada, el impacto que la creación del Ministerio de Igualdad y Equidad tendría en las finanzas públicas, conforme a los referentes mínimos del impacto fiscal. En efecto, las estimaciones que se presentaron en algunos debates carecían de fundamento técnico y no eran clar</w:t>
      </w:r>
      <w:r w:rsidR="00374392" w:rsidRPr="007263D7">
        <w:rPr>
          <w:rFonts w:ascii="Times New Roman" w:hAnsi="Times New Roman" w:cs="Times New Roman"/>
          <w:color w:val="000000" w:themeColor="text1"/>
          <w:sz w:val="28"/>
          <w:szCs w:val="28"/>
          <w:lang w:val="es-ES"/>
        </w:rPr>
        <w:t>a</w:t>
      </w:r>
      <w:r w:rsidRPr="007263D7">
        <w:rPr>
          <w:rFonts w:ascii="Times New Roman" w:hAnsi="Times New Roman" w:cs="Times New Roman"/>
          <w:color w:val="000000" w:themeColor="text1"/>
          <w:sz w:val="28"/>
          <w:szCs w:val="28"/>
          <w:lang w:val="es-ES"/>
        </w:rPr>
        <w:t>s</w:t>
      </w:r>
      <w:r w:rsidR="00374392" w:rsidRPr="007263D7">
        <w:rPr>
          <w:rFonts w:ascii="Times New Roman" w:hAnsi="Times New Roman" w:cs="Times New Roman"/>
          <w:color w:val="000000" w:themeColor="text1"/>
          <w:sz w:val="28"/>
          <w:szCs w:val="28"/>
          <w:lang w:val="es-ES"/>
        </w:rPr>
        <w:t>,</w:t>
      </w:r>
      <w:r w:rsidRPr="007263D7">
        <w:rPr>
          <w:rFonts w:ascii="Times New Roman" w:hAnsi="Times New Roman" w:cs="Times New Roman"/>
          <w:color w:val="000000" w:themeColor="text1"/>
          <w:sz w:val="28"/>
          <w:szCs w:val="28"/>
          <w:lang w:val="es-ES"/>
        </w:rPr>
        <w:t xml:space="preserve"> y durante todo el procedimiento legislativo existió incertidumbre sobre el verdadero costo que implicaba la creación del nuevo ministerio.</w:t>
      </w:r>
    </w:p>
    <w:p w14:paraId="57C45FD1" w14:textId="77777777" w:rsidR="00F52A2A" w:rsidRPr="007263D7" w:rsidRDefault="00F52A2A" w:rsidP="00C87B5A">
      <w:pPr>
        <w:pStyle w:val="Prrafodelista"/>
        <w:numPr>
          <w:ilvl w:val="0"/>
          <w:numId w:val="0"/>
        </w:numPr>
      </w:pPr>
    </w:p>
    <w:p w14:paraId="24A390E1" w14:textId="1365629E" w:rsidR="00C67F97" w:rsidRPr="007263D7" w:rsidRDefault="00C67F97" w:rsidP="00C87B5A">
      <w:pPr>
        <w:pStyle w:val="Prrafodelista"/>
      </w:pPr>
      <w:r w:rsidRPr="007263D7">
        <w:t>Por las razones expuestas, la Corte concluyó que las acciones y omisiones constatadas en el estudio sobre la constitucionalidad de la norma demostraban un incumplimiento del estándar de rigurosidad estricto exigible al análisis de impacto fiscal de los proyectos de ley de iniciativa gubernamental que ordenan un gasto. Sin embargo, la Corte decidió diferir los efectos de la declaratoria de inexequibilidad</w:t>
      </w:r>
      <w:r w:rsidR="0052052B" w:rsidRPr="007263D7">
        <w:t xml:space="preserve">, pues </w:t>
      </w:r>
      <w:r w:rsidR="000F187B" w:rsidRPr="007263D7">
        <w:t xml:space="preserve">si </w:t>
      </w:r>
      <w:r w:rsidR="00374392" w:rsidRPr="007263D7">
        <w:t>esta</w:t>
      </w:r>
      <w:r w:rsidR="000F187B" w:rsidRPr="007263D7">
        <w:t xml:space="preserve"> se hacía </w:t>
      </w:r>
      <w:r w:rsidRPr="007263D7">
        <w:t xml:space="preserve">con efectos inmediatos podría causar una desarticulación institucional </w:t>
      </w:r>
      <w:r w:rsidR="00374392" w:rsidRPr="007263D7">
        <w:t>en</w:t>
      </w:r>
      <w:r w:rsidRPr="007263D7">
        <w:t xml:space="preserve"> la implementación de la política pública diseñada para garantizar los derechos de sujetos de especial protección constitucional, como las madres cabeza de familia y las personas en situación de discapacidad. </w:t>
      </w:r>
    </w:p>
    <w:p w14:paraId="0A8CCEAD" w14:textId="1FDBA6CC" w:rsidR="000F187B" w:rsidRPr="007263D7" w:rsidRDefault="000F187B" w:rsidP="00C87B5A">
      <w:pPr>
        <w:pStyle w:val="Prrafodelista"/>
        <w:numPr>
          <w:ilvl w:val="0"/>
          <w:numId w:val="0"/>
        </w:numPr>
      </w:pPr>
    </w:p>
    <w:p w14:paraId="4BB5A7D6" w14:textId="65BBA466" w:rsidR="00102D29" w:rsidRPr="007263D7" w:rsidRDefault="000E5327" w:rsidP="00C87B5A">
      <w:pPr>
        <w:pStyle w:val="Prrafodelista"/>
      </w:pPr>
      <w:r w:rsidRPr="007263D7">
        <w:t xml:space="preserve"> </w:t>
      </w:r>
      <w:r w:rsidR="000F187B" w:rsidRPr="007263D7">
        <w:t>Así</w:t>
      </w:r>
      <w:r w:rsidRPr="007263D7">
        <w:t xml:space="preserve">, </w:t>
      </w:r>
      <w:r w:rsidR="000F187B" w:rsidRPr="007263D7">
        <w:t>para</w:t>
      </w:r>
      <w:r w:rsidRPr="007263D7">
        <w:t xml:space="preserve"> conciliar los intereses y principios constitucionales en tensión y, en particular, </w:t>
      </w:r>
      <w:r w:rsidR="000F187B" w:rsidRPr="007263D7">
        <w:t xml:space="preserve">proteger </w:t>
      </w:r>
      <w:r w:rsidRPr="007263D7">
        <w:t xml:space="preserve">el principio de igualdad y los derechos de los grupos vulnerables, la </w:t>
      </w:r>
      <w:r w:rsidR="000F187B" w:rsidRPr="007263D7">
        <w:t>Corte</w:t>
      </w:r>
      <w:r w:rsidRPr="007263D7">
        <w:t xml:space="preserve"> </w:t>
      </w:r>
      <w:r w:rsidR="000F187B" w:rsidRPr="007263D7">
        <w:t>difirió</w:t>
      </w:r>
      <w:r w:rsidRPr="007263D7">
        <w:t xml:space="preserve"> los efectos de la decisión de inexequibilidad de la Ley 2281 de 2023 por el término de dos (2) legislaturas. En todo caso, la Corte señaló que, una vez </w:t>
      </w:r>
      <w:r w:rsidR="00C2103F" w:rsidRPr="007263D7">
        <w:t>culmine</w:t>
      </w:r>
      <w:r w:rsidRPr="007263D7">
        <w:t xml:space="preserve"> la legislatura 2025-2026, la Ley 2281 de 2023 dejará de producir efectos definitivamente y no formará parte del ordenamiento jurídico.</w:t>
      </w:r>
    </w:p>
    <w:p w14:paraId="79BFB088" w14:textId="77777777" w:rsidR="00F52A2A" w:rsidRPr="007263D7" w:rsidRDefault="00F52A2A" w:rsidP="00C87B5A">
      <w:pPr>
        <w:pStyle w:val="Prrafodelista"/>
        <w:numPr>
          <w:ilvl w:val="0"/>
          <w:numId w:val="0"/>
        </w:numPr>
      </w:pPr>
    </w:p>
    <w:p w14:paraId="4CD9FCF2" w14:textId="366FB3B0" w:rsidR="00102D29" w:rsidRPr="007263D7" w:rsidRDefault="00797633" w:rsidP="00C87B5A">
      <w:pPr>
        <w:suppressAutoHyphens w:val="0"/>
        <w:jc w:val="both"/>
        <w:rPr>
          <w:rFonts w:ascii="Times New Roman" w:hAnsi="Times New Roman" w:cs="Times New Roman"/>
          <w:b/>
          <w:bCs/>
          <w:color w:val="000000" w:themeColor="text1"/>
          <w:sz w:val="28"/>
          <w:szCs w:val="28"/>
          <w:lang w:val="es-ES"/>
        </w:rPr>
      </w:pPr>
      <w:r w:rsidRPr="007263D7">
        <w:rPr>
          <w:rFonts w:ascii="Times New Roman" w:hAnsi="Times New Roman" w:cs="Times New Roman"/>
          <w:b/>
          <w:bCs/>
          <w:color w:val="000000" w:themeColor="text1"/>
          <w:sz w:val="28"/>
          <w:szCs w:val="28"/>
          <w:lang w:val="es-ES"/>
        </w:rPr>
        <w:t>3</w:t>
      </w:r>
      <w:r w:rsidR="00F52A2A" w:rsidRPr="007263D7">
        <w:rPr>
          <w:rFonts w:ascii="Times New Roman" w:hAnsi="Times New Roman" w:cs="Times New Roman"/>
          <w:b/>
          <w:bCs/>
          <w:color w:val="000000" w:themeColor="text1"/>
          <w:sz w:val="28"/>
          <w:szCs w:val="28"/>
          <w:lang w:val="es-ES"/>
        </w:rPr>
        <w:t xml:space="preserve">.3. </w:t>
      </w:r>
      <w:r w:rsidR="00102D29" w:rsidRPr="007263D7">
        <w:rPr>
          <w:rFonts w:ascii="Times New Roman" w:hAnsi="Times New Roman" w:cs="Times New Roman"/>
          <w:b/>
          <w:bCs/>
          <w:color w:val="000000" w:themeColor="text1"/>
          <w:sz w:val="28"/>
          <w:szCs w:val="28"/>
          <w:lang w:val="es-ES"/>
        </w:rPr>
        <w:t xml:space="preserve">La verificación de la cosa juzgada formal y </w:t>
      </w:r>
      <w:r w:rsidR="0063412C" w:rsidRPr="007263D7">
        <w:rPr>
          <w:rFonts w:ascii="Times New Roman" w:hAnsi="Times New Roman" w:cs="Times New Roman"/>
          <w:b/>
          <w:bCs/>
          <w:color w:val="000000" w:themeColor="text1"/>
          <w:sz w:val="28"/>
          <w:szCs w:val="28"/>
          <w:lang w:val="es-ES"/>
        </w:rPr>
        <w:t>relativa</w:t>
      </w:r>
      <w:r w:rsidR="00102D29" w:rsidRPr="007263D7">
        <w:rPr>
          <w:rFonts w:ascii="Times New Roman" w:hAnsi="Times New Roman" w:cs="Times New Roman"/>
          <w:b/>
          <w:bCs/>
          <w:color w:val="000000" w:themeColor="text1"/>
          <w:sz w:val="28"/>
          <w:szCs w:val="28"/>
          <w:lang w:val="es-ES"/>
        </w:rPr>
        <w:t xml:space="preserve"> en el caso concreto </w:t>
      </w:r>
    </w:p>
    <w:p w14:paraId="69E54F53" w14:textId="77777777" w:rsidR="00102D29" w:rsidRPr="007263D7" w:rsidRDefault="00102D29" w:rsidP="00C87B5A">
      <w:pPr>
        <w:pStyle w:val="Prrafodelista"/>
        <w:numPr>
          <w:ilvl w:val="0"/>
          <w:numId w:val="0"/>
        </w:numPr>
      </w:pPr>
    </w:p>
    <w:p w14:paraId="13E0F556" w14:textId="32CBDEC3" w:rsidR="00B853C2" w:rsidRPr="007263D7" w:rsidRDefault="00102D29" w:rsidP="00C87B5A">
      <w:pPr>
        <w:pStyle w:val="Prrafodelista"/>
        <w:rPr>
          <w:lang w:val="es-ES"/>
        </w:rPr>
      </w:pPr>
      <w:r w:rsidRPr="007263D7">
        <w:rPr>
          <w:shd w:val="clear" w:color="auto" w:fill="FFFFFF"/>
          <w:lang w:val="es-ES"/>
        </w:rPr>
        <w:t xml:space="preserve">En este caso, el accionante demandó la constitucionalidad </w:t>
      </w:r>
      <w:r w:rsidR="00C2103F" w:rsidRPr="007263D7">
        <w:rPr>
          <w:shd w:val="clear" w:color="auto" w:fill="FFFFFF"/>
          <w:lang w:val="es-ES"/>
        </w:rPr>
        <w:t>de la totalidad de la</w:t>
      </w:r>
      <w:r w:rsidRPr="007263D7">
        <w:rPr>
          <w:shd w:val="clear" w:color="auto" w:fill="FFFFFF"/>
          <w:lang w:val="es-ES"/>
        </w:rPr>
        <w:t xml:space="preserve"> Ley </w:t>
      </w:r>
      <w:r w:rsidR="00C2103F" w:rsidRPr="007263D7">
        <w:rPr>
          <w:shd w:val="clear" w:color="auto" w:fill="FFFFFF"/>
          <w:lang w:val="es-ES"/>
        </w:rPr>
        <w:t>2281</w:t>
      </w:r>
      <w:r w:rsidRPr="007263D7">
        <w:rPr>
          <w:shd w:val="clear" w:color="auto" w:fill="FFFFFF"/>
          <w:lang w:val="es-ES"/>
        </w:rPr>
        <w:t xml:space="preserve"> de 2023, por la </w:t>
      </w:r>
      <w:r w:rsidRPr="007263D7">
        <w:rPr>
          <w:lang w:val="es-ES"/>
        </w:rPr>
        <w:t>vulneración</w:t>
      </w:r>
      <w:r w:rsidR="00D6221F" w:rsidRPr="007263D7">
        <w:t xml:space="preserve"> del artículo 334 de la Constitución y </w:t>
      </w:r>
      <w:r w:rsidR="000B76FA" w:rsidRPr="007263D7">
        <w:t>d</w:t>
      </w:r>
      <w:r w:rsidR="00D6221F" w:rsidRPr="007263D7">
        <w:t xml:space="preserve">el artículo 7 de la Ley 819 de 2003. Para el </w:t>
      </w:r>
      <w:r w:rsidR="000B76FA" w:rsidRPr="007263D7">
        <w:t>demandante</w:t>
      </w:r>
      <w:r w:rsidR="00D6221F" w:rsidRPr="007263D7">
        <w:t>, durante el trámite legislativo el Ministerio de Hacienda y Crédito Público no cumplió con su deber de analizar el impacto fiscal que generaría la creación de un nuevo ministerio.</w:t>
      </w:r>
      <w:r w:rsidR="00DC1CF4" w:rsidRPr="007263D7">
        <w:t xml:space="preserve"> </w:t>
      </w:r>
      <w:r w:rsidR="00DC1CF4" w:rsidRPr="007263D7">
        <w:rPr>
          <w:lang w:val="es-ES"/>
        </w:rPr>
        <w:t>Como se explicó antes, mediante la Sentencia C-161 de 2024, la Corte Constitucional declaró la inexequibilidad</w:t>
      </w:r>
      <w:r w:rsidR="007D32E8" w:rsidRPr="007263D7">
        <w:rPr>
          <w:lang w:val="es-ES"/>
        </w:rPr>
        <w:t>, con efectos diferidos,</w:t>
      </w:r>
      <w:r w:rsidR="00DC1CF4" w:rsidRPr="007263D7">
        <w:rPr>
          <w:lang w:val="es-ES"/>
        </w:rPr>
        <w:t xml:space="preserve"> de la Ley 2281 de 2023, </w:t>
      </w:r>
      <w:r w:rsidR="00DC1CF4" w:rsidRPr="007263D7">
        <w:t>por vicios de procedimiento en su formación.</w:t>
      </w:r>
      <w:r w:rsidR="00DC1CF4" w:rsidRPr="007263D7">
        <w:rPr>
          <w:lang w:val="es-ES"/>
        </w:rPr>
        <w:t xml:space="preserve"> </w:t>
      </w:r>
    </w:p>
    <w:p w14:paraId="5820AC80" w14:textId="77777777" w:rsidR="00634A83" w:rsidRPr="007263D7" w:rsidRDefault="00634A83" w:rsidP="00C87B5A">
      <w:pPr>
        <w:pStyle w:val="Prrafodelista"/>
        <w:numPr>
          <w:ilvl w:val="0"/>
          <w:numId w:val="0"/>
        </w:numPr>
      </w:pPr>
    </w:p>
    <w:p w14:paraId="7705C7E5" w14:textId="59001468" w:rsidR="00102D29" w:rsidRPr="007263D7" w:rsidRDefault="00102D29" w:rsidP="00C87B5A">
      <w:pPr>
        <w:pStyle w:val="Prrafodelista"/>
      </w:pPr>
      <w:r w:rsidRPr="007263D7">
        <w:t xml:space="preserve">Por lo tanto, dicha providencia constituye cosa juzgada formal y </w:t>
      </w:r>
      <w:r w:rsidR="00634A83" w:rsidRPr="007263D7">
        <w:t>relativa</w:t>
      </w:r>
      <w:r w:rsidRPr="007263D7">
        <w:t xml:space="preserve"> frente a la demanda que ahora se examina. Así, </w:t>
      </w:r>
      <w:r w:rsidR="00C235DB" w:rsidRPr="007263D7">
        <w:t xml:space="preserve">en cuanto a la cosa juzgada formal, esta se configura porque </w:t>
      </w:r>
      <w:r w:rsidRPr="007263D7">
        <w:t xml:space="preserve">existe identidad entre la </w:t>
      </w:r>
      <w:r w:rsidR="009F1CFF" w:rsidRPr="007263D7">
        <w:t>disposición</w:t>
      </w:r>
      <w:r w:rsidRPr="007263D7">
        <w:t xml:space="preserve"> acusada en esta ocasión y la declarad</w:t>
      </w:r>
      <w:r w:rsidR="00D6221F" w:rsidRPr="007263D7">
        <w:t>a</w:t>
      </w:r>
      <w:r w:rsidRPr="007263D7">
        <w:t xml:space="preserve"> inexequible en la </w:t>
      </w:r>
      <w:r w:rsidR="00E121B5" w:rsidRPr="007263D7">
        <w:t>S</w:t>
      </w:r>
      <w:r w:rsidRPr="007263D7">
        <w:t>entencia C-</w:t>
      </w:r>
      <w:r w:rsidR="00D6221F" w:rsidRPr="007263D7">
        <w:t>161</w:t>
      </w:r>
      <w:r w:rsidRPr="007263D7">
        <w:t xml:space="preserve"> de 2024.</w:t>
      </w:r>
      <w:r w:rsidR="00634A83" w:rsidRPr="007263D7">
        <w:t xml:space="preserve"> </w:t>
      </w:r>
      <w:r w:rsidR="00C235DB" w:rsidRPr="007263D7">
        <w:t>En lo que tiene que ver con la cosa juzgada relativa, su configuración en este caso se explica porque</w:t>
      </w:r>
      <w:r w:rsidR="00777896" w:rsidRPr="007263D7">
        <w:t xml:space="preserve"> </w:t>
      </w:r>
      <w:r w:rsidR="00C235DB" w:rsidRPr="007263D7">
        <w:t>e</w:t>
      </w:r>
      <w:r w:rsidR="00634A83" w:rsidRPr="007263D7">
        <w:t xml:space="preserve">n </w:t>
      </w:r>
      <w:r w:rsidR="00C235DB" w:rsidRPr="007263D7">
        <w:t>la Sentencia C-161 de 2024</w:t>
      </w:r>
      <w:r w:rsidR="00634A83" w:rsidRPr="007263D7">
        <w:t xml:space="preserve"> la inexequibilidad </w:t>
      </w:r>
      <w:r w:rsidR="00C235DB" w:rsidRPr="007263D7">
        <w:t xml:space="preserve">de la Ley 2281 de 2023 </w:t>
      </w:r>
      <w:r w:rsidR="00634A83" w:rsidRPr="007263D7">
        <w:t xml:space="preserve">se declaró por </w:t>
      </w:r>
      <w:r w:rsidR="008C21DB" w:rsidRPr="007263D7">
        <w:rPr>
          <w:color w:val="000000"/>
          <w:shd w:val="clear" w:color="auto" w:fill="FFFFFF"/>
        </w:rPr>
        <w:t>la infracción de las reglas relativas al análisis de impacto fiscal derivadas del artículo 7 de la Ley 819</w:t>
      </w:r>
      <w:r w:rsidR="00777896" w:rsidRPr="007263D7">
        <w:rPr>
          <w:color w:val="000000"/>
          <w:shd w:val="clear" w:color="auto" w:fill="FFFFFF"/>
        </w:rPr>
        <w:t xml:space="preserve"> de 2003</w:t>
      </w:r>
      <w:r w:rsidR="008C21DB" w:rsidRPr="007263D7">
        <w:rPr>
          <w:color w:val="000000"/>
          <w:shd w:val="clear" w:color="auto" w:fill="FFFFFF"/>
        </w:rPr>
        <w:t xml:space="preserve"> y, en este caso, el planteamiento propuesto por el demandante, según se refirió en el fundamento No. 9 de los antecedentes de esta providencia</w:t>
      </w:r>
      <w:r w:rsidR="008C21DB" w:rsidRPr="007263D7">
        <w:t xml:space="preserve">, </w:t>
      </w:r>
      <w:r w:rsidR="008C21DB" w:rsidRPr="007263D7">
        <w:rPr>
          <w:color w:val="000000"/>
          <w:shd w:val="clear" w:color="auto" w:fill="FFFFFF"/>
        </w:rPr>
        <w:t xml:space="preserve">es el equivalente al evaluado en esa oportunidad. </w:t>
      </w:r>
      <w:r w:rsidR="00164D79" w:rsidRPr="007263D7">
        <w:rPr>
          <w:color w:val="000000"/>
          <w:shd w:val="clear" w:color="auto" w:fill="FFFFFF"/>
        </w:rPr>
        <w:t xml:space="preserve">Así, </w:t>
      </w:r>
      <w:r w:rsidR="00164D79" w:rsidRPr="007263D7">
        <w:rPr>
          <w:color w:val="000000"/>
          <w:shd w:val="clear" w:color="auto" w:fill="FFFFFF"/>
          <w:lang w:val="es-CO"/>
        </w:rPr>
        <w:t>mientras el plazo del diferimiento no concluya, es posible plantear nuevos cargos.</w:t>
      </w:r>
    </w:p>
    <w:p w14:paraId="33D2A2FD" w14:textId="77777777" w:rsidR="00102D29" w:rsidRPr="007263D7" w:rsidRDefault="00102D29" w:rsidP="00C87B5A">
      <w:pPr>
        <w:pStyle w:val="Prrafodelista"/>
        <w:numPr>
          <w:ilvl w:val="0"/>
          <w:numId w:val="0"/>
        </w:numPr>
      </w:pPr>
    </w:p>
    <w:p w14:paraId="32C3950F" w14:textId="5276B23D" w:rsidR="00102D29" w:rsidRPr="007263D7" w:rsidRDefault="00102D29" w:rsidP="00C87B5A">
      <w:pPr>
        <w:pStyle w:val="Prrafodelista"/>
        <w:numPr>
          <w:ilvl w:val="0"/>
          <w:numId w:val="3"/>
        </w:numPr>
        <w:rPr>
          <w:b/>
          <w:bCs/>
          <w:lang w:val="es-ES"/>
        </w:rPr>
      </w:pPr>
      <w:r w:rsidRPr="007263D7">
        <w:rPr>
          <w:b/>
          <w:bCs/>
        </w:rPr>
        <w:t>DECISIÓN</w:t>
      </w:r>
    </w:p>
    <w:p w14:paraId="143A2F6D" w14:textId="77777777" w:rsidR="00102D29" w:rsidRPr="007263D7" w:rsidRDefault="00102D29" w:rsidP="00C87B5A">
      <w:pPr>
        <w:autoSpaceDE w:val="0"/>
        <w:autoSpaceDN w:val="0"/>
        <w:adjustRightInd w:val="0"/>
        <w:jc w:val="both"/>
        <w:rPr>
          <w:rFonts w:ascii="Times New Roman" w:hAnsi="Times New Roman" w:cs="Times New Roman"/>
          <w:color w:val="000000" w:themeColor="text1"/>
          <w:sz w:val="28"/>
          <w:szCs w:val="28"/>
          <w:u w:color="0000FF"/>
          <w:lang w:val="es-ES" w:eastAsia="es-ES"/>
        </w:rPr>
      </w:pPr>
    </w:p>
    <w:p w14:paraId="173A2D4F" w14:textId="77777777" w:rsidR="00102D29" w:rsidRPr="007263D7" w:rsidRDefault="00102D29" w:rsidP="00C87B5A">
      <w:pPr>
        <w:autoSpaceDE w:val="0"/>
        <w:autoSpaceDN w:val="0"/>
        <w:adjustRightInd w:val="0"/>
        <w:jc w:val="both"/>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En mérito de lo expuesto, la Corte Constitucional de la República de Colombia, administrando justicia en nombre del pueblo y por mandato de la Constitución,</w:t>
      </w:r>
    </w:p>
    <w:p w14:paraId="2DE8F8D5" w14:textId="77777777" w:rsidR="00102D29" w:rsidRPr="007263D7" w:rsidRDefault="00102D29" w:rsidP="00C87B5A">
      <w:pPr>
        <w:autoSpaceDE w:val="0"/>
        <w:autoSpaceDN w:val="0"/>
        <w:adjustRightInd w:val="0"/>
        <w:jc w:val="center"/>
        <w:rPr>
          <w:rFonts w:ascii="Times New Roman" w:hAnsi="Times New Roman" w:cs="Times New Roman"/>
          <w:color w:val="000000" w:themeColor="text1"/>
          <w:sz w:val="28"/>
          <w:szCs w:val="28"/>
          <w:lang w:val="es-ES" w:eastAsia="es-ES"/>
        </w:rPr>
      </w:pPr>
    </w:p>
    <w:p w14:paraId="2E77AE9C" w14:textId="3BA64297" w:rsidR="00102D29" w:rsidRPr="007263D7" w:rsidRDefault="00102D29" w:rsidP="00C87B5A">
      <w:pPr>
        <w:autoSpaceDE w:val="0"/>
        <w:autoSpaceDN w:val="0"/>
        <w:adjustRightInd w:val="0"/>
        <w:jc w:val="center"/>
        <w:rPr>
          <w:rFonts w:ascii="Times New Roman" w:hAnsi="Times New Roman" w:cs="Times New Roman"/>
          <w:b/>
          <w:color w:val="000000" w:themeColor="text1"/>
          <w:sz w:val="28"/>
          <w:szCs w:val="28"/>
          <w:lang w:val="es-ES" w:eastAsia="es-ES"/>
        </w:rPr>
      </w:pPr>
      <w:r w:rsidRPr="007263D7">
        <w:rPr>
          <w:rFonts w:ascii="Times New Roman" w:hAnsi="Times New Roman" w:cs="Times New Roman"/>
          <w:b/>
          <w:color w:val="000000" w:themeColor="text1"/>
          <w:sz w:val="28"/>
          <w:szCs w:val="28"/>
          <w:lang w:val="es-ES" w:eastAsia="es-ES"/>
        </w:rPr>
        <w:t>RESUELVE:</w:t>
      </w:r>
    </w:p>
    <w:p w14:paraId="337DF7EB" w14:textId="77777777" w:rsidR="00B957B6" w:rsidRPr="007263D7" w:rsidRDefault="00B957B6" w:rsidP="00C87B5A">
      <w:pPr>
        <w:autoSpaceDE w:val="0"/>
        <w:autoSpaceDN w:val="0"/>
        <w:adjustRightInd w:val="0"/>
        <w:jc w:val="center"/>
        <w:rPr>
          <w:rFonts w:ascii="Times New Roman" w:hAnsi="Times New Roman" w:cs="Times New Roman"/>
          <w:color w:val="000000" w:themeColor="text1"/>
          <w:sz w:val="28"/>
          <w:szCs w:val="28"/>
          <w:u w:color="0000FF"/>
          <w:lang w:val="es-ES" w:eastAsia="es-ES"/>
        </w:rPr>
      </w:pPr>
    </w:p>
    <w:p w14:paraId="597F36F0" w14:textId="77777777" w:rsidR="00B957B6" w:rsidRPr="007263D7" w:rsidRDefault="00B957B6" w:rsidP="00C87B5A">
      <w:pPr>
        <w:jc w:val="both"/>
        <w:rPr>
          <w:rFonts w:ascii="Times New Roman" w:eastAsia="Times New Roman" w:hAnsi="Times New Roman" w:cs="Times New Roman"/>
          <w:color w:val="000000" w:themeColor="text1"/>
          <w:sz w:val="28"/>
          <w:szCs w:val="28"/>
          <w:lang w:eastAsia="es-MX"/>
        </w:rPr>
      </w:pPr>
      <w:bookmarkStart w:id="2" w:name="_Hlk97730239"/>
      <w:r w:rsidRPr="007263D7">
        <w:rPr>
          <w:rFonts w:ascii="Times New Roman" w:hAnsi="Times New Roman" w:cs="Times New Roman"/>
          <w:b/>
          <w:color w:val="000000" w:themeColor="text1"/>
          <w:sz w:val="28"/>
          <w:szCs w:val="28"/>
          <w:lang w:val="es-ES" w:eastAsia="es-ES"/>
        </w:rPr>
        <w:t>Único.</w:t>
      </w:r>
      <w:r w:rsidRPr="007263D7">
        <w:rPr>
          <w:rFonts w:ascii="Times New Roman" w:hAnsi="Times New Roman" w:cs="Times New Roman"/>
          <w:b/>
          <w:bCs/>
          <w:color w:val="000000" w:themeColor="text1"/>
          <w:sz w:val="28"/>
          <w:szCs w:val="28"/>
          <w:lang w:val="es-ES"/>
        </w:rPr>
        <w:t xml:space="preserve"> </w:t>
      </w:r>
      <w:r w:rsidRPr="007263D7">
        <w:rPr>
          <w:rFonts w:ascii="Times New Roman" w:hAnsi="Times New Roman" w:cs="Times New Roman"/>
          <w:b/>
          <w:bCs/>
          <w:color w:val="000000" w:themeColor="text1"/>
          <w:sz w:val="28"/>
          <w:szCs w:val="28"/>
          <w:shd w:val="clear" w:color="auto" w:fill="FFFFFF"/>
          <w:lang w:val="es-ES"/>
        </w:rPr>
        <w:t>ESTARSE A LO RESUELTO</w:t>
      </w:r>
      <w:r w:rsidRPr="007263D7">
        <w:rPr>
          <w:rFonts w:ascii="Times New Roman" w:hAnsi="Times New Roman" w:cs="Times New Roman"/>
          <w:color w:val="000000" w:themeColor="text1"/>
          <w:sz w:val="28"/>
          <w:szCs w:val="28"/>
          <w:shd w:val="clear" w:color="auto" w:fill="FFFFFF"/>
          <w:lang w:val="es-ES"/>
        </w:rPr>
        <w:t xml:space="preserve"> en la Sentencia C-161 de 2024, mediante la cual se decidió “</w:t>
      </w:r>
      <w:r w:rsidRPr="007263D7">
        <w:rPr>
          <w:rFonts w:ascii="Times New Roman" w:eastAsia="Times New Roman" w:hAnsi="Times New Roman" w:cs="Times New Roman"/>
          <w:color w:val="000000" w:themeColor="text1"/>
          <w:sz w:val="28"/>
          <w:szCs w:val="28"/>
          <w:lang w:eastAsia="es-MX"/>
        </w:rPr>
        <w:t>[d]eclarar</w:t>
      </w:r>
      <w:r w:rsidRPr="007263D7">
        <w:rPr>
          <w:rFonts w:ascii="Times New Roman" w:eastAsia="Times New Roman" w:hAnsi="Times New Roman" w:cs="Times New Roman"/>
          <w:b/>
          <w:bCs/>
          <w:color w:val="000000" w:themeColor="text1"/>
          <w:sz w:val="28"/>
          <w:szCs w:val="28"/>
          <w:lang w:eastAsia="es-MX"/>
        </w:rPr>
        <w:t xml:space="preserve"> INEXEQUIBLE </w:t>
      </w:r>
      <w:r w:rsidRPr="007263D7">
        <w:rPr>
          <w:rFonts w:ascii="Times New Roman" w:eastAsia="Times New Roman" w:hAnsi="Times New Roman" w:cs="Times New Roman"/>
          <w:color w:val="000000" w:themeColor="text1"/>
          <w:sz w:val="28"/>
          <w:szCs w:val="28"/>
          <w:lang w:eastAsia="es-MX"/>
        </w:rPr>
        <w:t>la Ley 2281 de 2023, ‘[p]or medio de la cual se crea el Ministerio de Igualdad y Equidad y se dictan otras disposiciones’, por vicios de procedimiento en su formación” y “</w:t>
      </w:r>
      <w:r w:rsidRPr="007263D7">
        <w:rPr>
          <w:rFonts w:ascii="Times New Roman" w:eastAsia="Times New Roman" w:hAnsi="Times New Roman" w:cs="Times New Roman"/>
          <w:b/>
          <w:bCs/>
          <w:color w:val="000000" w:themeColor="text1"/>
          <w:sz w:val="28"/>
          <w:szCs w:val="28"/>
          <w:lang w:eastAsia="es-MX"/>
        </w:rPr>
        <w:t xml:space="preserve">DIFERIR </w:t>
      </w:r>
      <w:r w:rsidRPr="007263D7">
        <w:rPr>
          <w:rFonts w:ascii="Times New Roman" w:eastAsia="Times New Roman" w:hAnsi="Times New Roman" w:cs="Times New Roman"/>
          <w:color w:val="000000" w:themeColor="text1"/>
          <w:sz w:val="28"/>
          <w:szCs w:val="28"/>
          <w:lang w:eastAsia="es-MX"/>
        </w:rPr>
        <w:t>los efectos de la presente decisión, por el término de dos (2) legislaturas, contadas a partir del 20 de julio [de] 2024. Una vez culmine la legislatura 2025-2026, la Ley 2281 de 2023 dejará de producir efectos definitivamente y no formará parte del ordenamiento jurídico”.</w:t>
      </w:r>
      <w:bookmarkEnd w:id="2"/>
    </w:p>
    <w:p w14:paraId="7E900313" w14:textId="77777777" w:rsidR="00102D29" w:rsidRPr="007263D7" w:rsidRDefault="00102D29" w:rsidP="00C87B5A">
      <w:pPr>
        <w:jc w:val="both"/>
        <w:rPr>
          <w:rFonts w:ascii="Times New Roman" w:hAnsi="Times New Roman" w:cs="Times New Roman"/>
          <w:color w:val="000000" w:themeColor="text1"/>
          <w:sz w:val="28"/>
          <w:szCs w:val="28"/>
          <w:shd w:val="clear" w:color="auto" w:fill="FFFFFF"/>
          <w:lang w:val="es-ES"/>
        </w:rPr>
      </w:pPr>
    </w:p>
    <w:p w14:paraId="52145B09" w14:textId="5D4FFCF2" w:rsidR="00770A25" w:rsidRPr="007263D7" w:rsidRDefault="00102D29" w:rsidP="00C87B5A">
      <w:pPr>
        <w:jc w:val="both"/>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 xml:space="preserve">Notifíquese, comuníquese y cúmplase. </w:t>
      </w:r>
    </w:p>
    <w:p w14:paraId="60A7B73D" w14:textId="1D2D8B82" w:rsidR="00431083" w:rsidRPr="007263D7" w:rsidRDefault="00431083" w:rsidP="00C87B5A">
      <w:pPr>
        <w:jc w:val="both"/>
        <w:rPr>
          <w:rFonts w:ascii="Times New Roman" w:hAnsi="Times New Roman" w:cs="Times New Roman"/>
          <w:color w:val="000000" w:themeColor="text1"/>
          <w:sz w:val="28"/>
          <w:szCs w:val="28"/>
          <w:lang w:val="es-ES" w:eastAsia="es-ES"/>
        </w:rPr>
      </w:pPr>
    </w:p>
    <w:p w14:paraId="774DC6BA" w14:textId="4352E3EA" w:rsidR="00431083" w:rsidRPr="007263D7" w:rsidRDefault="00431083" w:rsidP="00C87B5A">
      <w:pPr>
        <w:jc w:val="both"/>
        <w:rPr>
          <w:rFonts w:ascii="Times New Roman" w:hAnsi="Times New Roman" w:cs="Times New Roman"/>
          <w:color w:val="000000" w:themeColor="text1"/>
          <w:sz w:val="28"/>
          <w:szCs w:val="28"/>
          <w:lang w:val="es-ES" w:eastAsia="es-ES"/>
        </w:rPr>
      </w:pPr>
    </w:p>
    <w:p w14:paraId="5839FAAF" w14:textId="366E429E"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JORGE ENRIQUE IBÁÑEZ NAJAR</w:t>
      </w:r>
    </w:p>
    <w:p w14:paraId="3EFE6CDB" w14:textId="23C48C83"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Presidente</w:t>
      </w:r>
    </w:p>
    <w:p w14:paraId="464F32A4" w14:textId="7DB14FEC"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Con aclaración de voto</w:t>
      </w:r>
    </w:p>
    <w:p w14:paraId="16540D31" w14:textId="318ADF67" w:rsidR="00431083" w:rsidRPr="007263D7" w:rsidRDefault="00431083" w:rsidP="00431083">
      <w:pPr>
        <w:jc w:val="center"/>
        <w:rPr>
          <w:rFonts w:ascii="Times New Roman" w:hAnsi="Times New Roman" w:cs="Times New Roman"/>
          <w:color w:val="000000" w:themeColor="text1"/>
          <w:sz w:val="28"/>
          <w:szCs w:val="28"/>
          <w:lang w:val="es-ES" w:eastAsia="es-ES"/>
        </w:rPr>
      </w:pPr>
    </w:p>
    <w:p w14:paraId="37A93AA6" w14:textId="723BD00A" w:rsidR="00431083" w:rsidRPr="007263D7" w:rsidRDefault="00431083" w:rsidP="00431083">
      <w:pPr>
        <w:jc w:val="center"/>
        <w:rPr>
          <w:rFonts w:ascii="Times New Roman" w:hAnsi="Times New Roman" w:cs="Times New Roman"/>
          <w:color w:val="000000" w:themeColor="text1"/>
          <w:sz w:val="28"/>
          <w:szCs w:val="28"/>
          <w:lang w:val="es-ES" w:eastAsia="es-ES"/>
        </w:rPr>
      </w:pPr>
    </w:p>
    <w:p w14:paraId="7BA8F263" w14:textId="36A44EBF" w:rsidR="00431083" w:rsidRPr="007263D7" w:rsidRDefault="00431083" w:rsidP="00431083">
      <w:pPr>
        <w:jc w:val="center"/>
        <w:rPr>
          <w:rFonts w:ascii="Times New Roman" w:hAnsi="Times New Roman" w:cs="Times New Roman"/>
          <w:color w:val="000000" w:themeColor="text1"/>
          <w:sz w:val="28"/>
          <w:szCs w:val="28"/>
          <w:lang w:val="es-ES" w:eastAsia="es-ES"/>
        </w:rPr>
      </w:pPr>
    </w:p>
    <w:p w14:paraId="586DC0D7" w14:textId="058BCE94" w:rsidR="00431083" w:rsidRPr="007263D7" w:rsidRDefault="00431083" w:rsidP="00431083">
      <w:pPr>
        <w:jc w:val="center"/>
        <w:rPr>
          <w:rFonts w:ascii="Times New Roman" w:hAnsi="Times New Roman" w:cs="Times New Roman"/>
          <w:color w:val="000000" w:themeColor="text1"/>
          <w:sz w:val="28"/>
          <w:szCs w:val="28"/>
          <w:lang w:val="es-ES" w:eastAsia="es-ES"/>
        </w:rPr>
      </w:pPr>
    </w:p>
    <w:p w14:paraId="5F80A867" w14:textId="65C970CD" w:rsidR="00431083" w:rsidRPr="007263D7" w:rsidRDefault="00431083" w:rsidP="00431083">
      <w:pPr>
        <w:jc w:val="center"/>
        <w:rPr>
          <w:rFonts w:ascii="Times New Roman" w:hAnsi="Times New Roman" w:cs="Times New Roman"/>
          <w:color w:val="000000" w:themeColor="text1"/>
          <w:sz w:val="28"/>
          <w:szCs w:val="28"/>
          <w:lang w:val="es-ES" w:eastAsia="es-ES"/>
        </w:rPr>
      </w:pPr>
    </w:p>
    <w:p w14:paraId="72DA2AAE" w14:textId="187D4768"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NATALIA ÁNGEL CABO</w:t>
      </w:r>
    </w:p>
    <w:p w14:paraId="192921AC" w14:textId="6D84391F"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Magistrada</w:t>
      </w:r>
    </w:p>
    <w:p w14:paraId="04904530" w14:textId="1D5E683B" w:rsidR="00431083" w:rsidRPr="007263D7" w:rsidRDefault="00431083" w:rsidP="00431083">
      <w:pPr>
        <w:jc w:val="center"/>
        <w:rPr>
          <w:rFonts w:ascii="Times New Roman" w:hAnsi="Times New Roman" w:cs="Times New Roman"/>
          <w:color w:val="000000" w:themeColor="text1"/>
          <w:sz w:val="28"/>
          <w:szCs w:val="28"/>
          <w:lang w:val="es-ES" w:eastAsia="es-ES"/>
        </w:rPr>
      </w:pPr>
    </w:p>
    <w:p w14:paraId="49D16E55" w14:textId="028296FD" w:rsidR="00431083" w:rsidRPr="007263D7" w:rsidRDefault="00431083" w:rsidP="00431083">
      <w:pPr>
        <w:jc w:val="center"/>
        <w:rPr>
          <w:rFonts w:ascii="Times New Roman" w:hAnsi="Times New Roman" w:cs="Times New Roman"/>
          <w:color w:val="000000" w:themeColor="text1"/>
          <w:sz w:val="28"/>
          <w:szCs w:val="28"/>
          <w:lang w:val="es-ES" w:eastAsia="es-ES"/>
        </w:rPr>
      </w:pPr>
    </w:p>
    <w:p w14:paraId="66E70ECC" w14:textId="492F8C5E" w:rsidR="00431083" w:rsidRPr="007263D7" w:rsidRDefault="00431083" w:rsidP="00431083">
      <w:pPr>
        <w:jc w:val="center"/>
        <w:rPr>
          <w:rFonts w:ascii="Times New Roman" w:hAnsi="Times New Roman" w:cs="Times New Roman"/>
          <w:color w:val="000000" w:themeColor="text1"/>
          <w:sz w:val="28"/>
          <w:szCs w:val="28"/>
          <w:lang w:val="es-ES" w:eastAsia="es-ES"/>
        </w:rPr>
      </w:pPr>
    </w:p>
    <w:p w14:paraId="79A3D63A" w14:textId="69CA25F6"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JUAN CARLOS CORTÉS GONZÁLEZ</w:t>
      </w:r>
    </w:p>
    <w:p w14:paraId="0B1F49C7" w14:textId="15BE8E82"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Magistrado</w:t>
      </w:r>
    </w:p>
    <w:p w14:paraId="4A6DC779" w14:textId="16624AC5" w:rsidR="00431083" w:rsidRPr="007263D7" w:rsidRDefault="00431083" w:rsidP="00431083">
      <w:pPr>
        <w:jc w:val="center"/>
        <w:rPr>
          <w:rFonts w:ascii="Times New Roman" w:hAnsi="Times New Roman" w:cs="Times New Roman"/>
          <w:color w:val="000000" w:themeColor="text1"/>
          <w:sz w:val="28"/>
          <w:szCs w:val="28"/>
          <w:lang w:val="es-ES" w:eastAsia="es-ES"/>
        </w:rPr>
      </w:pPr>
    </w:p>
    <w:p w14:paraId="53DB320B" w14:textId="1B1BBEF8" w:rsidR="00431083" w:rsidRPr="007263D7" w:rsidRDefault="00431083" w:rsidP="00431083">
      <w:pPr>
        <w:jc w:val="center"/>
        <w:rPr>
          <w:rFonts w:ascii="Times New Roman" w:hAnsi="Times New Roman" w:cs="Times New Roman"/>
          <w:color w:val="000000" w:themeColor="text1"/>
          <w:sz w:val="28"/>
          <w:szCs w:val="28"/>
          <w:lang w:val="es-ES" w:eastAsia="es-ES"/>
        </w:rPr>
      </w:pPr>
    </w:p>
    <w:p w14:paraId="1279E3F2" w14:textId="692A8910" w:rsidR="00431083" w:rsidRPr="007263D7" w:rsidRDefault="00431083" w:rsidP="00431083">
      <w:pPr>
        <w:jc w:val="center"/>
        <w:rPr>
          <w:rFonts w:ascii="Times New Roman" w:hAnsi="Times New Roman" w:cs="Times New Roman"/>
          <w:color w:val="000000" w:themeColor="text1"/>
          <w:sz w:val="28"/>
          <w:szCs w:val="28"/>
          <w:lang w:val="es-ES" w:eastAsia="es-ES"/>
        </w:rPr>
      </w:pPr>
    </w:p>
    <w:p w14:paraId="06B63029" w14:textId="4CCB0BBD"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DIANA FAJARDO RIVERA</w:t>
      </w:r>
    </w:p>
    <w:p w14:paraId="248E29B4" w14:textId="1D784700"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Magistrada</w:t>
      </w:r>
    </w:p>
    <w:p w14:paraId="2A48904F" w14:textId="53E7943E" w:rsidR="00431083" w:rsidRPr="007263D7" w:rsidRDefault="00431083" w:rsidP="00431083">
      <w:pPr>
        <w:jc w:val="center"/>
        <w:rPr>
          <w:rFonts w:ascii="Times New Roman" w:hAnsi="Times New Roman" w:cs="Times New Roman"/>
          <w:color w:val="000000" w:themeColor="text1"/>
          <w:sz w:val="28"/>
          <w:szCs w:val="28"/>
          <w:lang w:val="es-ES" w:eastAsia="es-ES"/>
        </w:rPr>
      </w:pPr>
    </w:p>
    <w:p w14:paraId="762EE01E" w14:textId="7F58D7AE" w:rsidR="00431083" w:rsidRPr="007263D7" w:rsidRDefault="00431083" w:rsidP="00431083">
      <w:pPr>
        <w:jc w:val="center"/>
        <w:rPr>
          <w:rFonts w:ascii="Times New Roman" w:hAnsi="Times New Roman" w:cs="Times New Roman"/>
          <w:color w:val="000000" w:themeColor="text1"/>
          <w:sz w:val="28"/>
          <w:szCs w:val="28"/>
          <w:lang w:val="es-ES" w:eastAsia="es-ES"/>
        </w:rPr>
      </w:pPr>
    </w:p>
    <w:p w14:paraId="0E5726EC" w14:textId="407CF730" w:rsidR="00431083" w:rsidRPr="007263D7" w:rsidRDefault="00431083" w:rsidP="00431083">
      <w:pPr>
        <w:jc w:val="center"/>
        <w:rPr>
          <w:rFonts w:ascii="Times New Roman" w:hAnsi="Times New Roman" w:cs="Times New Roman"/>
          <w:color w:val="000000" w:themeColor="text1"/>
          <w:sz w:val="28"/>
          <w:szCs w:val="28"/>
          <w:lang w:val="es-ES" w:eastAsia="es-ES"/>
        </w:rPr>
      </w:pPr>
    </w:p>
    <w:p w14:paraId="529C5EA4" w14:textId="47E6088A"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VLADIMIR FERNÁNDEZ ANDRADE</w:t>
      </w:r>
    </w:p>
    <w:p w14:paraId="5EE279DC" w14:textId="465EE5F2"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Magistrado</w:t>
      </w:r>
    </w:p>
    <w:p w14:paraId="41A84E3B" w14:textId="2830FA2D"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Con impedimento aceptado</w:t>
      </w:r>
    </w:p>
    <w:p w14:paraId="79FA5C19" w14:textId="3491A829" w:rsidR="00431083" w:rsidRPr="007263D7" w:rsidRDefault="00431083" w:rsidP="00431083">
      <w:pPr>
        <w:jc w:val="center"/>
        <w:rPr>
          <w:rFonts w:ascii="Times New Roman" w:hAnsi="Times New Roman" w:cs="Times New Roman"/>
          <w:color w:val="000000" w:themeColor="text1"/>
          <w:sz w:val="28"/>
          <w:szCs w:val="28"/>
          <w:lang w:val="es-ES" w:eastAsia="es-ES"/>
        </w:rPr>
      </w:pPr>
    </w:p>
    <w:p w14:paraId="52ECFA4B" w14:textId="684B016F" w:rsidR="00431083" w:rsidRPr="007263D7" w:rsidRDefault="00431083" w:rsidP="00431083">
      <w:pPr>
        <w:jc w:val="center"/>
        <w:rPr>
          <w:rFonts w:ascii="Times New Roman" w:hAnsi="Times New Roman" w:cs="Times New Roman"/>
          <w:color w:val="000000" w:themeColor="text1"/>
          <w:sz w:val="28"/>
          <w:szCs w:val="28"/>
          <w:lang w:val="es-ES" w:eastAsia="es-ES"/>
        </w:rPr>
      </w:pPr>
    </w:p>
    <w:p w14:paraId="2082F8A3" w14:textId="5B893B9D" w:rsidR="00431083" w:rsidRPr="007263D7" w:rsidRDefault="00431083" w:rsidP="00431083">
      <w:pPr>
        <w:jc w:val="center"/>
        <w:rPr>
          <w:rFonts w:ascii="Times New Roman" w:hAnsi="Times New Roman" w:cs="Times New Roman"/>
          <w:color w:val="000000" w:themeColor="text1"/>
          <w:sz w:val="28"/>
          <w:szCs w:val="28"/>
          <w:lang w:val="es-ES" w:eastAsia="es-ES"/>
        </w:rPr>
      </w:pPr>
    </w:p>
    <w:p w14:paraId="29F19945" w14:textId="5AA8D6F7"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PAOLA ANDREA MENESES MOSQUERA</w:t>
      </w:r>
    </w:p>
    <w:p w14:paraId="1A4B9D98" w14:textId="5A67A78E"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Magistrada</w:t>
      </w:r>
    </w:p>
    <w:p w14:paraId="5593CAED" w14:textId="51A61DAC" w:rsidR="00431083" w:rsidRPr="007263D7" w:rsidRDefault="00431083" w:rsidP="00431083">
      <w:pPr>
        <w:jc w:val="center"/>
        <w:rPr>
          <w:rFonts w:ascii="Times New Roman" w:hAnsi="Times New Roman" w:cs="Times New Roman"/>
          <w:color w:val="000000" w:themeColor="text1"/>
          <w:sz w:val="28"/>
          <w:szCs w:val="28"/>
          <w:lang w:val="es-ES" w:eastAsia="es-ES"/>
        </w:rPr>
      </w:pPr>
    </w:p>
    <w:p w14:paraId="6CCD3B4E" w14:textId="186907CA" w:rsidR="00431083" w:rsidRPr="007263D7" w:rsidRDefault="00431083" w:rsidP="00431083">
      <w:pPr>
        <w:jc w:val="center"/>
        <w:rPr>
          <w:rFonts w:ascii="Times New Roman" w:hAnsi="Times New Roman" w:cs="Times New Roman"/>
          <w:color w:val="000000" w:themeColor="text1"/>
          <w:sz w:val="28"/>
          <w:szCs w:val="28"/>
          <w:lang w:val="es-ES" w:eastAsia="es-ES"/>
        </w:rPr>
      </w:pPr>
    </w:p>
    <w:p w14:paraId="105C8BF4" w14:textId="4971D2A0" w:rsidR="00431083" w:rsidRPr="007263D7" w:rsidRDefault="00431083" w:rsidP="00431083">
      <w:pPr>
        <w:jc w:val="center"/>
        <w:rPr>
          <w:rFonts w:ascii="Times New Roman" w:hAnsi="Times New Roman" w:cs="Times New Roman"/>
          <w:color w:val="000000" w:themeColor="text1"/>
          <w:sz w:val="28"/>
          <w:szCs w:val="28"/>
          <w:lang w:val="es-ES" w:eastAsia="es-ES"/>
        </w:rPr>
      </w:pPr>
    </w:p>
    <w:p w14:paraId="2D9F41A5" w14:textId="0A44552A"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CRISTINA PARDO SCHLESINGER</w:t>
      </w:r>
    </w:p>
    <w:p w14:paraId="7A83D192" w14:textId="12D4D63A"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Magistrada</w:t>
      </w:r>
    </w:p>
    <w:p w14:paraId="0A2B23D3" w14:textId="7D779BC7" w:rsidR="00431083" w:rsidRPr="007263D7" w:rsidRDefault="00431083" w:rsidP="00431083">
      <w:pPr>
        <w:jc w:val="center"/>
        <w:rPr>
          <w:rFonts w:ascii="Times New Roman" w:hAnsi="Times New Roman" w:cs="Times New Roman"/>
          <w:color w:val="000000" w:themeColor="text1"/>
          <w:sz w:val="28"/>
          <w:szCs w:val="28"/>
          <w:lang w:val="es-ES" w:eastAsia="es-ES"/>
        </w:rPr>
      </w:pPr>
    </w:p>
    <w:p w14:paraId="70A02457" w14:textId="4A9F11F8" w:rsidR="00431083" w:rsidRPr="007263D7" w:rsidRDefault="00431083" w:rsidP="00431083">
      <w:pPr>
        <w:jc w:val="center"/>
        <w:rPr>
          <w:rFonts w:ascii="Times New Roman" w:hAnsi="Times New Roman" w:cs="Times New Roman"/>
          <w:color w:val="000000" w:themeColor="text1"/>
          <w:sz w:val="28"/>
          <w:szCs w:val="28"/>
          <w:lang w:val="es-ES" w:eastAsia="es-ES"/>
        </w:rPr>
      </w:pPr>
    </w:p>
    <w:p w14:paraId="53813461" w14:textId="1EC34C8D" w:rsidR="00431083" w:rsidRPr="007263D7" w:rsidRDefault="00431083" w:rsidP="00431083">
      <w:pPr>
        <w:jc w:val="center"/>
        <w:rPr>
          <w:rFonts w:ascii="Times New Roman" w:hAnsi="Times New Roman" w:cs="Times New Roman"/>
          <w:color w:val="000000" w:themeColor="text1"/>
          <w:sz w:val="28"/>
          <w:szCs w:val="28"/>
          <w:lang w:val="es-ES" w:eastAsia="es-ES"/>
        </w:rPr>
      </w:pPr>
    </w:p>
    <w:p w14:paraId="7F5510EF" w14:textId="75C41DCA"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MIGUEL POLO ROSERO</w:t>
      </w:r>
    </w:p>
    <w:p w14:paraId="7FB7CBF6" w14:textId="4CF4048C"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Magistrado</w:t>
      </w:r>
    </w:p>
    <w:p w14:paraId="485F5D4E" w14:textId="3381885A"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Con impedimento aceptado</w:t>
      </w:r>
    </w:p>
    <w:p w14:paraId="0B58A6DC" w14:textId="487BFC34" w:rsidR="00431083" w:rsidRPr="007263D7" w:rsidRDefault="00431083" w:rsidP="00431083">
      <w:pPr>
        <w:jc w:val="center"/>
        <w:rPr>
          <w:rFonts w:ascii="Times New Roman" w:hAnsi="Times New Roman" w:cs="Times New Roman"/>
          <w:color w:val="000000" w:themeColor="text1"/>
          <w:sz w:val="28"/>
          <w:szCs w:val="28"/>
          <w:lang w:val="es-ES" w:eastAsia="es-ES"/>
        </w:rPr>
      </w:pPr>
    </w:p>
    <w:p w14:paraId="578722F1" w14:textId="76545F66" w:rsidR="00431083" w:rsidRPr="007263D7" w:rsidRDefault="00431083" w:rsidP="00431083">
      <w:pPr>
        <w:jc w:val="center"/>
        <w:rPr>
          <w:rFonts w:ascii="Times New Roman" w:hAnsi="Times New Roman" w:cs="Times New Roman"/>
          <w:color w:val="000000" w:themeColor="text1"/>
          <w:sz w:val="28"/>
          <w:szCs w:val="28"/>
          <w:lang w:val="es-ES" w:eastAsia="es-ES"/>
        </w:rPr>
      </w:pPr>
    </w:p>
    <w:p w14:paraId="1DDCC2D2" w14:textId="392AA205" w:rsidR="00431083" w:rsidRPr="007263D7" w:rsidRDefault="00431083" w:rsidP="00431083">
      <w:pPr>
        <w:jc w:val="center"/>
        <w:rPr>
          <w:rFonts w:ascii="Times New Roman" w:hAnsi="Times New Roman" w:cs="Times New Roman"/>
          <w:color w:val="000000" w:themeColor="text1"/>
          <w:sz w:val="28"/>
          <w:szCs w:val="28"/>
          <w:lang w:val="es-ES" w:eastAsia="es-ES"/>
        </w:rPr>
      </w:pPr>
    </w:p>
    <w:p w14:paraId="797995FD" w14:textId="7127EE4A"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JOSE FERNANDO REYES CUARTAS</w:t>
      </w:r>
    </w:p>
    <w:p w14:paraId="23ED6F44" w14:textId="2C75D089"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Magistrado</w:t>
      </w:r>
    </w:p>
    <w:p w14:paraId="3ECDE638" w14:textId="733934E6" w:rsidR="00431083" w:rsidRPr="007263D7" w:rsidRDefault="00431083" w:rsidP="00431083">
      <w:pPr>
        <w:jc w:val="center"/>
        <w:rPr>
          <w:rFonts w:ascii="Times New Roman" w:hAnsi="Times New Roman" w:cs="Times New Roman"/>
          <w:color w:val="000000" w:themeColor="text1"/>
          <w:sz w:val="28"/>
          <w:szCs w:val="28"/>
          <w:lang w:val="es-ES" w:eastAsia="es-ES"/>
        </w:rPr>
      </w:pPr>
    </w:p>
    <w:p w14:paraId="74AF52D6" w14:textId="0509E28B" w:rsidR="00431083" w:rsidRPr="007263D7" w:rsidRDefault="00431083" w:rsidP="00431083">
      <w:pPr>
        <w:jc w:val="center"/>
        <w:rPr>
          <w:rFonts w:ascii="Times New Roman" w:hAnsi="Times New Roman" w:cs="Times New Roman"/>
          <w:color w:val="000000" w:themeColor="text1"/>
          <w:sz w:val="28"/>
          <w:szCs w:val="28"/>
          <w:lang w:val="es-ES" w:eastAsia="es-ES"/>
        </w:rPr>
      </w:pPr>
    </w:p>
    <w:p w14:paraId="67449947" w14:textId="4DB92E21" w:rsidR="00431083" w:rsidRPr="007263D7" w:rsidRDefault="00431083" w:rsidP="00431083">
      <w:pPr>
        <w:jc w:val="center"/>
        <w:rPr>
          <w:rFonts w:ascii="Times New Roman" w:hAnsi="Times New Roman" w:cs="Times New Roman"/>
          <w:color w:val="000000" w:themeColor="text1"/>
          <w:sz w:val="28"/>
          <w:szCs w:val="28"/>
          <w:lang w:val="es-ES" w:eastAsia="es-ES"/>
        </w:rPr>
      </w:pPr>
    </w:p>
    <w:p w14:paraId="067C8CFB" w14:textId="1F46232F"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ANDREA LILIANA ROMERO LOPEZ</w:t>
      </w:r>
    </w:p>
    <w:p w14:paraId="60C07360" w14:textId="5AF2F2C0" w:rsidR="00431083" w:rsidRPr="007263D7" w:rsidRDefault="00431083" w:rsidP="00431083">
      <w:pPr>
        <w:jc w:val="center"/>
        <w:rPr>
          <w:rFonts w:ascii="Times New Roman" w:hAnsi="Times New Roman" w:cs="Times New Roman"/>
          <w:color w:val="000000" w:themeColor="text1"/>
          <w:sz w:val="28"/>
          <w:szCs w:val="28"/>
          <w:lang w:val="es-ES" w:eastAsia="es-ES"/>
        </w:rPr>
      </w:pPr>
      <w:r w:rsidRPr="007263D7">
        <w:rPr>
          <w:rFonts w:ascii="Times New Roman" w:hAnsi="Times New Roman" w:cs="Times New Roman"/>
          <w:color w:val="000000" w:themeColor="text1"/>
          <w:sz w:val="28"/>
          <w:szCs w:val="28"/>
          <w:lang w:val="es-ES" w:eastAsia="es-ES"/>
        </w:rPr>
        <w:t>Secretaria General</w:t>
      </w:r>
    </w:p>
    <w:p w14:paraId="3557997A" w14:textId="7CA79C1B" w:rsidR="00431083" w:rsidRPr="007263D7" w:rsidRDefault="00431083" w:rsidP="00431083">
      <w:pPr>
        <w:jc w:val="center"/>
        <w:rPr>
          <w:rFonts w:ascii="Times New Roman" w:hAnsi="Times New Roman" w:cs="Times New Roman"/>
          <w:color w:val="000000" w:themeColor="text1"/>
          <w:sz w:val="28"/>
          <w:szCs w:val="28"/>
          <w:lang w:val="es-ES" w:eastAsia="es-ES"/>
        </w:rPr>
      </w:pPr>
    </w:p>
    <w:p w14:paraId="451CC041" w14:textId="47090BDB" w:rsidR="00431083" w:rsidRPr="007263D7" w:rsidRDefault="00431083" w:rsidP="00431083">
      <w:pPr>
        <w:jc w:val="center"/>
        <w:rPr>
          <w:rFonts w:ascii="Times New Roman" w:hAnsi="Times New Roman" w:cs="Times New Roman"/>
          <w:color w:val="000000" w:themeColor="text1"/>
          <w:sz w:val="28"/>
          <w:szCs w:val="28"/>
          <w:lang w:val="es-ES" w:eastAsia="es-ES"/>
        </w:rPr>
      </w:pPr>
    </w:p>
    <w:p w14:paraId="411898F1" w14:textId="67B01ADB" w:rsidR="00431083" w:rsidRPr="007263D7" w:rsidRDefault="00431083" w:rsidP="00431083">
      <w:pPr>
        <w:jc w:val="center"/>
        <w:rPr>
          <w:rFonts w:ascii="Times New Roman" w:hAnsi="Times New Roman" w:cs="Times New Roman"/>
          <w:color w:val="000000" w:themeColor="text1"/>
          <w:sz w:val="28"/>
          <w:szCs w:val="28"/>
          <w:lang w:val="es-ES" w:eastAsia="es-ES"/>
        </w:rPr>
      </w:pPr>
    </w:p>
    <w:p w14:paraId="6A03446F" w14:textId="1A65405A" w:rsidR="00431083" w:rsidRPr="007263D7" w:rsidRDefault="00431083" w:rsidP="00431083">
      <w:pPr>
        <w:jc w:val="center"/>
        <w:rPr>
          <w:rFonts w:ascii="Times New Roman" w:hAnsi="Times New Roman" w:cs="Times New Roman"/>
          <w:color w:val="000000" w:themeColor="text1"/>
          <w:sz w:val="28"/>
          <w:szCs w:val="28"/>
          <w:lang w:val="es-ES" w:eastAsia="es-ES"/>
        </w:rPr>
      </w:pPr>
    </w:p>
    <w:p w14:paraId="08BC9E14" w14:textId="1095B83D" w:rsidR="00431083" w:rsidRPr="007263D7" w:rsidRDefault="00431083" w:rsidP="00431083">
      <w:pPr>
        <w:jc w:val="center"/>
        <w:rPr>
          <w:rFonts w:ascii="Times New Roman" w:hAnsi="Times New Roman" w:cs="Times New Roman"/>
          <w:color w:val="000000" w:themeColor="text1"/>
          <w:sz w:val="28"/>
          <w:szCs w:val="28"/>
          <w:lang w:val="es-ES" w:eastAsia="es-ES"/>
        </w:rPr>
      </w:pPr>
    </w:p>
    <w:p w14:paraId="5AC9A837" w14:textId="77777777" w:rsidR="00431083" w:rsidRPr="007263D7" w:rsidRDefault="00431083" w:rsidP="00431083">
      <w:pPr>
        <w:jc w:val="center"/>
        <w:rPr>
          <w:rFonts w:ascii="Times New Roman" w:hAnsi="Times New Roman" w:cs="Times New Roman"/>
          <w:color w:val="000000" w:themeColor="text1"/>
          <w:sz w:val="28"/>
          <w:szCs w:val="28"/>
          <w:lang w:val="es-ES" w:eastAsia="es-ES"/>
        </w:rPr>
      </w:pPr>
    </w:p>
    <w:p w14:paraId="15675D4A" w14:textId="37BD08FF" w:rsidR="00C92394" w:rsidRPr="007263D7" w:rsidRDefault="007263D7" w:rsidP="00C92394">
      <w:pPr>
        <w:jc w:val="center"/>
        <w:rPr>
          <w:rFonts w:ascii="Times New Roman" w:eastAsia="Times New Roman" w:hAnsi="Times New Roman" w:cs="Times New Roman"/>
          <w:b/>
          <w:bCs/>
          <w:color w:val="000000"/>
          <w:sz w:val="28"/>
          <w:szCs w:val="28"/>
          <w:lang w:eastAsia="es-MX"/>
          <w14:ligatures w14:val="none"/>
        </w:rPr>
      </w:pPr>
      <w:r w:rsidRPr="007263D7">
        <w:rPr>
          <w:rFonts w:ascii="Times New Roman" w:eastAsia="Times New Roman" w:hAnsi="Times New Roman" w:cs="Times New Roman"/>
          <w:b/>
          <w:bCs/>
          <w:color w:val="000000"/>
          <w:sz w:val="28"/>
          <w:szCs w:val="28"/>
          <w:lang w:eastAsia="es-MX"/>
          <w14:ligatures w14:val="none"/>
        </w:rPr>
        <w:t>Anexo 1</w:t>
      </w:r>
    </w:p>
    <w:p w14:paraId="7BB44048" w14:textId="77777777" w:rsidR="00C92394" w:rsidRPr="007263D7" w:rsidRDefault="007263D7" w:rsidP="00C92394">
      <w:pPr>
        <w:jc w:val="both"/>
        <w:rPr>
          <w:rFonts w:ascii="Times New Roman" w:eastAsia="Times New Roman" w:hAnsi="Times New Roman" w:cs="Times New Roman"/>
          <w:color w:val="000000"/>
          <w:sz w:val="28"/>
          <w:szCs w:val="28"/>
          <w:lang w:eastAsia="es-MX"/>
          <w14:ligatures w14:val="none"/>
        </w:rPr>
      </w:pPr>
    </w:p>
    <w:p w14:paraId="56A07164" w14:textId="39729469"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000000"/>
          <w:sz w:val="28"/>
          <w:szCs w:val="28"/>
          <w:lang w:eastAsia="es-MX"/>
          <w14:ligatures w14:val="none"/>
        </w:rPr>
        <w:t> A continuación, se transcribe la Ley 2281 de 2023 que fue demandada en su totalidad por vicios de procedimiento en su formación</w:t>
      </w:r>
      <w:r w:rsidRPr="007263D7">
        <w:rPr>
          <w:rFonts w:ascii="Times New Roman" w:eastAsia="Times New Roman" w:hAnsi="Times New Roman" w:cs="Times New Roman"/>
          <w:color w:val="000000"/>
          <w:sz w:val="28"/>
          <w:szCs w:val="28"/>
          <w:lang w:eastAsia="es-MX"/>
          <w14:ligatures w14:val="none"/>
        </w:rPr>
        <w:t>:</w:t>
      </w:r>
    </w:p>
    <w:p w14:paraId="642AE364"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000000"/>
          <w:sz w:val="28"/>
          <w:szCs w:val="28"/>
          <w:lang w:eastAsia="es-MX"/>
          <w14:ligatures w14:val="none"/>
        </w:rPr>
        <w:t> </w:t>
      </w:r>
    </w:p>
    <w:p w14:paraId="5C6259E7" w14:textId="77777777" w:rsidR="00C92394" w:rsidRPr="007263D7" w:rsidRDefault="007263D7" w:rsidP="00C92394">
      <w:pPr>
        <w:ind w:left="567" w:right="618"/>
        <w:jc w:val="center"/>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“LEY 2281 DE 2023</w:t>
      </w:r>
    </w:p>
    <w:p w14:paraId="441FE64F" w14:textId="77777777" w:rsidR="00C92394" w:rsidRPr="007263D7" w:rsidRDefault="007263D7" w:rsidP="00C92394">
      <w:pPr>
        <w:ind w:left="567" w:right="618"/>
        <w:jc w:val="center"/>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16D3340D" w14:textId="77777777" w:rsidR="00C92394" w:rsidRPr="007263D7" w:rsidRDefault="007263D7" w:rsidP="00C92394">
      <w:pPr>
        <w:ind w:left="567" w:right="618"/>
        <w:jc w:val="center"/>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(enero 4)</w:t>
      </w:r>
    </w:p>
    <w:p w14:paraId="3F8097E9" w14:textId="77777777" w:rsidR="00C92394" w:rsidRPr="007263D7" w:rsidRDefault="007263D7" w:rsidP="00C92394">
      <w:pPr>
        <w:ind w:left="567" w:right="618"/>
        <w:jc w:val="center"/>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4350A088" w14:textId="77777777" w:rsidR="00C92394" w:rsidRPr="007263D7" w:rsidRDefault="007263D7" w:rsidP="00C92394">
      <w:pPr>
        <w:ind w:left="567" w:right="618"/>
        <w:jc w:val="center"/>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xml:space="preserve">por medio de la cual se crea </w:t>
      </w:r>
      <w:r w:rsidRPr="007263D7">
        <w:rPr>
          <w:rFonts w:ascii="Times New Roman" w:eastAsia="Times New Roman" w:hAnsi="Times New Roman" w:cs="Times New Roman"/>
          <w:color w:val="2D2D2D"/>
          <w:sz w:val="28"/>
          <w:szCs w:val="28"/>
          <w:lang w:eastAsia="es-MX"/>
          <w14:ligatures w14:val="none"/>
        </w:rPr>
        <w:t>el Ministerio de Igualdad y Equidad y se dictan otras disposiciones.</w:t>
      </w:r>
    </w:p>
    <w:p w14:paraId="072B67E9" w14:textId="77777777" w:rsidR="00C92394" w:rsidRPr="007263D7" w:rsidRDefault="007263D7" w:rsidP="00C92394">
      <w:pPr>
        <w:ind w:left="567" w:right="618"/>
        <w:jc w:val="center"/>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273E1BB4" w14:textId="77777777" w:rsidR="00C92394" w:rsidRPr="007263D7" w:rsidRDefault="007263D7" w:rsidP="00C92394">
      <w:pPr>
        <w:ind w:left="567" w:right="618"/>
        <w:jc w:val="center"/>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El Congreso de la Colombia (sic)</w:t>
      </w:r>
    </w:p>
    <w:p w14:paraId="14B99BDD"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3BFE537E" w14:textId="69C147DE" w:rsidR="00C92394" w:rsidRPr="007263D7" w:rsidRDefault="007263D7" w:rsidP="00C92394">
      <w:pPr>
        <w:ind w:left="567" w:right="618"/>
        <w:jc w:val="center"/>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DECRETA:</w:t>
      </w:r>
    </w:p>
    <w:p w14:paraId="26D5DD85" w14:textId="77777777" w:rsidR="00C92394" w:rsidRPr="007263D7" w:rsidRDefault="007263D7" w:rsidP="00C92394">
      <w:pPr>
        <w:ind w:left="284"/>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759FFB80"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1º. Objeto de la ley.</w:t>
      </w:r>
      <w:r w:rsidRPr="007263D7">
        <w:rPr>
          <w:rFonts w:ascii="Times New Roman" w:eastAsia="Times New Roman" w:hAnsi="Times New Roman" w:cs="Times New Roman"/>
          <w:color w:val="2D2D2D"/>
          <w:sz w:val="28"/>
          <w:szCs w:val="28"/>
          <w:lang w:eastAsia="es-MX"/>
          <w14:ligatures w14:val="none"/>
        </w:rPr>
        <w:t> El objeto de la presente ley, en el marco del artículo 150 numeral 7 de la Constitución Política y el artícu</w:t>
      </w:r>
      <w:r w:rsidRPr="007263D7">
        <w:rPr>
          <w:rFonts w:ascii="Times New Roman" w:eastAsia="Times New Roman" w:hAnsi="Times New Roman" w:cs="Times New Roman"/>
          <w:color w:val="2D2D2D"/>
          <w:sz w:val="28"/>
          <w:szCs w:val="28"/>
          <w:lang w:eastAsia="es-MX"/>
          <w14:ligatures w14:val="none"/>
        </w:rPr>
        <w:t>lo 50 de la Ley 489 de 1998, es la creación del Ministerio de Igualdad y Equidad y la adopción de los elementos de su estructura orgánica.</w:t>
      </w:r>
    </w:p>
    <w:p w14:paraId="15804295"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748702F3"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2º. Naturaleza y denominación.</w:t>
      </w:r>
      <w:r w:rsidRPr="007263D7">
        <w:rPr>
          <w:rFonts w:ascii="Times New Roman" w:eastAsia="Times New Roman" w:hAnsi="Times New Roman" w:cs="Times New Roman"/>
          <w:color w:val="2D2D2D"/>
          <w:sz w:val="28"/>
          <w:szCs w:val="28"/>
          <w:lang w:eastAsia="es-MX"/>
          <w14:ligatures w14:val="none"/>
        </w:rPr>
        <w:t> Créase el Ministerio de Igualdad y Equidad, como un organismo principal del</w:t>
      </w:r>
      <w:r w:rsidRPr="007263D7">
        <w:rPr>
          <w:rFonts w:ascii="Times New Roman" w:eastAsia="Times New Roman" w:hAnsi="Times New Roman" w:cs="Times New Roman"/>
          <w:color w:val="2D2D2D"/>
          <w:sz w:val="28"/>
          <w:szCs w:val="28"/>
          <w:lang w:eastAsia="es-MX"/>
          <w14:ligatures w14:val="none"/>
        </w:rPr>
        <w:t xml:space="preserve"> sector central de la Rama Ejecutiva en el orden nacional, rector del Sector administrativo de Igualdad y Equidad y de sus entidades adscritas o vinculadas, los órganos de asesoría, coordinación y articulación señalados legal o reglamentariamente.</w:t>
      </w:r>
    </w:p>
    <w:p w14:paraId="7A8926A6"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7A9CB09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w:t>
      </w:r>
      <w:r w:rsidRPr="007263D7">
        <w:rPr>
          <w:rFonts w:ascii="Times New Roman" w:eastAsia="Times New Roman" w:hAnsi="Times New Roman" w:cs="Times New Roman"/>
          <w:b/>
          <w:bCs/>
          <w:color w:val="2D2D2D"/>
          <w:sz w:val="28"/>
          <w:szCs w:val="28"/>
          <w:lang w:eastAsia="es-MX"/>
          <w14:ligatures w14:val="none"/>
        </w:rPr>
        <w:t>lo 3º. Objeto del Ministerio de Igualdad y Equidad.</w:t>
      </w:r>
      <w:r w:rsidRPr="007263D7">
        <w:rPr>
          <w:rFonts w:ascii="Times New Roman" w:eastAsia="Times New Roman" w:hAnsi="Times New Roman" w:cs="Times New Roman"/>
          <w:color w:val="2D2D2D"/>
          <w:sz w:val="28"/>
          <w:szCs w:val="28"/>
          <w:lang w:eastAsia="es-MX"/>
          <w14:ligatures w14:val="none"/>
        </w:rPr>
        <w:t> El Ministerio de Igualdad y Equidad tiene como objeto, en el marco de los mandatos constitucionales, de la ley y de sus competencias, diseñar, formular, adoptar, dirigir, coordinar, articular, ejecutar fo</w:t>
      </w:r>
      <w:r w:rsidRPr="007263D7">
        <w:rPr>
          <w:rFonts w:ascii="Times New Roman" w:eastAsia="Times New Roman" w:hAnsi="Times New Roman" w:cs="Times New Roman"/>
          <w:color w:val="2D2D2D"/>
          <w:sz w:val="28"/>
          <w:szCs w:val="28"/>
          <w:lang w:eastAsia="es-MX"/>
          <w14:ligatures w14:val="none"/>
        </w:rPr>
        <w:t>rtalecer y evaluar, las políticas, planes, programas, estrategias, proyectos y medidas para contribuir en la eliminación de las desigualdades económicas, políticas y sociales; impulsar el goce del derecho a la igualdad; el cumplimiento de los principios de</w:t>
      </w:r>
      <w:r w:rsidRPr="007263D7">
        <w:rPr>
          <w:rFonts w:ascii="Times New Roman" w:eastAsia="Times New Roman" w:hAnsi="Times New Roman" w:cs="Times New Roman"/>
          <w:color w:val="2D2D2D"/>
          <w:sz w:val="28"/>
          <w:szCs w:val="28"/>
          <w:lang w:eastAsia="es-MX"/>
          <w14:ligatures w14:val="none"/>
        </w:rPr>
        <w:t xml:space="preserve"> no discriminación y no regresividad; la defensa de los sujetos de especial protección constitucional, de población vulnerable y de grupos históricamente discriminados o marginados, incorporando y adoptando los enfoques de derechos, de género, diferencial,</w:t>
      </w:r>
      <w:r w:rsidRPr="007263D7">
        <w:rPr>
          <w:rFonts w:ascii="Times New Roman" w:eastAsia="Times New Roman" w:hAnsi="Times New Roman" w:cs="Times New Roman"/>
          <w:color w:val="2D2D2D"/>
          <w:sz w:val="28"/>
          <w:szCs w:val="28"/>
          <w:lang w:eastAsia="es-MX"/>
          <w14:ligatures w14:val="none"/>
        </w:rPr>
        <w:t xml:space="preserve"> étnico-racial e interseccional.</w:t>
      </w:r>
    </w:p>
    <w:p w14:paraId="682FFF5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1463FFD5"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4º. Funciones.</w:t>
      </w:r>
      <w:r w:rsidRPr="007263D7">
        <w:rPr>
          <w:rFonts w:ascii="Times New Roman" w:eastAsia="Times New Roman" w:hAnsi="Times New Roman" w:cs="Times New Roman"/>
          <w:color w:val="2D2D2D"/>
          <w:sz w:val="28"/>
          <w:szCs w:val="28"/>
          <w:lang w:eastAsia="es-MX"/>
          <w14:ligatures w14:val="none"/>
        </w:rPr>
        <w:t> Para el cumplimiento de su objeto, el Ministerio de Igualdad y Equidad cumplirá, además de las señaladas en la Constitución Política y en el artículo 59 de la Ley 489 de 1998, las siguientes funcio</w:t>
      </w:r>
      <w:r w:rsidRPr="007263D7">
        <w:rPr>
          <w:rFonts w:ascii="Times New Roman" w:eastAsia="Times New Roman" w:hAnsi="Times New Roman" w:cs="Times New Roman"/>
          <w:color w:val="2D2D2D"/>
          <w:sz w:val="28"/>
          <w:szCs w:val="28"/>
          <w:lang w:eastAsia="es-MX"/>
          <w14:ligatures w14:val="none"/>
        </w:rPr>
        <w:t>nes:</w:t>
      </w:r>
    </w:p>
    <w:p w14:paraId="5B5A4394"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30DF5D42"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 Formular, adoptar, dirigir, coordinar, ejecutar y articular las políticas, planes, programas, estrategias, proyectos y medidas para el cumplimiento del objeto del Ministerio y ámbito de competencias.</w:t>
      </w:r>
    </w:p>
    <w:p w14:paraId="04097450"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2. Adoptar y ejecutar planes, programas, estra</w:t>
      </w:r>
      <w:r w:rsidRPr="007263D7">
        <w:rPr>
          <w:rFonts w:ascii="Times New Roman" w:eastAsia="Times New Roman" w:hAnsi="Times New Roman" w:cs="Times New Roman"/>
          <w:color w:val="2D2D2D"/>
          <w:sz w:val="28"/>
          <w:szCs w:val="28"/>
          <w:lang w:eastAsia="es-MX"/>
          <w14:ligatures w14:val="none"/>
        </w:rPr>
        <w:t>tegias y proyectos para definir, gestionar y focalizar acciones dirigidas a la eliminación de todas las violencias contra las mujeres así como la eliminación de barreras económicas, sociales y políticas o de discriminación contra ellas.</w:t>
      </w:r>
    </w:p>
    <w:p w14:paraId="79BFD18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3. Formular, adopta</w:t>
      </w:r>
      <w:r w:rsidRPr="007263D7">
        <w:rPr>
          <w:rFonts w:ascii="Times New Roman" w:eastAsia="Times New Roman" w:hAnsi="Times New Roman" w:cs="Times New Roman"/>
          <w:color w:val="2D2D2D"/>
          <w:sz w:val="28"/>
          <w:szCs w:val="28"/>
          <w:lang w:eastAsia="es-MX"/>
          <w14:ligatures w14:val="none"/>
        </w:rPr>
        <w:t xml:space="preserve">r y ejecutar planes, programas, estrategias y proyectos para definir, gestionar y focalizar la oferta social de las entidades del Orden Nacional en el territorio, con criterios de eficiencia y eficacia, priorizando territorios y poblaciones históricamente </w:t>
      </w:r>
      <w:r w:rsidRPr="007263D7">
        <w:rPr>
          <w:rFonts w:ascii="Times New Roman" w:eastAsia="Times New Roman" w:hAnsi="Times New Roman" w:cs="Times New Roman"/>
          <w:color w:val="2D2D2D"/>
          <w:sz w:val="28"/>
          <w:szCs w:val="28"/>
          <w:lang w:eastAsia="es-MX"/>
          <w14:ligatures w14:val="none"/>
        </w:rPr>
        <w:t>excluidas.</w:t>
      </w:r>
    </w:p>
    <w:p w14:paraId="4ED688F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4. Coordinar, articular e impartir directrices a las entidades del orden nacional, departamental, distrital y municipal sobre la intervención de grupos y poblaciones en el ámbito de sus competencias.</w:t>
      </w:r>
    </w:p>
    <w:p w14:paraId="1751C39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5. Promover herramientas de participación y o</w:t>
      </w:r>
      <w:r w:rsidRPr="007263D7">
        <w:rPr>
          <w:rFonts w:ascii="Times New Roman" w:eastAsia="Times New Roman" w:hAnsi="Times New Roman" w:cs="Times New Roman"/>
          <w:color w:val="2D2D2D"/>
          <w:sz w:val="28"/>
          <w:szCs w:val="28"/>
          <w:lang w:eastAsia="es-MX"/>
          <w14:ligatures w14:val="none"/>
        </w:rPr>
        <w:t>rganización ciudadana para fortalecer la incidencia de los grupos poblacionales, históricamente discriminados o marginados y sujetos de especial protección constitucional en las agendas de política pública, procesos de autogobierno y derechos étnicos terri</w:t>
      </w:r>
      <w:r w:rsidRPr="007263D7">
        <w:rPr>
          <w:rFonts w:ascii="Times New Roman" w:eastAsia="Times New Roman" w:hAnsi="Times New Roman" w:cs="Times New Roman"/>
          <w:color w:val="2D2D2D"/>
          <w:sz w:val="28"/>
          <w:szCs w:val="28"/>
          <w:lang w:eastAsia="es-MX"/>
          <w14:ligatures w14:val="none"/>
        </w:rPr>
        <w:t>toriales de los pueblos étnicos, en coordinación con las demás entidades competentes.</w:t>
      </w:r>
    </w:p>
    <w:p w14:paraId="36C9AA30"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6. Fomentar la innovación social a través de la identificación e implementación de iniciativas privadas y locales, entre otras, para poner en funcionamiento las políticas</w:t>
      </w:r>
      <w:r w:rsidRPr="007263D7">
        <w:rPr>
          <w:rFonts w:ascii="Times New Roman" w:eastAsia="Times New Roman" w:hAnsi="Times New Roman" w:cs="Times New Roman"/>
          <w:color w:val="2D2D2D"/>
          <w:sz w:val="28"/>
          <w:szCs w:val="28"/>
          <w:lang w:eastAsia="es-MX"/>
          <w14:ligatures w14:val="none"/>
        </w:rPr>
        <w:t xml:space="preserve"> de igualdad y equidad bajo los enfoques de derechos, de género, diferencial, étnico racial e interseccional en el accionar estatal y promover condiciones de igualdad política, económica y social a todas las poblaciones vulnerables focalizadas.</w:t>
      </w:r>
    </w:p>
    <w:p w14:paraId="7192B299"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xml:space="preserve">7. Dirigir </w:t>
      </w:r>
      <w:r w:rsidRPr="007263D7">
        <w:rPr>
          <w:rFonts w:ascii="Times New Roman" w:eastAsia="Times New Roman" w:hAnsi="Times New Roman" w:cs="Times New Roman"/>
          <w:color w:val="2D2D2D"/>
          <w:sz w:val="28"/>
          <w:szCs w:val="28"/>
          <w:lang w:eastAsia="es-MX"/>
          <w14:ligatures w14:val="none"/>
        </w:rPr>
        <w:t>y orientar la planeación del Sector Administrativo de Igualdad y Equidad para el cumplimiento de las funciones a su cargo.</w:t>
      </w:r>
    </w:p>
    <w:p w14:paraId="23DA9C82"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8. Gestionar y generar alianzas con actores del sector público, privado, organizaciones de la sociedad civil, autoridades y formas organizativas propias de los pueblos étnicos; organismos de carácter internacional y otros gobiernos que faciliten e impulsen</w:t>
      </w:r>
      <w:r w:rsidRPr="007263D7">
        <w:rPr>
          <w:rFonts w:ascii="Times New Roman" w:eastAsia="Times New Roman" w:hAnsi="Times New Roman" w:cs="Times New Roman"/>
          <w:color w:val="2D2D2D"/>
          <w:sz w:val="28"/>
          <w:szCs w:val="28"/>
          <w:lang w:eastAsia="es-MX"/>
          <w14:ligatures w14:val="none"/>
        </w:rPr>
        <w:t xml:space="preserve"> las políticas y el logro de los objetivos del Sector Administrativo de Igualdad y Equidad y de los compromisos internacionales asumidos por el Estado, en coordinación con las demás entidades estatales competentes. Asimismo, se gestionarán, en coordinación</w:t>
      </w:r>
      <w:r w:rsidRPr="007263D7">
        <w:rPr>
          <w:rFonts w:ascii="Times New Roman" w:eastAsia="Times New Roman" w:hAnsi="Times New Roman" w:cs="Times New Roman"/>
          <w:color w:val="2D2D2D"/>
          <w:sz w:val="28"/>
          <w:szCs w:val="28"/>
          <w:lang w:eastAsia="es-MX"/>
          <w14:ligatures w14:val="none"/>
        </w:rPr>
        <w:t xml:space="preserve"> y articulación con el Ministerio de Relaciones Exteriores, alianzas con organismos internacionales y otros gobiernos al tiempo de dar seguimiento a los compromisos internacionales asumidos por el Estado.</w:t>
      </w:r>
    </w:p>
    <w:p w14:paraId="14B2E38C"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xml:space="preserve">9. Establecer esquemas de seguimiento, monitoreo y </w:t>
      </w:r>
      <w:r w:rsidRPr="007263D7">
        <w:rPr>
          <w:rFonts w:ascii="Times New Roman" w:eastAsia="Times New Roman" w:hAnsi="Times New Roman" w:cs="Times New Roman"/>
          <w:color w:val="2D2D2D"/>
          <w:sz w:val="28"/>
          <w:szCs w:val="28"/>
          <w:lang w:eastAsia="es-MX"/>
          <w14:ligatures w14:val="none"/>
        </w:rPr>
        <w:t>evaluación a la ejecución de las políticas, planes, proyectos y oferta social de competencia del Sector de Igualdad y Equidad, en coordinación con otras entidades competentes, y rendir cuentas a la ciudadanía. Para este efecto, se promocionarán y adoptarán</w:t>
      </w:r>
      <w:r w:rsidRPr="007263D7">
        <w:rPr>
          <w:rFonts w:ascii="Times New Roman" w:eastAsia="Times New Roman" w:hAnsi="Times New Roman" w:cs="Times New Roman"/>
          <w:color w:val="2D2D2D"/>
          <w:sz w:val="28"/>
          <w:szCs w:val="28"/>
          <w:lang w:eastAsia="es-MX"/>
          <w14:ligatures w14:val="none"/>
        </w:rPr>
        <w:t xml:space="preserve"> mecanismos participativos de control social.</w:t>
      </w:r>
    </w:p>
    <w:p w14:paraId="2DD02DCE"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10. Dirigir, coordinar, hacer seguimiento y evaluar los sistemas e instancias de asesoría, coordinación y articulación relacionados con sus competencias creados o que se creen normativamente, y que así lo indiq</w:t>
      </w:r>
      <w:r w:rsidRPr="007263D7">
        <w:rPr>
          <w:rFonts w:ascii="Times New Roman" w:eastAsia="Times New Roman" w:hAnsi="Times New Roman" w:cs="Times New Roman"/>
          <w:color w:val="2D2D2D"/>
          <w:sz w:val="28"/>
          <w:szCs w:val="28"/>
          <w:lang w:eastAsia="es-MX"/>
          <w14:ligatures w14:val="none"/>
        </w:rPr>
        <w:t>uen.</w:t>
      </w:r>
    </w:p>
    <w:p w14:paraId="2679F74D"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11. Generar información periódica que permita visibilizar las características, contextos y condiciones de vida que impiden a las personas superar las condiciones de inequidad y desigualdad; plantear alternativas para la elaboración de políticas públic</w:t>
      </w:r>
      <w:r w:rsidRPr="007263D7">
        <w:rPr>
          <w:rFonts w:ascii="Times New Roman" w:eastAsia="Times New Roman" w:hAnsi="Times New Roman" w:cs="Times New Roman"/>
          <w:color w:val="2D2D2D"/>
          <w:sz w:val="28"/>
          <w:szCs w:val="28"/>
          <w:lang w:eastAsia="es-MX"/>
          <w14:ligatures w14:val="none"/>
        </w:rPr>
        <w:t>as que garanticen el cierre de brechas, el avance en la superación de la desigualdad y la inclusión y visibilización de las acciones por la igualdad y equidad en las agendas públicas del orden nacional, departamental, distrital y municipal.</w:t>
      </w:r>
    </w:p>
    <w:p w14:paraId="3011190B"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12. Dirigir, co</w:t>
      </w:r>
      <w:r w:rsidRPr="007263D7">
        <w:rPr>
          <w:rFonts w:ascii="Times New Roman" w:eastAsia="Times New Roman" w:hAnsi="Times New Roman" w:cs="Times New Roman"/>
          <w:color w:val="2D2D2D"/>
          <w:sz w:val="28"/>
          <w:szCs w:val="28"/>
          <w:lang w:eastAsia="es-MX"/>
          <w14:ligatures w14:val="none"/>
        </w:rPr>
        <w:t>ordinar, orientar, hacer seguimiento y evaluar el Sistema Nacional de Cuidado. Así como formular, implementar y evaluar políticas relacionados con ayudas, generación de ingresos, capacitación y formación, y demás acciones que permitan retribuir las labores</w:t>
      </w:r>
      <w:r w:rsidRPr="007263D7">
        <w:rPr>
          <w:rFonts w:ascii="Times New Roman" w:eastAsia="Times New Roman" w:hAnsi="Times New Roman" w:cs="Times New Roman"/>
          <w:color w:val="2D2D2D"/>
          <w:sz w:val="28"/>
          <w:szCs w:val="28"/>
          <w:lang w:eastAsia="es-MX"/>
          <w14:ligatures w14:val="none"/>
        </w:rPr>
        <w:t xml:space="preserve"> de cuidado que desempeña la población cuidadora.</w:t>
      </w:r>
    </w:p>
    <w:p w14:paraId="1AFA8D32"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13. Formular, dirigir, coordinar, ejecutar y evaluar planes, programas, estrategias y proyectos que promuevan condiciones de igualdad real para las personas y comunidades especialmente afectadas por la cris</w:t>
      </w:r>
      <w:r w:rsidRPr="007263D7">
        <w:rPr>
          <w:rFonts w:ascii="Times New Roman" w:eastAsia="Times New Roman" w:hAnsi="Times New Roman" w:cs="Times New Roman"/>
          <w:color w:val="2D2D2D"/>
          <w:sz w:val="28"/>
          <w:szCs w:val="28"/>
          <w:lang w:eastAsia="es-MX"/>
          <w14:ligatures w14:val="none"/>
        </w:rPr>
        <w:t>is climática, de conformidad con los compromisos adquiridos por Colombia en materia de adaptación al cambio climático.</w:t>
      </w:r>
    </w:p>
    <w:p w14:paraId="1907749C"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14. Adoptar, coordinar y ejecutar en articulación con las demás entidades y organismos del Estado competentes, un programa de seguridad a</w:t>
      </w:r>
      <w:r w:rsidRPr="007263D7">
        <w:rPr>
          <w:rFonts w:ascii="Times New Roman" w:eastAsia="Times New Roman" w:hAnsi="Times New Roman" w:cs="Times New Roman"/>
          <w:color w:val="2D2D2D"/>
          <w:sz w:val="28"/>
          <w:szCs w:val="28"/>
          <w:lang w:eastAsia="es-MX"/>
          <w14:ligatures w14:val="none"/>
        </w:rPr>
        <w:t>limentaria que permita combatir el hambre y la malnutrición en los territorios y poblaciones del ámbito de sus competencias.</w:t>
      </w:r>
    </w:p>
    <w:p w14:paraId="4E11360D"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xml:space="preserve">15. Crear, fomentar, promover y formular estrategias y políticas en conjunción con las entidades públicas idóneas para estimular </w:t>
      </w:r>
      <w:r w:rsidRPr="007263D7">
        <w:rPr>
          <w:rFonts w:ascii="Times New Roman" w:eastAsia="Times New Roman" w:hAnsi="Times New Roman" w:cs="Times New Roman"/>
          <w:color w:val="2D2D2D"/>
          <w:sz w:val="28"/>
          <w:szCs w:val="28"/>
          <w:lang w:eastAsia="es-MX"/>
          <w14:ligatures w14:val="none"/>
        </w:rPr>
        <w:t>cambios culturales y educativos profundos en búsqueda de la reducción y eliminación de la discriminación en la sociedad a corto, mediano y largo plazo, teniendo como objetivo la aceptación y reconocimiento de la pluralidad, diversidad y multiculturalidad d</w:t>
      </w:r>
      <w:r w:rsidRPr="007263D7">
        <w:rPr>
          <w:rFonts w:ascii="Times New Roman" w:eastAsia="Times New Roman" w:hAnsi="Times New Roman" w:cs="Times New Roman"/>
          <w:color w:val="2D2D2D"/>
          <w:sz w:val="28"/>
          <w:szCs w:val="28"/>
          <w:lang w:eastAsia="es-MX"/>
          <w14:ligatures w14:val="none"/>
        </w:rPr>
        <w:t>el Estado Colombiano.</w:t>
      </w:r>
    </w:p>
    <w:p w14:paraId="05535F1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16. Formular, coordinar y articular políticas, planes, programas y proyectos orientados a reducir las brechas de desigualdad existentes entre zonas urbanas y rurales.</w:t>
      </w:r>
    </w:p>
    <w:p w14:paraId="6A741BC5"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17. Implementar un sistema de indicadores que permita evaluar los i</w:t>
      </w:r>
      <w:r w:rsidRPr="007263D7">
        <w:rPr>
          <w:rFonts w:ascii="Times New Roman" w:eastAsia="Times New Roman" w:hAnsi="Times New Roman" w:cs="Times New Roman"/>
          <w:color w:val="2D2D2D"/>
          <w:sz w:val="28"/>
          <w:szCs w:val="28"/>
          <w:lang w:eastAsia="es-MX"/>
          <w14:ligatures w14:val="none"/>
        </w:rPr>
        <w:t>mpactos de las políticas, planes, programas, proyectos y estrategias que se implementen hada los territorios priorizados, hacia las poblaciones históricamente excluidas y que tengan un enfoque de derechos, de género, diferencial e interseccional.</w:t>
      </w:r>
    </w:p>
    <w:p w14:paraId="035A3EAB"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18. Las d</w:t>
      </w:r>
      <w:r w:rsidRPr="007263D7">
        <w:rPr>
          <w:rFonts w:ascii="Times New Roman" w:eastAsia="Times New Roman" w:hAnsi="Times New Roman" w:cs="Times New Roman"/>
          <w:color w:val="2D2D2D"/>
          <w:sz w:val="28"/>
          <w:szCs w:val="28"/>
          <w:lang w:eastAsia="es-MX"/>
          <w14:ligatures w14:val="none"/>
        </w:rPr>
        <w:t>emás que le asigne la Ley.</w:t>
      </w:r>
    </w:p>
    <w:p w14:paraId="3822E164"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2D2D86CE"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5º. Ámbito de competencias.</w:t>
      </w:r>
      <w:r w:rsidRPr="007263D7">
        <w:rPr>
          <w:rFonts w:ascii="Times New Roman" w:eastAsia="Times New Roman" w:hAnsi="Times New Roman" w:cs="Times New Roman"/>
          <w:color w:val="2D2D2D"/>
          <w:sz w:val="28"/>
          <w:szCs w:val="28"/>
          <w:lang w:eastAsia="es-MX"/>
          <w14:ligatures w14:val="none"/>
        </w:rPr>
        <w:t> Para desarrollar su objeto, el Ministerio de Igualdad y Equidad, en todo el país con énfasis en los territorios excluidos y marginados, protegerá los derechos, con enfoque de género, transve</w:t>
      </w:r>
      <w:r w:rsidRPr="007263D7">
        <w:rPr>
          <w:rFonts w:ascii="Times New Roman" w:eastAsia="Times New Roman" w:hAnsi="Times New Roman" w:cs="Times New Roman"/>
          <w:color w:val="2D2D2D"/>
          <w:sz w:val="28"/>
          <w:szCs w:val="28"/>
          <w:lang w:eastAsia="es-MX"/>
          <w14:ligatures w14:val="none"/>
        </w:rPr>
        <w:t>rsal, focalizado y de empoderamiento de las mujeres y las niñas, diferencial e interseccional, de los sujetos de especial protección constitucional, entre otros:</w:t>
      </w:r>
    </w:p>
    <w:p w14:paraId="46995FA2"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04F698AE"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 Mujeres en todas sus diversidades.</w:t>
      </w:r>
    </w:p>
    <w:p w14:paraId="034C01FD"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2. Población LGBTIQ+.</w:t>
      </w:r>
    </w:p>
    <w:p w14:paraId="15F4F1EC"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3. Pueblos afrodescendientes, ne</w:t>
      </w:r>
      <w:r w:rsidRPr="007263D7">
        <w:rPr>
          <w:rFonts w:ascii="Times New Roman" w:eastAsia="Times New Roman" w:hAnsi="Times New Roman" w:cs="Times New Roman"/>
          <w:color w:val="2D2D2D"/>
          <w:sz w:val="28"/>
          <w:szCs w:val="28"/>
          <w:lang w:eastAsia="es-MX"/>
          <w14:ligatures w14:val="none"/>
        </w:rPr>
        <w:t>gros, raizales, palanqueros, indígenas y Rrom.</w:t>
      </w:r>
    </w:p>
    <w:p w14:paraId="70F1A840"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4. Campesinos y campesinas,</w:t>
      </w:r>
    </w:p>
    <w:p w14:paraId="01D094F7"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5. Jóvenes.</w:t>
      </w:r>
    </w:p>
    <w:p w14:paraId="39EF88FE"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6. Miembros de hogares en situación de pobreza y pobreza extrema.</w:t>
      </w:r>
    </w:p>
    <w:p w14:paraId="35675A22"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7. Personas con discapacidad.</w:t>
      </w:r>
    </w:p>
    <w:p w14:paraId="58F99D5F"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8. Habitantes de calle.</w:t>
      </w:r>
    </w:p>
    <w:p w14:paraId="7B17293D"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9. Población en territorios excluidos.</w:t>
      </w:r>
    </w:p>
    <w:p w14:paraId="4296004C"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10. Mujere</w:t>
      </w:r>
      <w:r w:rsidRPr="007263D7">
        <w:rPr>
          <w:rFonts w:ascii="Times New Roman" w:eastAsia="Times New Roman" w:hAnsi="Times New Roman" w:cs="Times New Roman"/>
          <w:color w:val="2D2D2D"/>
          <w:sz w:val="28"/>
          <w:szCs w:val="28"/>
          <w:lang w:eastAsia="es-MX"/>
          <w14:ligatures w14:val="none"/>
        </w:rPr>
        <w:t>s cabeza de familia</w:t>
      </w:r>
    </w:p>
    <w:p w14:paraId="0F96361C"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11. Adultos Mayores</w:t>
      </w:r>
    </w:p>
    <w:p w14:paraId="10A68320"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12. Familias.</w:t>
      </w:r>
    </w:p>
    <w:p w14:paraId="5F0129E1"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13. Niñez.</w:t>
      </w:r>
    </w:p>
    <w:p w14:paraId="4AB092F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14. Población migrante regular, irregular, refugiado, en tránsito y retornado.</w:t>
      </w:r>
    </w:p>
    <w:p w14:paraId="73034C6C"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6097AFA3"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6º. Creación del sistema nacional de cuidado. </w:t>
      </w:r>
      <w:r w:rsidRPr="007263D7">
        <w:rPr>
          <w:rFonts w:ascii="Times New Roman" w:eastAsia="Times New Roman" w:hAnsi="Times New Roman" w:cs="Times New Roman"/>
          <w:color w:val="2D2D2D"/>
          <w:sz w:val="28"/>
          <w:szCs w:val="28"/>
          <w:lang w:eastAsia="es-MX"/>
          <w14:ligatures w14:val="none"/>
        </w:rPr>
        <w:t>Créase el Sistema Nacional de Cuidado, mediante el cual</w:t>
      </w:r>
      <w:r w:rsidRPr="007263D7">
        <w:rPr>
          <w:rFonts w:ascii="Times New Roman" w:eastAsia="Times New Roman" w:hAnsi="Times New Roman" w:cs="Times New Roman"/>
          <w:color w:val="2D2D2D"/>
          <w:sz w:val="28"/>
          <w:szCs w:val="28"/>
          <w:lang w:eastAsia="es-MX"/>
          <w14:ligatures w14:val="none"/>
        </w:rPr>
        <w:t xml:space="preserve"> se articulan servicios, regulaciones, políticas y acciones técnicas e institucionales existentes y nuevas, con el objeto de dar respuesta a las demandas de cuidado de los hogares de manera corresponsable entre la nación, el sector privado, la sociedad civ</w:t>
      </w:r>
      <w:r w:rsidRPr="007263D7">
        <w:rPr>
          <w:rFonts w:ascii="Times New Roman" w:eastAsia="Times New Roman" w:hAnsi="Times New Roman" w:cs="Times New Roman"/>
          <w:color w:val="2D2D2D"/>
          <w:sz w:val="28"/>
          <w:szCs w:val="28"/>
          <w:lang w:eastAsia="es-MX"/>
          <w14:ligatures w14:val="none"/>
        </w:rPr>
        <w:t>il, las comunidades y entre mujeres y hombres en sus diferencias y diversidad para promover una nueva organización social de los cuidados del país y garantizar los derechos humanos de las personas cuidadoras.</w:t>
      </w:r>
    </w:p>
    <w:p w14:paraId="3639E957" w14:textId="77777777" w:rsidR="00C92394" w:rsidRPr="007263D7" w:rsidRDefault="007263D7" w:rsidP="00C92394">
      <w:pPr>
        <w:ind w:left="284"/>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66B98260"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El objetivo del sistema es reconocer, reducir</w:t>
      </w:r>
      <w:r w:rsidRPr="007263D7">
        <w:rPr>
          <w:rFonts w:ascii="Times New Roman" w:eastAsia="Times New Roman" w:hAnsi="Times New Roman" w:cs="Times New Roman"/>
          <w:color w:val="2D2D2D"/>
          <w:sz w:val="28"/>
          <w:szCs w:val="28"/>
          <w:lang w:eastAsia="es-MX"/>
          <w14:ligatures w14:val="none"/>
        </w:rPr>
        <w:t>, redistribuir, representar y recompensar el trabajo de cuidado, remunerado y no remunerado, a través de un modelo corresponsable entre el Estado, el sector privado, la sociedad civil, las familias, las comunidades y entre mujeres y hombres en sus diferenc</w:t>
      </w:r>
      <w:r w:rsidRPr="007263D7">
        <w:rPr>
          <w:rFonts w:ascii="Times New Roman" w:eastAsia="Times New Roman" w:hAnsi="Times New Roman" w:cs="Times New Roman"/>
          <w:color w:val="2D2D2D"/>
          <w:sz w:val="28"/>
          <w:szCs w:val="28"/>
          <w:lang w:eastAsia="es-MX"/>
          <w14:ligatures w14:val="none"/>
        </w:rPr>
        <w:t>ias y diversidad, para compartir equitativamente las responsabilidades respecto a dichas labores, dar respuesta a las demandas de cuidado de los hogares y las personas que necesitan cuidados, y garantizar los derechos de las personas cuidadoras.</w:t>
      </w:r>
    </w:p>
    <w:p w14:paraId="75CB798F" w14:textId="77777777" w:rsidR="00C92394" w:rsidRPr="007263D7" w:rsidRDefault="007263D7" w:rsidP="00C92394">
      <w:pPr>
        <w:ind w:left="284"/>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1A03573E"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w:t>
      </w:r>
      <w:r w:rsidRPr="007263D7">
        <w:rPr>
          <w:rFonts w:ascii="Times New Roman" w:eastAsia="Times New Roman" w:hAnsi="Times New Roman" w:cs="Times New Roman"/>
          <w:b/>
          <w:bCs/>
          <w:color w:val="2D2D2D"/>
          <w:sz w:val="28"/>
          <w:szCs w:val="28"/>
          <w:lang w:eastAsia="es-MX"/>
          <w14:ligatures w14:val="none"/>
        </w:rPr>
        <w:t xml:space="preserve"> 7º. Sede y domicilio.</w:t>
      </w:r>
      <w:r w:rsidRPr="007263D7">
        <w:rPr>
          <w:rFonts w:ascii="Times New Roman" w:eastAsia="Times New Roman" w:hAnsi="Times New Roman" w:cs="Times New Roman"/>
          <w:color w:val="2D2D2D"/>
          <w:sz w:val="28"/>
          <w:szCs w:val="28"/>
          <w:lang w:eastAsia="es-MX"/>
          <w14:ligatures w14:val="none"/>
        </w:rPr>
        <w:t> El Ministerio de Igualdad y Equidad tendrá como sede y domicilio la ciudad de Bogotá, D. C., ejercerá sus funciones a nivel nacional y contará con Direcciones Departamentales a través de las cuales se adaptarán e implementarán las po</w:t>
      </w:r>
      <w:r w:rsidRPr="007263D7">
        <w:rPr>
          <w:rFonts w:ascii="Times New Roman" w:eastAsia="Times New Roman" w:hAnsi="Times New Roman" w:cs="Times New Roman"/>
          <w:color w:val="2D2D2D"/>
          <w:sz w:val="28"/>
          <w:szCs w:val="28"/>
          <w:lang w:eastAsia="es-MX"/>
          <w14:ligatures w14:val="none"/>
        </w:rPr>
        <w:t>líticas del Sector en el territorio nacional, de acuerdo con lo dispuesto en la presente ley.</w:t>
      </w:r>
    </w:p>
    <w:p w14:paraId="0D369568"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020E6CE2"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8º. Patrimonio.</w:t>
      </w:r>
      <w:r w:rsidRPr="007263D7">
        <w:rPr>
          <w:rFonts w:ascii="Times New Roman" w:eastAsia="Times New Roman" w:hAnsi="Times New Roman" w:cs="Times New Roman"/>
          <w:color w:val="2D2D2D"/>
          <w:sz w:val="28"/>
          <w:szCs w:val="28"/>
          <w:lang w:eastAsia="es-MX"/>
          <w14:ligatures w14:val="none"/>
        </w:rPr>
        <w:t> El patrimonio del Ministerio de Igualdad y Equidad estará conformado por:</w:t>
      </w:r>
    </w:p>
    <w:p w14:paraId="7E73D31E"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3C772EDF"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 Las sumas que se apropien en el Presupuesto General de l</w:t>
      </w:r>
      <w:r w:rsidRPr="007263D7">
        <w:rPr>
          <w:rFonts w:ascii="Times New Roman" w:eastAsia="Times New Roman" w:hAnsi="Times New Roman" w:cs="Times New Roman"/>
          <w:color w:val="2D2D2D"/>
          <w:sz w:val="28"/>
          <w:szCs w:val="28"/>
          <w:lang w:eastAsia="es-MX"/>
          <w14:ligatures w14:val="none"/>
        </w:rPr>
        <w:t>a Nación.</w:t>
      </w:r>
    </w:p>
    <w:p w14:paraId="434DECE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2. Los bienes muebles e inmuebles que adquiera a cualquier título.</w:t>
      </w:r>
    </w:p>
    <w:p w14:paraId="1F86A6ED"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3. Las sumas y los bienes muebles e inmuebles que le sean donados o cedidos por entidades públicas o privadas, nacionales o internacionales.</w:t>
      </w:r>
    </w:p>
    <w:p w14:paraId="0BBE8461" w14:textId="77777777" w:rsidR="00C92394" w:rsidRPr="007263D7" w:rsidRDefault="007263D7" w:rsidP="00C92394">
      <w:pPr>
        <w:ind w:left="284"/>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26E92C25"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9º.</w:t>
      </w:r>
      <w:r w:rsidRPr="007263D7">
        <w:rPr>
          <w:rFonts w:ascii="Times New Roman" w:eastAsia="Times New Roman" w:hAnsi="Times New Roman" w:cs="Times New Roman"/>
          <w:color w:val="2D2D2D"/>
          <w:sz w:val="28"/>
          <w:szCs w:val="28"/>
          <w:lang w:eastAsia="es-MX"/>
          <w14:ligatures w14:val="none"/>
        </w:rPr>
        <w:t xml:space="preserve"> Integración del Sector </w:t>
      </w:r>
      <w:r w:rsidRPr="007263D7">
        <w:rPr>
          <w:rFonts w:ascii="Times New Roman" w:eastAsia="Times New Roman" w:hAnsi="Times New Roman" w:cs="Times New Roman"/>
          <w:color w:val="2D2D2D"/>
          <w:sz w:val="28"/>
          <w:szCs w:val="28"/>
          <w:lang w:eastAsia="es-MX"/>
          <w14:ligatures w14:val="none"/>
        </w:rPr>
        <w:t>Administrativo de Igualdad y Equidad. El Sector Administrativo de Igualdad y Equidad está integrado por el Ministerio de Igualdad y Equidad y las demás entidades que le adscriba o vincule la ley, conforme al artículo 42 de la Ley 489 de 1998.</w:t>
      </w:r>
    </w:p>
    <w:p w14:paraId="5A4F560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30A4AC3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Parágrafo T</w:t>
      </w:r>
      <w:r w:rsidRPr="007263D7">
        <w:rPr>
          <w:rFonts w:ascii="Times New Roman" w:eastAsia="Times New Roman" w:hAnsi="Times New Roman" w:cs="Times New Roman"/>
          <w:b/>
          <w:bCs/>
          <w:color w:val="2D2D2D"/>
          <w:sz w:val="28"/>
          <w:szCs w:val="28"/>
          <w:lang w:eastAsia="es-MX"/>
          <w14:ligatures w14:val="none"/>
        </w:rPr>
        <w:t>ransitorio.</w:t>
      </w:r>
      <w:r w:rsidRPr="007263D7">
        <w:rPr>
          <w:rFonts w:ascii="Times New Roman" w:eastAsia="Times New Roman" w:hAnsi="Times New Roman" w:cs="Times New Roman"/>
          <w:color w:val="2D2D2D"/>
          <w:sz w:val="28"/>
          <w:szCs w:val="28"/>
          <w:lang w:eastAsia="es-MX"/>
          <w14:ligatures w14:val="none"/>
        </w:rPr>
        <w:t> Con el fin de preservar y potenciar el impacto positivo generado durante el desarrollo de su misionalidad, el proceso de integración de entidades al Sector Administrativo de la Igualdad y Equidad deberá salvaguardar la memoria institucional y l</w:t>
      </w:r>
      <w:r w:rsidRPr="007263D7">
        <w:rPr>
          <w:rFonts w:ascii="Times New Roman" w:eastAsia="Times New Roman" w:hAnsi="Times New Roman" w:cs="Times New Roman"/>
          <w:color w:val="2D2D2D"/>
          <w:sz w:val="28"/>
          <w:szCs w:val="28"/>
          <w:lang w:eastAsia="es-MX"/>
          <w14:ligatures w14:val="none"/>
        </w:rPr>
        <w:t>as buenas prácticas generadas por estas a través del tiempo.</w:t>
      </w:r>
    </w:p>
    <w:p w14:paraId="38700ACE"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3D5B6398"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10. Dirección del Ministerio.</w:t>
      </w:r>
      <w:r w:rsidRPr="007263D7">
        <w:rPr>
          <w:rFonts w:ascii="Times New Roman" w:eastAsia="Times New Roman" w:hAnsi="Times New Roman" w:cs="Times New Roman"/>
          <w:color w:val="2D2D2D"/>
          <w:sz w:val="28"/>
          <w:szCs w:val="28"/>
          <w:lang w:eastAsia="es-MX"/>
          <w14:ligatures w14:val="none"/>
        </w:rPr>
        <w:t> La dirección del Ministerio estará a cargo de la Ministra o Ministro de Igualdad y Equidad.</w:t>
      </w:r>
    </w:p>
    <w:p w14:paraId="76088120"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349877EF" w14:textId="583DEA62"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11. Estructura Interna.</w:t>
      </w:r>
      <w:r w:rsidRPr="007263D7">
        <w:rPr>
          <w:rFonts w:ascii="Times New Roman" w:eastAsia="Times New Roman" w:hAnsi="Times New Roman" w:cs="Times New Roman"/>
          <w:color w:val="2D2D2D"/>
          <w:sz w:val="28"/>
          <w:szCs w:val="28"/>
          <w:lang w:eastAsia="es-MX"/>
          <w14:ligatures w14:val="none"/>
        </w:rPr>
        <w:t> El Ministerio de Igualdad y</w:t>
      </w:r>
      <w:r w:rsidRPr="007263D7">
        <w:rPr>
          <w:rFonts w:ascii="Times New Roman" w:eastAsia="Times New Roman" w:hAnsi="Times New Roman" w:cs="Times New Roman"/>
          <w:color w:val="2D2D2D"/>
          <w:sz w:val="28"/>
          <w:szCs w:val="28"/>
          <w:lang w:eastAsia="es-MX"/>
          <w14:ligatures w14:val="none"/>
        </w:rPr>
        <w:t xml:space="preserve"> Equidad tendrá una estructura interna inicial con las dependencias de dirección, asesoría, coordinación, gestión y apoyo, la cual debe ser armónica con los procesos de planeación y gestión.</w:t>
      </w:r>
    </w:p>
    <w:p w14:paraId="20267077"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p>
    <w:p w14:paraId="48DD711C"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 Despacho de la Ministra o el Ministro</w:t>
      </w:r>
    </w:p>
    <w:p w14:paraId="72490DD8"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1.1. Oficina de Control</w:t>
      </w:r>
      <w:r w:rsidRPr="007263D7">
        <w:rPr>
          <w:rFonts w:ascii="Times New Roman" w:eastAsia="Times New Roman" w:hAnsi="Times New Roman" w:cs="Times New Roman"/>
          <w:color w:val="2D2D2D"/>
          <w:sz w:val="28"/>
          <w:szCs w:val="28"/>
          <w:lang w:eastAsia="es-MX"/>
          <w14:ligatures w14:val="none"/>
        </w:rPr>
        <w:t xml:space="preserve"> Interno</w:t>
      </w:r>
    </w:p>
    <w:p w14:paraId="77A50D07"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1.2. Oficina Asesora de Planeación</w:t>
      </w:r>
    </w:p>
    <w:p w14:paraId="11F1C599"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1.3. Oficina Asesora Jurídica</w:t>
      </w:r>
    </w:p>
    <w:p w14:paraId="03364265"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1.4. Oficina Asesora de Comunicaciones</w:t>
      </w:r>
    </w:p>
    <w:p w14:paraId="539DDEED"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1.5. Oficina Asesora de Control Interno Disciplinario</w:t>
      </w:r>
    </w:p>
    <w:p w14:paraId="6A7E19D1"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1.6. Oficina de Tecnologías y Sistemas de Información</w:t>
      </w:r>
    </w:p>
    <w:p w14:paraId="02B1511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1.7. Direcciones Departamentales</w:t>
      </w:r>
    </w:p>
    <w:p w14:paraId="678114AE"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2.</w:t>
      </w:r>
      <w:r w:rsidRPr="007263D7">
        <w:rPr>
          <w:rFonts w:ascii="Times New Roman" w:eastAsia="Times New Roman" w:hAnsi="Times New Roman" w:cs="Times New Roman"/>
          <w:color w:val="2D2D2D"/>
          <w:sz w:val="28"/>
          <w:szCs w:val="28"/>
          <w:lang w:eastAsia="es-MX"/>
          <w14:ligatures w14:val="none"/>
        </w:rPr>
        <w:t xml:space="preserve"> Despacho de la Viceministra o el Viceministro</w:t>
      </w:r>
    </w:p>
    <w:p w14:paraId="5E0346EE"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3. Despacho de la Viceministra o el Viceministro</w:t>
      </w:r>
    </w:p>
    <w:p w14:paraId="3EC502A2"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4. Despacho de la Viceministra o el Viceministro</w:t>
      </w:r>
    </w:p>
    <w:p w14:paraId="2702E974"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Direcciones misionales</w:t>
      </w:r>
    </w:p>
    <w:p w14:paraId="35C2D07F"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5. Secretaría General</w:t>
      </w:r>
    </w:p>
    <w:p w14:paraId="0DC56B4F"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5.1. Subdirección de Talento Humano</w:t>
      </w:r>
    </w:p>
    <w:p w14:paraId="69B28100"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xml:space="preserve">5.2. Subdirección </w:t>
      </w:r>
      <w:r w:rsidRPr="007263D7">
        <w:rPr>
          <w:rFonts w:ascii="Times New Roman" w:eastAsia="Times New Roman" w:hAnsi="Times New Roman" w:cs="Times New Roman"/>
          <w:color w:val="2D2D2D"/>
          <w:sz w:val="28"/>
          <w:szCs w:val="28"/>
          <w:lang w:eastAsia="es-MX"/>
          <w14:ligatures w14:val="none"/>
        </w:rPr>
        <w:t>Administrativa y Financiera5.3. Subdirección de Contratación</w:t>
      </w:r>
    </w:p>
    <w:p w14:paraId="000BCBE6"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6. Órganos de Asesoría y Coordinación</w:t>
      </w:r>
    </w:p>
    <w:p w14:paraId="5F99E36F"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Comité Institucional de Gestión y Desempeño</w:t>
      </w:r>
    </w:p>
    <w:p w14:paraId="2DB711F6"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Comité de Control Interno</w:t>
      </w:r>
    </w:p>
    <w:p w14:paraId="6338DC69"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Comisión de Personal</w:t>
      </w:r>
    </w:p>
    <w:p w14:paraId="176CA461"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3DEAD6DC"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xml:space="preserve">El Presidente de la República, con base en sus facultades </w:t>
      </w:r>
      <w:r w:rsidRPr="007263D7">
        <w:rPr>
          <w:rFonts w:ascii="Times New Roman" w:eastAsia="Times New Roman" w:hAnsi="Times New Roman" w:cs="Times New Roman"/>
          <w:color w:val="2D2D2D"/>
          <w:sz w:val="28"/>
          <w:szCs w:val="28"/>
          <w:lang w:eastAsia="es-MX"/>
          <w14:ligatures w14:val="none"/>
        </w:rPr>
        <w:t>permanentes consagradas en el artículo 189 numerales 16 y 17 de la Constitución Política, podrá modificar la estructura del Ministerio con sujeción a los principios y reglas generales constitucionales y legales definidos, así como distribuir los negocios d</w:t>
      </w:r>
      <w:r w:rsidRPr="007263D7">
        <w:rPr>
          <w:rFonts w:ascii="Times New Roman" w:eastAsia="Times New Roman" w:hAnsi="Times New Roman" w:cs="Times New Roman"/>
          <w:color w:val="2D2D2D"/>
          <w:sz w:val="28"/>
          <w:szCs w:val="28"/>
          <w:lang w:eastAsia="es-MX"/>
          <w14:ligatures w14:val="none"/>
        </w:rPr>
        <w:t>e otras entidades según su naturaleza, para lograr los fines de la presente ley, en el marco de austeridad presupuestal.</w:t>
      </w:r>
    </w:p>
    <w:p w14:paraId="7541838B"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6D607297"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En cumplimiento del objeto del Ministerio de Igualdad y Equidad, el Presidente de la República deberá integrar al Ministerio de Igual</w:t>
      </w:r>
      <w:r w:rsidRPr="007263D7">
        <w:rPr>
          <w:rFonts w:ascii="Times New Roman" w:eastAsia="Times New Roman" w:hAnsi="Times New Roman" w:cs="Times New Roman"/>
          <w:color w:val="2D2D2D"/>
          <w:sz w:val="28"/>
          <w:szCs w:val="28"/>
          <w:lang w:eastAsia="es-MX"/>
          <w14:ligatures w14:val="none"/>
        </w:rPr>
        <w:t>dad y Equidad todas las áreas, dependencias y unidades administrativas, que sean necesarias para diseñar, formular, adoptar, dirigir, coordinar, articular, ejecutar y evaluar, las políticas, planes, programas, estrategias, proyectos y medidas para contribu</w:t>
      </w:r>
      <w:r w:rsidRPr="007263D7">
        <w:rPr>
          <w:rFonts w:ascii="Times New Roman" w:eastAsia="Times New Roman" w:hAnsi="Times New Roman" w:cs="Times New Roman"/>
          <w:color w:val="2D2D2D"/>
          <w:sz w:val="28"/>
          <w:szCs w:val="28"/>
          <w:lang w:eastAsia="es-MX"/>
          <w14:ligatures w14:val="none"/>
        </w:rPr>
        <w:t>ir en la eliminación de las desigualdades económicas, políticas y sociales; impulsar el goce del derecho a la igualdad y unificar la política de estado en materia de Igualdad y Equidad.</w:t>
      </w:r>
    </w:p>
    <w:p w14:paraId="2818F7E1"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60EA314D"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12. Facultades extraordinarias.</w:t>
      </w:r>
      <w:r w:rsidRPr="007263D7">
        <w:rPr>
          <w:rFonts w:ascii="Times New Roman" w:eastAsia="Times New Roman" w:hAnsi="Times New Roman" w:cs="Times New Roman"/>
          <w:color w:val="2D2D2D"/>
          <w:sz w:val="28"/>
          <w:szCs w:val="28"/>
          <w:lang w:eastAsia="es-MX"/>
          <w14:ligatures w14:val="none"/>
        </w:rPr>
        <w:t xml:space="preserve"> Revístase al Presidente de </w:t>
      </w:r>
      <w:r w:rsidRPr="007263D7">
        <w:rPr>
          <w:rFonts w:ascii="Times New Roman" w:eastAsia="Times New Roman" w:hAnsi="Times New Roman" w:cs="Times New Roman"/>
          <w:color w:val="2D2D2D"/>
          <w:sz w:val="28"/>
          <w:szCs w:val="28"/>
          <w:lang w:eastAsia="es-MX"/>
          <w14:ligatures w14:val="none"/>
        </w:rPr>
        <w:t xml:space="preserve">la República de precisas facultades extraordinarias, por el término de seis (6) meses, contados a partir de la fecha de publicación de la presente ley, para expedir normas con fuerza material de ley dirigidas a integrar al Sector de Igualdad y Equidad con </w:t>
      </w:r>
      <w:r w:rsidRPr="007263D7">
        <w:rPr>
          <w:rFonts w:ascii="Times New Roman" w:eastAsia="Times New Roman" w:hAnsi="Times New Roman" w:cs="Times New Roman"/>
          <w:color w:val="2D2D2D"/>
          <w:sz w:val="28"/>
          <w:szCs w:val="28"/>
          <w:lang w:eastAsia="es-MX"/>
          <w14:ligatures w14:val="none"/>
        </w:rPr>
        <w:t>las entidades que defina como adscritas o vinculadas. Lo anterior, de conformidad con lo establecido en el artículo 150 numeral 10 de la Constitución Política.</w:t>
      </w:r>
    </w:p>
    <w:p w14:paraId="13724A84"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22A160E1"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13. Derechos laborales y mínimo impacto fiscal.</w:t>
      </w:r>
      <w:r w:rsidRPr="007263D7">
        <w:rPr>
          <w:rFonts w:ascii="Times New Roman" w:eastAsia="Times New Roman" w:hAnsi="Times New Roman" w:cs="Times New Roman"/>
          <w:color w:val="2D2D2D"/>
          <w:sz w:val="28"/>
          <w:szCs w:val="28"/>
          <w:lang w:eastAsia="es-MX"/>
          <w14:ligatures w14:val="none"/>
        </w:rPr>
        <w:t xml:space="preserve"> El Gobierno nacional en ejercicio de </w:t>
      </w:r>
      <w:r w:rsidRPr="007263D7">
        <w:rPr>
          <w:rFonts w:ascii="Times New Roman" w:eastAsia="Times New Roman" w:hAnsi="Times New Roman" w:cs="Times New Roman"/>
          <w:color w:val="2D2D2D"/>
          <w:sz w:val="28"/>
          <w:szCs w:val="28"/>
          <w:lang w:eastAsia="es-MX"/>
          <w14:ligatures w14:val="none"/>
        </w:rPr>
        <w:t>sus facultades permanentes garantizará los derechos de las servidoras y servidores públicos, en especial de aquellos que estén inscritos en la carrera administrativa, propiciando la paridad de género y la inclusión de personas con discapacidad.</w:t>
      </w:r>
    </w:p>
    <w:p w14:paraId="240E50B0"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543A2536"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De confor</w:t>
      </w:r>
      <w:r w:rsidRPr="007263D7">
        <w:rPr>
          <w:rFonts w:ascii="Times New Roman" w:eastAsia="Times New Roman" w:hAnsi="Times New Roman" w:cs="Times New Roman"/>
          <w:color w:val="2D2D2D"/>
          <w:sz w:val="28"/>
          <w:szCs w:val="28"/>
          <w:lang w:eastAsia="es-MX"/>
          <w14:ligatures w14:val="none"/>
        </w:rPr>
        <w:t xml:space="preserve">midad con los estudios que generen sobre el funcionamiento de la entidad por parte de la Función Pública y de acuerdo a la disponibilidad fiscal del país y la existencia de recursos para tal propósito, se deberá garantizar el mínimo impacto fiscal de esta </w:t>
      </w:r>
      <w:r w:rsidRPr="007263D7">
        <w:rPr>
          <w:rFonts w:ascii="Times New Roman" w:eastAsia="Times New Roman" w:hAnsi="Times New Roman" w:cs="Times New Roman"/>
          <w:color w:val="2D2D2D"/>
          <w:sz w:val="28"/>
          <w:szCs w:val="28"/>
          <w:lang w:eastAsia="es-MX"/>
          <w14:ligatures w14:val="none"/>
        </w:rPr>
        <w:t>iniciativa.</w:t>
      </w:r>
    </w:p>
    <w:p w14:paraId="55B26813"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384F8A7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14. Comisión de seguimiento.</w:t>
      </w:r>
      <w:r w:rsidRPr="007263D7">
        <w:rPr>
          <w:rFonts w:ascii="Times New Roman" w:eastAsia="Times New Roman" w:hAnsi="Times New Roman" w:cs="Times New Roman"/>
          <w:color w:val="2D2D2D"/>
          <w:sz w:val="28"/>
          <w:szCs w:val="28"/>
          <w:lang w:eastAsia="es-MX"/>
          <w14:ligatures w14:val="none"/>
        </w:rPr>
        <w:t> Créese una Comisión de Seguimiento integrada por cinco (5) Senadores y nueve (9) Representantes, de diferentes bancadas y con participación de los partidos declarados en oposición e independencia, designa</w:t>
      </w:r>
      <w:r w:rsidRPr="007263D7">
        <w:rPr>
          <w:rFonts w:ascii="Times New Roman" w:eastAsia="Times New Roman" w:hAnsi="Times New Roman" w:cs="Times New Roman"/>
          <w:color w:val="2D2D2D"/>
          <w:sz w:val="28"/>
          <w:szCs w:val="28"/>
          <w:lang w:eastAsia="es-MX"/>
          <w14:ligatures w14:val="none"/>
        </w:rPr>
        <w:t>dos por los presidentes del Senado de la República y la Cámara de Representantes para hacer seguimiento permanente a las facultades conferidas en este proyecto, recibir los informes del Gobierno y presentarlos al Congreso.</w:t>
      </w:r>
    </w:p>
    <w:p w14:paraId="5E804189"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795F0F17"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Parágrafo. Para todos los efect</w:t>
      </w:r>
      <w:r w:rsidRPr="007263D7">
        <w:rPr>
          <w:rFonts w:ascii="Times New Roman" w:eastAsia="Times New Roman" w:hAnsi="Times New Roman" w:cs="Times New Roman"/>
          <w:color w:val="2D2D2D"/>
          <w:sz w:val="28"/>
          <w:szCs w:val="28"/>
          <w:lang w:eastAsia="es-MX"/>
          <w14:ligatures w14:val="none"/>
        </w:rPr>
        <w:t>os, las Comisiones Séptimas Constitucionales de Cámara y Senado conocerán de las funciones, temas y objeto del Ministerio de Igualdad y Equidad.</w:t>
      </w:r>
    </w:p>
    <w:p w14:paraId="4ED2DBE4"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0A4AA14F"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15.</w:t>
      </w:r>
      <w:r w:rsidRPr="007263D7">
        <w:rPr>
          <w:rFonts w:ascii="Times New Roman" w:eastAsia="Times New Roman" w:hAnsi="Times New Roman" w:cs="Times New Roman"/>
          <w:color w:val="2D2D2D"/>
          <w:sz w:val="28"/>
          <w:szCs w:val="28"/>
          <w:lang w:eastAsia="es-MX"/>
          <w14:ligatures w14:val="none"/>
        </w:rPr>
        <w:t xml:space="preserve"> Modifíquese el artículo 17 de la Ley 1444 de 2011, modificado por el artículo 20 de la Ley 2162 </w:t>
      </w:r>
      <w:r w:rsidRPr="007263D7">
        <w:rPr>
          <w:rFonts w:ascii="Times New Roman" w:eastAsia="Times New Roman" w:hAnsi="Times New Roman" w:cs="Times New Roman"/>
          <w:color w:val="2D2D2D"/>
          <w:sz w:val="28"/>
          <w:szCs w:val="28"/>
          <w:lang w:eastAsia="es-MX"/>
          <w14:ligatures w14:val="none"/>
        </w:rPr>
        <w:t>de 2021, el cual quedará así:</w:t>
      </w:r>
    </w:p>
    <w:p w14:paraId="6C1B0141"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Artículo 17. Número, denominación, orden y precedencia de los Ministerios. El número de ministerios es diecinueve. La denominación, orden y precedencia de los ministerios es la siguiente:</w:t>
      </w:r>
    </w:p>
    <w:p w14:paraId="27E5DF94"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p>
    <w:p w14:paraId="630C053C"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 Ministerio del Interior.</w:t>
      </w:r>
    </w:p>
    <w:p w14:paraId="5F31BAEB"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xml:space="preserve">2. </w:t>
      </w:r>
      <w:r w:rsidRPr="007263D7">
        <w:rPr>
          <w:rFonts w:ascii="Times New Roman" w:eastAsia="Times New Roman" w:hAnsi="Times New Roman" w:cs="Times New Roman"/>
          <w:color w:val="2D2D2D"/>
          <w:sz w:val="28"/>
          <w:szCs w:val="28"/>
          <w:lang w:eastAsia="es-MX"/>
          <w14:ligatures w14:val="none"/>
        </w:rPr>
        <w:t>Ministerio de Relaciones Exteriores.</w:t>
      </w:r>
    </w:p>
    <w:p w14:paraId="11DCA756"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3. Ministerio de Hacienda y Crédito Público.</w:t>
      </w:r>
    </w:p>
    <w:p w14:paraId="590C392D"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4. Ministerio de Justicia y del Derecho.</w:t>
      </w:r>
    </w:p>
    <w:p w14:paraId="44FA5042"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5. Ministerio de Defensa Nacional.</w:t>
      </w:r>
    </w:p>
    <w:p w14:paraId="51E5D6CE"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6. Ministerio de Agricultura y Desarrollo Rural.</w:t>
      </w:r>
    </w:p>
    <w:p w14:paraId="796E8D13"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7. Ministerio de Salud y Protección Social.</w:t>
      </w:r>
    </w:p>
    <w:p w14:paraId="212715D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8. Mi</w:t>
      </w:r>
      <w:r w:rsidRPr="007263D7">
        <w:rPr>
          <w:rFonts w:ascii="Times New Roman" w:eastAsia="Times New Roman" w:hAnsi="Times New Roman" w:cs="Times New Roman"/>
          <w:color w:val="2D2D2D"/>
          <w:sz w:val="28"/>
          <w:szCs w:val="28"/>
          <w:lang w:eastAsia="es-MX"/>
          <w14:ligatures w14:val="none"/>
        </w:rPr>
        <w:t>nisterio de Trabajo.</w:t>
      </w:r>
    </w:p>
    <w:p w14:paraId="737E2116"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9. Ministerio de Minas y Energía.</w:t>
      </w:r>
    </w:p>
    <w:p w14:paraId="48C8417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10. Ministerio de Comercio, Industria y Turismo.</w:t>
      </w:r>
    </w:p>
    <w:p w14:paraId="4584C228"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11. Ministerio de Educación Nacional.</w:t>
      </w:r>
    </w:p>
    <w:p w14:paraId="11195466"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12. Ministerio de Ambiente y Desarrollo Sostenible.</w:t>
      </w:r>
    </w:p>
    <w:p w14:paraId="13C774B2"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13. Ministerio de Vivienda, Ciudad y Territorio.</w:t>
      </w:r>
    </w:p>
    <w:p w14:paraId="65D48782"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14. Ministeri</w:t>
      </w:r>
      <w:r w:rsidRPr="007263D7">
        <w:rPr>
          <w:rFonts w:ascii="Times New Roman" w:eastAsia="Times New Roman" w:hAnsi="Times New Roman" w:cs="Times New Roman"/>
          <w:color w:val="2D2D2D"/>
          <w:sz w:val="28"/>
          <w:szCs w:val="28"/>
          <w:lang w:eastAsia="es-MX"/>
          <w14:ligatures w14:val="none"/>
        </w:rPr>
        <w:t>o de Tecnologías de la Información y las Comunicaciones.</w:t>
      </w:r>
    </w:p>
    <w:p w14:paraId="255F84EF"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15. Ministerio de Transporte.</w:t>
      </w:r>
    </w:p>
    <w:p w14:paraId="5C7B7E38"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16. Ministerio de Cultura.</w:t>
      </w:r>
    </w:p>
    <w:p w14:paraId="08A6096E"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17. Ministerio del Deporte.</w:t>
      </w:r>
    </w:p>
    <w:p w14:paraId="64C487B1"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18. Ministerio de Ciencia, Tecnología e Innovación.</w:t>
      </w:r>
    </w:p>
    <w:p w14:paraId="62967D1F"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19. Ministerio de Igualdad y Equidad.</w:t>
      </w:r>
    </w:p>
    <w:p w14:paraId="424AF6B6"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w:t>
      </w:r>
    </w:p>
    <w:p w14:paraId="50E785E6"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16. Modificad</w:t>
      </w:r>
      <w:r w:rsidRPr="007263D7">
        <w:rPr>
          <w:rFonts w:ascii="Times New Roman" w:eastAsia="Times New Roman" w:hAnsi="Times New Roman" w:cs="Times New Roman"/>
          <w:b/>
          <w:bCs/>
          <w:color w:val="2D2D2D"/>
          <w:sz w:val="28"/>
          <w:szCs w:val="28"/>
          <w:lang w:eastAsia="es-MX"/>
          <w14:ligatures w14:val="none"/>
        </w:rPr>
        <w:t>o por la Ley 2294 de 2023, artículo 213.</w:t>
      </w:r>
      <w:r w:rsidRPr="007263D7">
        <w:rPr>
          <w:rFonts w:ascii="Times New Roman" w:eastAsia="Times New Roman" w:hAnsi="Times New Roman" w:cs="Times New Roman"/>
          <w:color w:val="2D2D2D"/>
          <w:sz w:val="28"/>
          <w:szCs w:val="28"/>
          <w:lang w:eastAsia="es-MX"/>
          <w14:ligatures w14:val="none"/>
        </w:rPr>
        <w:t> Modifíquese el artículo 16 de la Ley 1355 de 2009, el cual quedará así:</w:t>
      </w:r>
    </w:p>
    <w:p w14:paraId="13B6319B"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p>
    <w:p w14:paraId="5D08A3F7"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Artículo 16. Integración de la Comisión Intersectorial de Seguridad Alimentaria y Nutricional. La Comisión Intersectorial de Seguridad Aliment</w:t>
      </w:r>
      <w:r w:rsidRPr="007263D7">
        <w:rPr>
          <w:rFonts w:ascii="Times New Roman" w:eastAsia="Times New Roman" w:hAnsi="Times New Roman" w:cs="Times New Roman"/>
          <w:color w:val="2D2D2D"/>
          <w:sz w:val="28"/>
          <w:szCs w:val="28"/>
          <w:lang w:eastAsia="es-MX"/>
          <w14:ligatures w14:val="none"/>
        </w:rPr>
        <w:t>aria y Nutricional (CISAN) estará conformada por los siguientes funcionarios:</w:t>
      </w:r>
    </w:p>
    <w:p w14:paraId="5799C2F3"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p>
    <w:p w14:paraId="2F872BA6"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 El Director del Departamento Administrativo de la Presidencia de la República o su delegado, quien la presidirá.</w:t>
      </w:r>
    </w:p>
    <w:p w14:paraId="6FA24EE0"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2. Ministro de Agricultura y Desarrollo Rural o su delegado.</w:t>
      </w:r>
    </w:p>
    <w:p w14:paraId="40B8E3D5"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3. Ministro de Salud y Protección Social o su delegado.</w:t>
      </w:r>
    </w:p>
    <w:p w14:paraId="100930FB"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4. Ministro de Comercio, Industria y Turismo o su delegado.</w:t>
      </w:r>
    </w:p>
    <w:p w14:paraId="4BA8D56A"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5. Ministro de Educación Nacional o su delegado.</w:t>
      </w:r>
    </w:p>
    <w:p w14:paraId="2710213F"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6. Ministro de Ambiente y Desarrollo Sostenible o su delegado.</w:t>
      </w:r>
    </w:p>
    <w:p w14:paraId="30D82A48"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 xml:space="preserve">7. Ministro de Vivienda, </w:t>
      </w:r>
      <w:r w:rsidRPr="007263D7">
        <w:rPr>
          <w:rFonts w:ascii="Times New Roman" w:eastAsia="Times New Roman" w:hAnsi="Times New Roman" w:cs="Times New Roman"/>
          <w:color w:val="2D2D2D"/>
          <w:sz w:val="28"/>
          <w:szCs w:val="28"/>
          <w:lang w:eastAsia="es-MX"/>
          <w14:ligatures w14:val="none"/>
        </w:rPr>
        <w:t>Ciudad y Territorio o su delegado.</w:t>
      </w:r>
    </w:p>
    <w:p w14:paraId="6FDACF11"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8. Ministro de Igualdad y Equidad.</w:t>
      </w:r>
    </w:p>
    <w:p w14:paraId="3846A0E2"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9. Director del Departamento Nacional de Planeación o su delegado.</w:t>
      </w:r>
    </w:p>
    <w:p w14:paraId="0896D28D"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10. Director del Departamento Administrativo para la Prosperidad Social (DPS) o su delegado.</w:t>
      </w:r>
    </w:p>
    <w:p w14:paraId="1D181389"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11. Director del Instituto</w:t>
      </w:r>
      <w:r w:rsidRPr="007263D7">
        <w:rPr>
          <w:rFonts w:ascii="Times New Roman" w:eastAsia="Times New Roman" w:hAnsi="Times New Roman" w:cs="Times New Roman"/>
          <w:color w:val="2D2D2D"/>
          <w:sz w:val="28"/>
          <w:szCs w:val="28"/>
          <w:lang w:eastAsia="es-MX"/>
          <w14:ligatures w14:val="none"/>
        </w:rPr>
        <w:t xml:space="preserve"> Colombiano de Bienestar Familiar (ICBF) o su delegado.</w:t>
      </w:r>
    </w:p>
    <w:p w14:paraId="34002CB6" w14:textId="2B1B8748"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color w:val="2D2D2D"/>
          <w:sz w:val="28"/>
          <w:szCs w:val="28"/>
          <w:lang w:eastAsia="es-MX"/>
          <w14:ligatures w14:val="none"/>
        </w:rPr>
        <w:t>12. Un miembro de la Asociación Colombiana de Facultades de Nutrición, designado por su junta directiva.</w:t>
      </w:r>
    </w:p>
    <w:p w14:paraId="6F222D4D" w14:textId="77777777"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p>
    <w:p w14:paraId="05BFFEE3" w14:textId="0F111458" w:rsidR="00C92394" w:rsidRPr="007263D7" w:rsidRDefault="007263D7" w:rsidP="00C92394">
      <w:pPr>
        <w:jc w:val="both"/>
        <w:rPr>
          <w:rFonts w:ascii="Times New Roman" w:eastAsia="Times New Roman" w:hAnsi="Times New Roman" w:cs="Times New Roman"/>
          <w:color w:val="2D2D2D"/>
          <w:sz w:val="28"/>
          <w:szCs w:val="28"/>
          <w:lang w:eastAsia="es-MX"/>
          <w14:ligatures w14:val="none"/>
        </w:rPr>
      </w:pPr>
      <w:r w:rsidRPr="007263D7">
        <w:rPr>
          <w:rFonts w:ascii="Times New Roman" w:eastAsia="Times New Roman" w:hAnsi="Times New Roman" w:cs="Times New Roman"/>
          <w:b/>
          <w:bCs/>
          <w:color w:val="2D2D2D"/>
          <w:sz w:val="28"/>
          <w:szCs w:val="28"/>
          <w:lang w:eastAsia="es-MX"/>
          <w14:ligatures w14:val="none"/>
        </w:rPr>
        <w:t>Artículo 17. Vigencia y derogatorias.</w:t>
      </w:r>
      <w:r w:rsidRPr="007263D7">
        <w:rPr>
          <w:rFonts w:ascii="Times New Roman" w:eastAsia="Times New Roman" w:hAnsi="Times New Roman" w:cs="Times New Roman"/>
          <w:color w:val="2D2D2D"/>
          <w:sz w:val="28"/>
          <w:szCs w:val="28"/>
          <w:lang w:eastAsia="es-MX"/>
          <w14:ligatures w14:val="none"/>
        </w:rPr>
        <w:t> La presente ley rige a partir de la fecha de su publicac</w:t>
      </w:r>
      <w:r w:rsidRPr="007263D7">
        <w:rPr>
          <w:rFonts w:ascii="Times New Roman" w:eastAsia="Times New Roman" w:hAnsi="Times New Roman" w:cs="Times New Roman"/>
          <w:color w:val="2D2D2D"/>
          <w:sz w:val="28"/>
          <w:szCs w:val="28"/>
          <w:lang w:eastAsia="es-MX"/>
          <w14:ligatures w14:val="none"/>
        </w:rPr>
        <w:t>ión y deroga las disposiciones que le sean contrarias”.</w:t>
      </w:r>
    </w:p>
    <w:p w14:paraId="2A5428C2" w14:textId="77777777" w:rsidR="00C92394" w:rsidRPr="007263D7" w:rsidRDefault="007263D7" w:rsidP="00C92394">
      <w:pPr>
        <w:rPr>
          <w:rFonts w:ascii="Times New Roman" w:hAnsi="Times New Roman" w:cs="Times New Roman"/>
          <w:sz w:val="28"/>
          <w:szCs w:val="28"/>
        </w:rPr>
      </w:pPr>
    </w:p>
    <w:p w14:paraId="6321A2D2" w14:textId="77777777" w:rsidR="00C92394" w:rsidRPr="007263D7" w:rsidRDefault="007263D7">
      <w:pPr>
        <w:rPr>
          <w:rFonts w:ascii="Times New Roman" w:hAnsi="Times New Roman" w:cs="Times New Roman"/>
          <w:sz w:val="28"/>
          <w:szCs w:val="28"/>
        </w:rPr>
      </w:pPr>
    </w:p>
    <w:p w14:paraId="54E1EB7E" w14:textId="77777777" w:rsidR="005B057C" w:rsidRPr="007263D7" w:rsidRDefault="007263D7" w:rsidP="0026017C">
      <w:pPr>
        <w:jc w:val="center"/>
        <w:rPr>
          <w:rFonts w:ascii="Times New Roman" w:hAnsi="Times New Roman" w:cs="Times New Roman"/>
          <w:b/>
          <w:bCs/>
          <w:sz w:val="28"/>
          <w:szCs w:val="28"/>
        </w:rPr>
      </w:pPr>
    </w:p>
    <w:p w14:paraId="7008CDCF" w14:textId="77777777" w:rsidR="005B057C" w:rsidRPr="007263D7" w:rsidRDefault="007263D7" w:rsidP="0026017C">
      <w:pPr>
        <w:jc w:val="center"/>
        <w:rPr>
          <w:rFonts w:ascii="Times New Roman" w:hAnsi="Times New Roman" w:cs="Times New Roman"/>
          <w:b/>
          <w:bCs/>
          <w:sz w:val="28"/>
          <w:szCs w:val="28"/>
        </w:rPr>
      </w:pPr>
    </w:p>
    <w:p w14:paraId="783BE1F7" w14:textId="7A1418D0" w:rsidR="005B057C" w:rsidRPr="007263D7" w:rsidRDefault="007263D7" w:rsidP="0026017C">
      <w:pPr>
        <w:jc w:val="center"/>
        <w:rPr>
          <w:rFonts w:ascii="Times New Roman" w:hAnsi="Times New Roman" w:cs="Times New Roman"/>
          <w:b/>
          <w:bCs/>
          <w:sz w:val="28"/>
          <w:szCs w:val="28"/>
        </w:rPr>
      </w:pPr>
      <w:r w:rsidRPr="007263D7">
        <w:rPr>
          <w:rFonts w:ascii="Times New Roman" w:hAnsi="Times New Roman" w:cs="Times New Roman"/>
          <w:b/>
          <w:bCs/>
          <w:sz w:val="28"/>
          <w:szCs w:val="28"/>
        </w:rPr>
        <w:t>ACLARACIÓN DE VOTO DELMAGISTRADO</w:t>
      </w:r>
    </w:p>
    <w:p w14:paraId="75695530" w14:textId="1CCC6DEB" w:rsidR="0026017C" w:rsidRPr="007263D7" w:rsidRDefault="007263D7" w:rsidP="0026017C">
      <w:pPr>
        <w:jc w:val="center"/>
        <w:rPr>
          <w:rFonts w:ascii="Times New Roman" w:hAnsi="Times New Roman" w:cs="Times New Roman"/>
          <w:b/>
          <w:bCs/>
          <w:sz w:val="28"/>
          <w:szCs w:val="28"/>
        </w:rPr>
      </w:pPr>
      <w:r w:rsidRPr="007263D7">
        <w:rPr>
          <w:rFonts w:ascii="Times New Roman" w:hAnsi="Times New Roman" w:cs="Times New Roman"/>
          <w:b/>
          <w:bCs/>
          <w:sz w:val="28"/>
          <w:szCs w:val="28"/>
        </w:rPr>
        <w:t>JORGE ENRIQUE IBÁÑEZ NAJAR</w:t>
      </w:r>
    </w:p>
    <w:p w14:paraId="202F4971" w14:textId="31165C68" w:rsidR="00AD5DAE" w:rsidRPr="007263D7" w:rsidRDefault="007263D7" w:rsidP="00AD5DAE">
      <w:pPr>
        <w:jc w:val="center"/>
        <w:rPr>
          <w:rFonts w:ascii="Times New Roman" w:hAnsi="Times New Roman" w:cs="Times New Roman"/>
          <w:b/>
          <w:bCs/>
          <w:sz w:val="28"/>
          <w:szCs w:val="28"/>
        </w:rPr>
      </w:pPr>
      <w:r w:rsidRPr="007263D7">
        <w:rPr>
          <w:rFonts w:ascii="Times New Roman" w:hAnsi="Times New Roman" w:cs="Times New Roman"/>
          <w:b/>
          <w:bCs/>
          <w:sz w:val="28"/>
          <w:szCs w:val="28"/>
        </w:rPr>
        <w:t>A LA SENTENCIA C-110/25</w:t>
      </w:r>
    </w:p>
    <w:p w14:paraId="4FF90B31" w14:textId="77777777" w:rsidR="00AD5DAE" w:rsidRPr="007263D7" w:rsidRDefault="007263D7" w:rsidP="0026017C">
      <w:pPr>
        <w:jc w:val="center"/>
        <w:rPr>
          <w:rFonts w:ascii="Times New Roman" w:hAnsi="Times New Roman" w:cs="Times New Roman"/>
          <w:b/>
          <w:bCs/>
          <w:sz w:val="28"/>
          <w:szCs w:val="28"/>
        </w:rPr>
      </w:pPr>
    </w:p>
    <w:p w14:paraId="16F90B6B" w14:textId="77777777" w:rsidR="0026017C" w:rsidRPr="007263D7" w:rsidRDefault="007263D7" w:rsidP="0026017C">
      <w:pPr>
        <w:jc w:val="center"/>
        <w:rPr>
          <w:rFonts w:ascii="Times New Roman" w:hAnsi="Times New Roman" w:cs="Times New Roman"/>
          <w:b/>
          <w:bCs/>
          <w:sz w:val="28"/>
          <w:szCs w:val="28"/>
        </w:rPr>
      </w:pPr>
    </w:p>
    <w:p w14:paraId="580EE97B" w14:textId="305D356D" w:rsidR="0026017C" w:rsidRPr="007263D7" w:rsidRDefault="007263D7" w:rsidP="00AD5DAE">
      <w:pPr>
        <w:ind w:left="3969"/>
        <w:jc w:val="center"/>
        <w:rPr>
          <w:rFonts w:ascii="Times New Roman" w:hAnsi="Times New Roman" w:cs="Times New Roman"/>
          <w:sz w:val="28"/>
          <w:szCs w:val="28"/>
        </w:rPr>
      </w:pPr>
      <w:r w:rsidRPr="007263D7">
        <w:rPr>
          <w:rFonts w:ascii="Times New Roman" w:hAnsi="Times New Roman" w:cs="Times New Roman"/>
          <w:sz w:val="28"/>
          <w:szCs w:val="28"/>
        </w:rPr>
        <w:t>Referencia: Expediente D-15.683</w:t>
      </w:r>
    </w:p>
    <w:p w14:paraId="77B9F212" w14:textId="77777777" w:rsidR="007E3F82" w:rsidRPr="007263D7" w:rsidRDefault="007263D7" w:rsidP="007E3F82">
      <w:pPr>
        <w:jc w:val="both"/>
        <w:rPr>
          <w:rFonts w:ascii="Times New Roman" w:hAnsi="Times New Roman" w:cs="Times New Roman"/>
          <w:sz w:val="28"/>
          <w:szCs w:val="28"/>
        </w:rPr>
      </w:pPr>
    </w:p>
    <w:p w14:paraId="20665B21" w14:textId="77777777" w:rsidR="007E3F82" w:rsidRPr="007263D7" w:rsidRDefault="007263D7" w:rsidP="007E3F82">
      <w:pPr>
        <w:jc w:val="both"/>
        <w:rPr>
          <w:rFonts w:ascii="Times New Roman" w:hAnsi="Times New Roman" w:cs="Times New Roman"/>
          <w:sz w:val="28"/>
          <w:szCs w:val="28"/>
        </w:rPr>
      </w:pPr>
    </w:p>
    <w:p w14:paraId="1D39DDCD" w14:textId="5477FA52" w:rsidR="007E3F82" w:rsidRPr="007263D7" w:rsidRDefault="007263D7" w:rsidP="000C4919">
      <w:pPr>
        <w:pStyle w:val="Prrafodelista"/>
        <w:numPr>
          <w:ilvl w:val="0"/>
          <w:numId w:val="4"/>
        </w:numPr>
        <w:ind w:left="0" w:firstLine="0"/>
      </w:pPr>
      <w:r w:rsidRPr="007263D7">
        <w:t xml:space="preserve">En esta oportunidad correspondía que la Sala Plena de esta Corporación </w:t>
      </w:r>
      <w:r w:rsidRPr="007263D7">
        <w:t>adoptar una decisió</w:t>
      </w:r>
      <w:r w:rsidRPr="007263D7">
        <w:t>n</w:t>
      </w:r>
      <w:r w:rsidRPr="007263D7">
        <w:rPr>
          <w:lang w:val="es-ES"/>
        </w:rPr>
        <w:t xml:space="preserve"> relativa a estarse a lo resuelto en la Sentencia C-161 de 2024 porque, en efecto, se configura la cosa juzgada constitucional en los términos señalados en la providencia.</w:t>
      </w:r>
      <w:r w:rsidRPr="007263D7">
        <w:rPr>
          <w:lang w:val="es-ES"/>
        </w:rPr>
        <w:t xml:space="preserve"> De manera que, con</w:t>
      </w:r>
      <w:r w:rsidRPr="007263D7">
        <w:rPr>
          <w:lang w:val="es-ES"/>
        </w:rPr>
        <w:t xml:space="preserve"> fundamento en</w:t>
      </w:r>
      <w:r w:rsidRPr="007263D7">
        <w:rPr>
          <w:lang w:val="es-ES"/>
        </w:rPr>
        <w:t xml:space="preserve"> el respeto que </w:t>
      </w:r>
      <w:r w:rsidRPr="007263D7">
        <w:rPr>
          <w:lang w:val="es-ES"/>
        </w:rPr>
        <w:t>es imperativo</w:t>
      </w:r>
      <w:r w:rsidRPr="007263D7">
        <w:rPr>
          <w:lang w:val="es-ES"/>
        </w:rPr>
        <w:t xml:space="preserve"> tener por las decisiones adoptadas por esta Corporació</w:t>
      </w:r>
      <w:r w:rsidRPr="007263D7">
        <w:rPr>
          <w:lang w:val="es-ES"/>
        </w:rPr>
        <w:t xml:space="preserve">n, así como del principio superior de la cosa juzgada constitucional, lo correspondiente era acompañar la parte resolutiva de esta determinación que adopta </w:t>
      </w:r>
      <w:r w:rsidRPr="007263D7">
        <w:rPr>
          <w:lang w:val="es-ES"/>
        </w:rPr>
        <w:t>la Sala Plena. Ahora bien,</w:t>
      </w:r>
      <w:r w:rsidRPr="007263D7">
        <w:t xml:space="preserve"> </w:t>
      </w:r>
      <w:r w:rsidRPr="007263D7">
        <w:t>debido a que</w:t>
      </w:r>
      <w:r w:rsidRPr="007263D7">
        <w:t xml:space="preserve"> al ac</w:t>
      </w:r>
      <w:r w:rsidRPr="007263D7">
        <w:t xml:space="preserve">atar lo resuelto, se reitera la decisión adoptada en la parte resolutiva de la Sentencia C-161 de 2024, </w:t>
      </w:r>
      <w:r w:rsidRPr="007263D7">
        <w:t>realicé la aclaración de mi voto</w:t>
      </w:r>
      <w:r w:rsidRPr="007263D7">
        <w:t xml:space="preserve"> y, con ello, reiterar </w:t>
      </w:r>
      <w:r w:rsidRPr="007263D7">
        <w:t xml:space="preserve">el </w:t>
      </w:r>
      <w:r w:rsidRPr="007263D7">
        <w:t>salvamento</w:t>
      </w:r>
      <w:r w:rsidRPr="007263D7">
        <w:t xml:space="preserve"> parcial de voto que en su momento manifesté en torno</w:t>
      </w:r>
      <w:r w:rsidRPr="007263D7">
        <w:t xml:space="preserve"> al resolutivo segundo de la pr</w:t>
      </w:r>
      <w:r w:rsidRPr="007263D7">
        <w:t>ecitada providencia.</w:t>
      </w:r>
    </w:p>
    <w:p w14:paraId="4FFEC342" w14:textId="77777777" w:rsidR="007E3F82" w:rsidRPr="007263D7" w:rsidRDefault="007263D7" w:rsidP="000C4919">
      <w:pPr>
        <w:jc w:val="both"/>
        <w:rPr>
          <w:rFonts w:ascii="Times New Roman" w:hAnsi="Times New Roman" w:cs="Times New Roman"/>
          <w:sz w:val="28"/>
          <w:szCs w:val="28"/>
        </w:rPr>
      </w:pPr>
    </w:p>
    <w:p w14:paraId="7B95A73F" w14:textId="19BD91F8" w:rsidR="007E3F82" w:rsidRPr="007263D7" w:rsidRDefault="007263D7" w:rsidP="000C4919">
      <w:pPr>
        <w:pStyle w:val="Prrafodelista"/>
        <w:numPr>
          <w:ilvl w:val="0"/>
          <w:numId w:val="4"/>
        </w:numPr>
        <w:ind w:left="0" w:firstLine="0"/>
      </w:pPr>
      <w:r w:rsidRPr="007263D7">
        <w:t>En concreto, aunque</w:t>
      </w:r>
      <w:r w:rsidRPr="007263D7">
        <w:t xml:space="preserve"> respe</w:t>
      </w:r>
      <w:r w:rsidRPr="007263D7">
        <w:t>c</w:t>
      </w:r>
      <w:r w:rsidRPr="007263D7">
        <w:t>to de la Sentencia C-161 de 2024</w:t>
      </w:r>
      <w:r w:rsidRPr="007263D7">
        <w:t xml:space="preserve"> estuv</w:t>
      </w:r>
      <w:r w:rsidRPr="007263D7">
        <w:t>e</w:t>
      </w:r>
      <w:r w:rsidRPr="007263D7">
        <w:t xml:space="preserve"> de acuerdo con </w:t>
      </w:r>
      <w:r w:rsidRPr="007263D7">
        <w:t>el resolutivo primero en el que se declaró la</w:t>
      </w:r>
      <w:r w:rsidRPr="007263D7">
        <w:t xml:space="preserve"> inexequibilidad de la Ley 2281 de 2023 —derivada del incumplimiento del requisito de analizar el impacto fi</w:t>
      </w:r>
      <w:r w:rsidRPr="007263D7">
        <w:t>scal del proyecto de ley (resolutivo primero)—, expres</w:t>
      </w:r>
      <w:r w:rsidRPr="007263D7">
        <w:t>é</w:t>
      </w:r>
      <w:r w:rsidRPr="007263D7">
        <w:t xml:space="preserve"> un categórico disenso frente al resolutivo segundo de</w:t>
      </w:r>
      <w:r w:rsidRPr="007263D7">
        <w:t>l fallo</w:t>
      </w:r>
      <w:r w:rsidRPr="007263D7">
        <w:t xml:space="preserve">, el cual </w:t>
      </w:r>
      <w:r w:rsidRPr="007263D7">
        <w:t>dispuso diferir</w:t>
      </w:r>
      <w:r w:rsidRPr="007263D7">
        <w:t xml:space="preserve"> los efectos de la decisión de inexequibilidad al término de dos legislaturas. </w:t>
      </w:r>
      <w:r w:rsidRPr="007263D7">
        <w:t>En mi criterio</w:t>
      </w:r>
      <w:r w:rsidRPr="007263D7">
        <w:t>, los graves vicios en</w:t>
      </w:r>
      <w:r w:rsidRPr="007263D7">
        <w:t xml:space="preserve"> el trámite —particularmente, la adopción de un</w:t>
      </w:r>
      <w:r w:rsidRPr="007263D7">
        <w:t>a</w:t>
      </w:r>
      <w:r w:rsidRPr="007263D7">
        <w:t xml:space="preserve"> </w:t>
      </w:r>
      <w:r w:rsidRPr="007263D7">
        <w:t>norma de n</w:t>
      </w:r>
      <w:r w:rsidRPr="007263D7">
        <w:t xml:space="preserve">aturaleza legislativa sin el quórum decisorio— encuadra </w:t>
      </w:r>
      <w:r w:rsidRPr="007263D7">
        <w:t xml:space="preserve">en la </w:t>
      </w:r>
      <w:r w:rsidRPr="007263D7">
        <w:t>situación previst</w:t>
      </w:r>
      <w:r w:rsidRPr="007263D7">
        <w:t>a</w:t>
      </w:r>
      <w:r w:rsidRPr="007263D7">
        <w:t xml:space="preserve"> en el artículo 149 de la Constitución</w:t>
      </w:r>
      <w:r w:rsidRPr="007263D7">
        <w:t xml:space="preserve"> y</w:t>
      </w:r>
      <w:r w:rsidRPr="007263D7">
        <w:t xml:space="preserve"> </w:t>
      </w:r>
      <w:r w:rsidRPr="007263D7">
        <w:t>la actuación ad</w:t>
      </w:r>
      <w:r w:rsidRPr="007263D7">
        <w:t>elantada por el Congreso carec</w:t>
      </w:r>
      <w:r w:rsidRPr="007263D7">
        <w:t xml:space="preserve">ería </w:t>
      </w:r>
      <w:r w:rsidRPr="007263D7">
        <w:t xml:space="preserve">de validez al incurrir en </w:t>
      </w:r>
      <w:r w:rsidRPr="007263D7">
        <w:t>vicios insubsanables a los cuales “no podrá dárseles efecto alguno”. Por ello, la Corte tenía la obligación constitucional de retrotraer los efectos de la inexequibilidad de la norma demandada al momento de su sanción.</w:t>
      </w:r>
    </w:p>
    <w:p w14:paraId="373E07C9" w14:textId="77777777" w:rsidR="007E3F82" w:rsidRPr="007263D7" w:rsidRDefault="007263D7" w:rsidP="000C4919">
      <w:pPr>
        <w:jc w:val="both"/>
        <w:rPr>
          <w:rFonts w:ascii="Times New Roman" w:hAnsi="Times New Roman" w:cs="Times New Roman"/>
          <w:sz w:val="28"/>
          <w:szCs w:val="28"/>
        </w:rPr>
      </w:pPr>
    </w:p>
    <w:p w14:paraId="61BD7313" w14:textId="3F82745D" w:rsidR="007E3F82" w:rsidRPr="007263D7" w:rsidRDefault="007263D7" w:rsidP="000C4919">
      <w:pPr>
        <w:pStyle w:val="Prrafodelista"/>
        <w:numPr>
          <w:ilvl w:val="0"/>
          <w:numId w:val="4"/>
        </w:numPr>
        <w:ind w:left="0" w:firstLine="0"/>
      </w:pPr>
      <w:r w:rsidRPr="007263D7">
        <w:t xml:space="preserve">En ese contexto, como </w:t>
      </w:r>
      <w:r w:rsidRPr="007263D7">
        <w:t xml:space="preserve">lo </w:t>
      </w:r>
      <w:r w:rsidRPr="007263D7">
        <w:t>habían seña</w:t>
      </w:r>
      <w:r w:rsidRPr="007263D7">
        <w:t xml:space="preserve">lado los demandantes del proceso D-15.146, la Comisión Primera del Senado de la República no aprobó el informe de ponencia para el primer debate, ya que, como se evidencia al examinar el acervo probatorio, en el momento de votar la Comisión no contaba con </w:t>
      </w:r>
      <w:r w:rsidRPr="007263D7">
        <w:t>el quórum decisorio, dado que sólo estaban presentes 10 de los 21 senadores que la integran. Esta circunstancia se tradujo en un vicio que afectó una etapa fundamental del proceso legislativo y que, además, no fue subsanado en el trámite. Por ello, a difer</w:t>
      </w:r>
      <w:r w:rsidRPr="007263D7">
        <w:t>encia de lo indicado en la providencia por la Sala Plena, se generó una vulneración de los artículos 145, 149 y 157 de la Constitución, así como de los artículos 157 y 174 de la Ley 5 de 1992, orgánica del Congreso de la República.</w:t>
      </w:r>
    </w:p>
    <w:p w14:paraId="3BF47D90" w14:textId="77777777" w:rsidR="007E3F82" w:rsidRPr="007263D7" w:rsidRDefault="007263D7" w:rsidP="000C4919">
      <w:pPr>
        <w:jc w:val="both"/>
        <w:rPr>
          <w:rFonts w:ascii="Times New Roman" w:hAnsi="Times New Roman" w:cs="Times New Roman"/>
          <w:sz w:val="28"/>
          <w:szCs w:val="28"/>
        </w:rPr>
      </w:pPr>
    </w:p>
    <w:p w14:paraId="2D81D91A" w14:textId="48635D89" w:rsidR="007E3F82" w:rsidRPr="007263D7" w:rsidRDefault="007263D7" w:rsidP="000C4919">
      <w:pPr>
        <w:pStyle w:val="Prrafodelista"/>
        <w:numPr>
          <w:ilvl w:val="0"/>
          <w:numId w:val="4"/>
        </w:numPr>
        <w:ind w:left="0" w:firstLine="0"/>
      </w:pPr>
      <w:r w:rsidRPr="007263D7">
        <w:t xml:space="preserve">Respecto al artículo 145 de la Constitución, la afectación se configuró porque la decisión se adoptó sin contar al menos con la asistencia de la mayoría de </w:t>
      </w:r>
      <w:r w:rsidRPr="007263D7">
        <w:t xml:space="preserve">los integrantes de </w:t>
      </w:r>
      <w:r w:rsidRPr="007263D7">
        <w:t>la Comisión. Asimismo, se vulneró el artículo 157 de la Constitución, ya que el p</w:t>
      </w:r>
      <w:r w:rsidRPr="007263D7">
        <w:t xml:space="preserve">royecto de ley no habría podido convertirse en ley al no haberse aprobado conforme a las reglas exigidas en la Constitución para surtir integralmente el primer debate; lo cual, de consecuencia, obligaba a la aplicación del artículo 149 de la Constitución. </w:t>
      </w:r>
      <w:r w:rsidRPr="007263D7">
        <w:t xml:space="preserve">En efecto, las actuaciones del Congreso realizadas fuera de las condiciones constitucionales previstas para el trámite legislativo carecerán de validez, y </w:t>
      </w:r>
      <w:r w:rsidRPr="007263D7">
        <w:t xml:space="preserve">a </w:t>
      </w:r>
      <w:r w:rsidRPr="007263D7">
        <w:t>los actos que se hayan adoptado “no podrán dárseles efecto alguno”.</w:t>
      </w:r>
    </w:p>
    <w:p w14:paraId="6972817A" w14:textId="77777777" w:rsidR="007E3F82" w:rsidRPr="007263D7" w:rsidRDefault="007263D7" w:rsidP="000C4919">
      <w:pPr>
        <w:jc w:val="both"/>
        <w:rPr>
          <w:rFonts w:ascii="Times New Roman" w:hAnsi="Times New Roman" w:cs="Times New Roman"/>
          <w:sz w:val="28"/>
          <w:szCs w:val="28"/>
        </w:rPr>
      </w:pPr>
    </w:p>
    <w:p w14:paraId="68DE06A6" w14:textId="10EAD509" w:rsidR="007E3F82" w:rsidRPr="007263D7" w:rsidRDefault="007263D7" w:rsidP="000C4919">
      <w:pPr>
        <w:pStyle w:val="Prrafodelista"/>
        <w:numPr>
          <w:ilvl w:val="0"/>
          <w:numId w:val="4"/>
        </w:numPr>
        <w:ind w:left="0" w:firstLine="0"/>
      </w:pPr>
      <w:r w:rsidRPr="007263D7">
        <w:t>Por ello, en la Sentencia C-16</w:t>
      </w:r>
      <w:r w:rsidRPr="007263D7">
        <w:t>1 de 2024 no era posible diferir los efectos de la decisión de inexequibilidad al término de dos legislaturas. Dado que la actuación careció de toda validez y, conforme al precitado artículo 149 de la Constitución, a los actos proferidos “no se les podrá d</w:t>
      </w:r>
      <w:r w:rsidRPr="007263D7">
        <w:t>ar efecto alguno”, la Corte tenía la obligación de retrotraer los efectos de la inexequibilidad de la norma demandada al momento de su sanción.</w:t>
      </w:r>
    </w:p>
    <w:p w14:paraId="28B20CA3" w14:textId="77777777" w:rsidR="007E3F82" w:rsidRPr="007263D7" w:rsidRDefault="007263D7" w:rsidP="000C4919">
      <w:pPr>
        <w:jc w:val="both"/>
        <w:rPr>
          <w:rFonts w:ascii="Times New Roman" w:hAnsi="Times New Roman" w:cs="Times New Roman"/>
          <w:sz w:val="28"/>
          <w:szCs w:val="28"/>
        </w:rPr>
      </w:pPr>
    </w:p>
    <w:p w14:paraId="519B8621" w14:textId="6C340AED" w:rsidR="007E3F82" w:rsidRPr="007263D7" w:rsidRDefault="007263D7" w:rsidP="000C4919">
      <w:pPr>
        <w:pStyle w:val="Prrafodelista"/>
        <w:numPr>
          <w:ilvl w:val="0"/>
          <w:numId w:val="4"/>
        </w:numPr>
        <w:ind w:left="0" w:firstLine="0"/>
      </w:pPr>
      <w:r w:rsidRPr="007263D7">
        <w:t xml:space="preserve">Esta determinación de la Corte ignoró que el artículo 149 de la Constitución fue previsto por el Constituyente </w:t>
      </w:r>
      <w:r w:rsidRPr="007263D7">
        <w:t>con la finalidad de proteger el principio democrático, en el sentido de que los trámites adelantados por el Legislador carecerán de validez si incumplen las reglas establecidas para el trámite de los proyectos de ley en la Constitución y en la ley orgánica</w:t>
      </w:r>
      <w:r w:rsidRPr="007263D7">
        <w:t xml:space="preserve"> correspondiente. Además, la jurisprudencia de la Corte Constitucional ha precisado que, para determinar si se configura una afectación del artículo 149, es necesario que: (i) la norma infringida tenga rango constitucional; y (ii) el vicio afecte toda la s</w:t>
      </w:r>
      <w:r w:rsidRPr="007263D7">
        <w:t xml:space="preserve">esión o reunión y no solo a un proyecto. Para tal efecto, en su momento </w:t>
      </w:r>
      <w:r w:rsidRPr="007263D7">
        <w:t xml:space="preserve">el Magistrado recordó </w:t>
      </w:r>
      <w:r w:rsidRPr="007263D7">
        <w:t>las Sentencias C-141 de 2010, C-685 de 2011 y C-087 de 2016.</w:t>
      </w:r>
    </w:p>
    <w:p w14:paraId="567593AD" w14:textId="77777777" w:rsidR="007E3F82" w:rsidRPr="007263D7" w:rsidRDefault="007263D7" w:rsidP="000C4919">
      <w:pPr>
        <w:jc w:val="both"/>
        <w:rPr>
          <w:rFonts w:ascii="Times New Roman" w:hAnsi="Times New Roman" w:cs="Times New Roman"/>
          <w:sz w:val="28"/>
          <w:szCs w:val="28"/>
        </w:rPr>
      </w:pPr>
    </w:p>
    <w:p w14:paraId="77AF3F11" w14:textId="77777777" w:rsidR="007E3F82" w:rsidRPr="007263D7" w:rsidRDefault="007263D7" w:rsidP="000C4919">
      <w:pPr>
        <w:pStyle w:val="Prrafodelista"/>
        <w:numPr>
          <w:ilvl w:val="0"/>
          <w:numId w:val="4"/>
        </w:numPr>
        <w:ind w:left="0" w:firstLine="0"/>
      </w:pPr>
      <w:r w:rsidRPr="007263D7">
        <w:t>Este escenario debería haber llevado a concluir que el trámite para la expedición de la ley objeto d</w:t>
      </w:r>
      <w:r w:rsidRPr="007263D7">
        <w:t>e análisis carecía de toda validez y, por tanto, la norma no podía haber producido efecto alguno. En tal virtud, con fundamento en la vulneración de los artículos 145, 149 y 157 de la Constitución, y a pesar de que el proyecto de ley adquirió vida jurídica</w:t>
      </w:r>
      <w:r w:rsidRPr="007263D7">
        <w:t xml:space="preserve"> y se convirtió en ley, la Corte debía declarar imperativamente su inexequibilidad y retrotraer los efectos de la sentencia hasta el momento de su sanción.</w:t>
      </w:r>
    </w:p>
    <w:p w14:paraId="19136C9C" w14:textId="77777777" w:rsidR="007E3F82" w:rsidRPr="007263D7" w:rsidRDefault="007263D7" w:rsidP="000C4919">
      <w:pPr>
        <w:jc w:val="both"/>
        <w:rPr>
          <w:rFonts w:ascii="Times New Roman" w:hAnsi="Times New Roman" w:cs="Times New Roman"/>
          <w:sz w:val="28"/>
          <w:szCs w:val="28"/>
        </w:rPr>
      </w:pPr>
    </w:p>
    <w:p w14:paraId="193A52B3" w14:textId="3A268B39" w:rsidR="007E3F82" w:rsidRPr="007263D7" w:rsidRDefault="007263D7" w:rsidP="000C4919">
      <w:pPr>
        <w:pStyle w:val="Prrafodelista"/>
        <w:numPr>
          <w:ilvl w:val="0"/>
          <w:numId w:val="4"/>
        </w:numPr>
        <w:ind w:left="0" w:firstLine="0"/>
      </w:pPr>
      <w:r w:rsidRPr="007263D7">
        <w:t>Con base en lo expuesto, y aunque los demandantes no hubiesen invocado en la acción pública de inco</w:t>
      </w:r>
      <w:r w:rsidRPr="007263D7">
        <w:t xml:space="preserve">nstitucionalidad el artículo 149 de la Constitución, es deber de la Corte Constitucional garantizar la integridad del texto constitucional y el cumplimiento de sus mandatos —entre ellos, el principio democrático— en el ejercicio de la función legislativa. </w:t>
      </w:r>
      <w:r w:rsidRPr="007263D7">
        <w:t>De ahí que</w:t>
      </w:r>
      <w:r w:rsidRPr="007263D7">
        <w:t>,</w:t>
      </w:r>
      <w:r w:rsidRPr="007263D7">
        <w:t xml:space="preserve"> se debería haber destacado la insubsanabilidad del vicio en el trámite de la Ley 2281 de 2023, derivado no solo de la falta de análisis y evaluación del impacto fiscal, sino también del incumplimiento de las reglas constitucionales relativas al</w:t>
      </w:r>
      <w:r w:rsidRPr="007263D7">
        <w:t xml:space="preserve"> quórum decisorio. Dicho acto carece de toda validez y no puede mantenerse en el ordenamiento jurídico si infringe una exigencia constitucional.</w:t>
      </w:r>
    </w:p>
    <w:p w14:paraId="6D834F14" w14:textId="77777777" w:rsidR="007E3F82" w:rsidRPr="007263D7" w:rsidRDefault="007263D7" w:rsidP="000C4919">
      <w:pPr>
        <w:jc w:val="both"/>
        <w:rPr>
          <w:rFonts w:ascii="Times New Roman" w:hAnsi="Times New Roman" w:cs="Times New Roman"/>
          <w:sz w:val="28"/>
          <w:szCs w:val="28"/>
        </w:rPr>
      </w:pPr>
    </w:p>
    <w:p w14:paraId="617D98FE" w14:textId="528E077C" w:rsidR="007E3F82" w:rsidRPr="007263D7" w:rsidRDefault="007263D7" w:rsidP="000C4919">
      <w:pPr>
        <w:pStyle w:val="Prrafodelista"/>
        <w:numPr>
          <w:ilvl w:val="0"/>
          <w:numId w:val="4"/>
        </w:numPr>
        <w:ind w:left="0" w:firstLine="0"/>
      </w:pPr>
      <w:r w:rsidRPr="007263D7">
        <w:t xml:space="preserve">En suma, a través de esta aclaración de voto, </w:t>
      </w:r>
      <w:r w:rsidRPr="007263D7">
        <w:t xml:space="preserve">se </w:t>
      </w:r>
      <w:r w:rsidRPr="007263D7">
        <w:t xml:space="preserve">reitera que, dado que la Constitución establece expresamente </w:t>
      </w:r>
      <w:r w:rsidRPr="007263D7">
        <w:t>que tales actuaciones carecen de validez y que los actos que se expidan no producen efecto alguno, al romperse la presunción de constitucionalidad de la Ley 2281 de 2023, la sentencia que declaró su inexequibilidad debía retrotraer sus efectos desde el mom</w:t>
      </w:r>
      <w:r w:rsidRPr="007263D7">
        <w:t xml:space="preserve">ento de su sanción, con el fin de anular los efectos producidos en contra de lo dispuesto constitucionalmente. Como </w:t>
      </w:r>
      <w:r w:rsidRPr="007263D7">
        <w:t xml:space="preserve">se </w:t>
      </w:r>
      <w:r w:rsidRPr="007263D7">
        <w:t xml:space="preserve">advirtió cuando se adoptó la Sentencia C-161 de 2024, diferir los efectos de esta decisión de inexequibilidad hasta por dos legislaturas </w:t>
      </w:r>
      <w:r w:rsidRPr="007263D7">
        <w:t>pone en riesgo la garantía del principio democrático, especialmente protegido por el Constituyente al establecer las consecuencias de la ausencia de validez de las actuaciones y la inexistencia de efectos de los actos adoptados, según lo señala el artículo</w:t>
      </w:r>
      <w:r w:rsidRPr="007263D7">
        <w:t xml:space="preserve"> 149 de la Constitución.</w:t>
      </w:r>
    </w:p>
    <w:p w14:paraId="2A632350" w14:textId="77777777" w:rsidR="007E3F82" w:rsidRPr="007263D7" w:rsidRDefault="007263D7" w:rsidP="000C4919">
      <w:pPr>
        <w:jc w:val="both"/>
        <w:rPr>
          <w:rFonts w:ascii="Times New Roman" w:hAnsi="Times New Roman" w:cs="Times New Roman"/>
          <w:sz w:val="28"/>
          <w:szCs w:val="28"/>
        </w:rPr>
      </w:pPr>
    </w:p>
    <w:p w14:paraId="384E8223" w14:textId="77777777" w:rsidR="007E3F82" w:rsidRPr="007263D7" w:rsidRDefault="007263D7" w:rsidP="000C4919">
      <w:pPr>
        <w:pStyle w:val="Prrafodelista"/>
        <w:numPr>
          <w:ilvl w:val="0"/>
          <w:numId w:val="4"/>
        </w:numPr>
        <w:ind w:left="0" w:firstLine="0"/>
      </w:pPr>
      <w:r w:rsidRPr="007263D7">
        <w:t xml:space="preserve">En esa misma línea, se explicó que declarar la inexequibilidad con efectos inmediatos o retroactivos no conlleva la desarticulación institucional ni afecta la garantía y efectividad de los principios y derechos a la igualdad y la </w:t>
      </w:r>
      <w:r w:rsidRPr="007263D7">
        <w:t>equidad, puesto que las funciones atribuidas al Ministerio creado podrían retornar a las autoridades que anteriormente las desempeñaban, y los órganos del sector, cuya dirección corresponde a dicho Ministerio, podrían reubicarse en sus anteriores dependenc</w:t>
      </w:r>
      <w:r w:rsidRPr="007263D7">
        <w:t>ias sin interrupción.</w:t>
      </w:r>
    </w:p>
    <w:p w14:paraId="7BA44814" w14:textId="77777777" w:rsidR="00F908ED" w:rsidRPr="007263D7" w:rsidRDefault="007263D7" w:rsidP="00F908ED">
      <w:pPr>
        <w:pStyle w:val="Prrafodelista"/>
      </w:pPr>
    </w:p>
    <w:p w14:paraId="0D79259A" w14:textId="6726F470" w:rsidR="00F908ED" w:rsidRPr="007263D7" w:rsidRDefault="007263D7" w:rsidP="000C4919">
      <w:pPr>
        <w:pStyle w:val="Prrafodelista"/>
        <w:numPr>
          <w:ilvl w:val="0"/>
          <w:numId w:val="4"/>
        </w:numPr>
        <w:ind w:left="0" w:firstLine="0"/>
      </w:pPr>
      <w:r w:rsidRPr="007263D7">
        <w:t>Para conocer con mayor detalle estos argumentos, se puede consultar el salvamento parcial de voto a la Sentencia C-161 de 2024 en el siguiente link:</w:t>
      </w:r>
    </w:p>
    <w:p w14:paraId="5D09A6ED" w14:textId="77777777" w:rsidR="00F908ED" w:rsidRPr="007263D7" w:rsidRDefault="007263D7" w:rsidP="00F908ED">
      <w:pPr>
        <w:pStyle w:val="Prrafodelista"/>
      </w:pPr>
    </w:p>
    <w:p w14:paraId="29D7F61E" w14:textId="571FB3F8" w:rsidR="00F908ED" w:rsidRPr="007263D7" w:rsidRDefault="007263D7" w:rsidP="00F908ED">
      <w:pPr>
        <w:pStyle w:val="Prrafodelista"/>
      </w:pPr>
      <w:hyperlink r:id="rId8" w:history="1">
        <w:r w:rsidRPr="007263D7">
          <w:rPr>
            <w:rStyle w:val="Hipervnculo"/>
          </w:rPr>
          <w:t>https://www.corteconstitucional.gov.co/relatoria/2024/c-161-24.htm</w:t>
        </w:r>
      </w:hyperlink>
      <w:r w:rsidRPr="007263D7">
        <w:t xml:space="preserve"> </w:t>
      </w:r>
    </w:p>
    <w:p w14:paraId="36E35CE5" w14:textId="77777777" w:rsidR="007E3F82" w:rsidRPr="007263D7" w:rsidRDefault="007263D7" w:rsidP="000C4919">
      <w:pPr>
        <w:jc w:val="both"/>
        <w:rPr>
          <w:rFonts w:ascii="Times New Roman" w:hAnsi="Times New Roman" w:cs="Times New Roman"/>
          <w:sz w:val="28"/>
          <w:szCs w:val="28"/>
          <w:lang w:val="es-ES"/>
        </w:rPr>
      </w:pPr>
    </w:p>
    <w:p w14:paraId="20C7AC18" w14:textId="2721E1E6" w:rsidR="000B5BD8" w:rsidRPr="007263D7" w:rsidRDefault="007263D7" w:rsidP="000C4919">
      <w:pPr>
        <w:jc w:val="both"/>
        <w:rPr>
          <w:rFonts w:ascii="Times New Roman" w:hAnsi="Times New Roman" w:cs="Times New Roman"/>
          <w:sz w:val="28"/>
          <w:szCs w:val="28"/>
        </w:rPr>
      </w:pPr>
    </w:p>
    <w:p w14:paraId="59E3EB7A" w14:textId="5B356D15" w:rsidR="000B5BD8" w:rsidRPr="007263D7" w:rsidRDefault="007263D7" w:rsidP="000C4919">
      <w:pPr>
        <w:jc w:val="both"/>
        <w:rPr>
          <w:rFonts w:ascii="Times New Roman" w:hAnsi="Times New Roman" w:cs="Times New Roman"/>
          <w:sz w:val="28"/>
          <w:szCs w:val="28"/>
        </w:rPr>
      </w:pPr>
    </w:p>
    <w:p w14:paraId="42B2AA20" w14:textId="297DB822" w:rsidR="000B5BD8" w:rsidRPr="007263D7" w:rsidRDefault="007263D7" w:rsidP="000B5BD8">
      <w:pPr>
        <w:jc w:val="center"/>
        <w:rPr>
          <w:rFonts w:ascii="Times New Roman" w:hAnsi="Times New Roman" w:cs="Times New Roman"/>
          <w:b/>
          <w:bCs/>
          <w:sz w:val="28"/>
          <w:szCs w:val="28"/>
        </w:rPr>
      </w:pPr>
      <w:r w:rsidRPr="007263D7">
        <w:rPr>
          <w:rFonts w:ascii="Times New Roman" w:hAnsi="Times New Roman" w:cs="Times New Roman"/>
          <w:b/>
          <w:bCs/>
          <w:sz w:val="28"/>
          <w:szCs w:val="28"/>
        </w:rPr>
        <w:t xml:space="preserve">JORGE ENRIQUE IBÁÑEZ NAJAR </w:t>
      </w:r>
    </w:p>
    <w:p w14:paraId="570DC086" w14:textId="1C021E74" w:rsidR="000B5BD8" w:rsidRPr="007263D7" w:rsidRDefault="007263D7" w:rsidP="000B5BD8">
      <w:pPr>
        <w:jc w:val="center"/>
        <w:rPr>
          <w:rFonts w:ascii="Times New Roman" w:hAnsi="Times New Roman" w:cs="Times New Roman"/>
          <w:b/>
          <w:bCs/>
          <w:sz w:val="28"/>
          <w:szCs w:val="28"/>
        </w:rPr>
      </w:pPr>
      <w:r w:rsidRPr="007263D7">
        <w:rPr>
          <w:rFonts w:ascii="Times New Roman" w:hAnsi="Times New Roman" w:cs="Times New Roman"/>
          <w:b/>
          <w:bCs/>
          <w:sz w:val="28"/>
          <w:szCs w:val="28"/>
        </w:rPr>
        <w:t>Magistrado</w:t>
      </w:r>
    </w:p>
    <w:sectPr w:rsidR="000B5BD8" w:rsidRPr="007263D7" w:rsidSect="007C7C6D">
      <w:footerReference w:type="default" r:id="rId9"/>
      <w:headerReference w:type="first" r:id="rId10"/>
      <w:footerReference w:type="first" r:id="rId11"/>
      <w:pgSz w:w="12240" w:h="18720"/>
      <w:pgMar w:top="851" w:right="1701" w:bottom="1701" w:left="1701" w:header="851"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197F9" w14:textId="77777777" w:rsidR="00FF324F" w:rsidRDefault="00FF324F">
      <w:r>
        <w:separator/>
      </w:r>
    </w:p>
  </w:endnote>
  <w:endnote w:type="continuationSeparator" w:id="0">
    <w:p w14:paraId="657A7A53" w14:textId="77777777" w:rsidR="00FF324F" w:rsidRDefault="00FF3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269699"/>
      <w:docPartObj>
        <w:docPartGallery w:val="Page Numbers (Bottom of Page)"/>
        <w:docPartUnique/>
      </w:docPartObj>
    </w:sdtPr>
    <w:sdtEndPr/>
    <w:sdtContent>
      <w:p w14:paraId="73639B34" w14:textId="77777777" w:rsidR="00770A25" w:rsidRDefault="00D6354C">
        <w:pPr>
          <w:pStyle w:val="Piedepgina"/>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p>
    </w:sdtContent>
  </w:sdt>
  <w:p w14:paraId="4F460A95" w14:textId="77777777" w:rsidR="00770A25" w:rsidRDefault="00770A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35" w:type="dxa"/>
      <w:tblLayout w:type="fixed"/>
      <w:tblLook w:val="06A0" w:firstRow="1" w:lastRow="0" w:firstColumn="1" w:lastColumn="0" w:noHBand="1" w:noVBand="1"/>
    </w:tblPr>
    <w:tblGrid>
      <w:gridCol w:w="2945"/>
      <w:gridCol w:w="2945"/>
      <w:gridCol w:w="2945"/>
    </w:tblGrid>
    <w:tr w:rsidR="00770A25" w14:paraId="64726025" w14:textId="77777777">
      <w:trPr>
        <w:trHeight w:val="300"/>
      </w:trPr>
      <w:tc>
        <w:tcPr>
          <w:tcW w:w="2945" w:type="dxa"/>
        </w:tcPr>
        <w:p w14:paraId="365F9D5E" w14:textId="77777777" w:rsidR="00770A25" w:rsidRDefault="00770A25">
          <w:pPr>
            <w:pStyle w:val="Encabezado"/>
            <w:widowControl w:val="0"/>
            <w:ind w:left="-115"/>
          </w:pPr>
        </w:p>
      </w:tc>
      <w:tc>
        <w:tcPr>
          <w:tcW w:w="2945" w:type="dxa"/>
        </w:tcPr>
        <w:p w14:paraId="0D24FBFD" w14:textId="77777777" w:rsidR="00770A25" w:rsidRDefault="00770A25">
          <w:pPr>
            <w:pStyle w:val="Encabezado"/>
            <w:widowControl w:val="0"/>
            <w:jc w:val="center"/>
          </w:pPr>
        </w:p>
      </w:tc>
      <w:tc>
        <w:tcPr>
          <w:tcW w:w="2945" w:type="dxa"/>
        </w:tcPr>
        <w:p w14:paraId="5EE3CE68" w14:textId="77777777" w:rsidR="00770A25" w:rsidRDefault="00770A25">
          <w:pPr>
            <w:pStyle w:val="Encabezado"/>
            <w:widowControl w:val="0"/>
            <w:ind w:right="-115"/>
            <w:jc w:val="right"/>
          </w:pPr>
        </w:p>
      </w:tc>
    </w:tr>
  </w:tbl>
  <w:p w14:paraId="12DF48A8" w14:textId="77777777" w:rsidR="00770A25" w:rsidRDefault="00770A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B5E28" w14:textId="77777777" w:rsidR="00FF324F" w:rsidRDefault="00FF324F">
      <w:pPr>
        <w:rPr>
          <w:sz w:val="12"/>
        </w:rPr>
      </w:pPr>
      <w:r>
        <w:separator/>
      </w:r>
    </w:p>
  </w:footnote>
  <w:footnote w:type="continuationSeparator" w:id="0">
    <w:p w14:paraId="73FF4AD0" w14:textId="77777777" w:rsidR="00FF324F" w:rsidRDefault="00FF324F">
      <w:pPr>
        <w:rPr>
          <w:sz w:val="12"/>
        </w:rPr>
      </w:pPr>
      <w:r>
        <w:continuationSeparator/>
      </w:r>
    </w:p>
  </w:footnote>
  <w:footnote w:id="1">
    <w:p w14:paraId="4AC00288" w14:textId="4B7D9273" w:rsidR="001017CD" w:rsidRPr="009F1CFF" w:rsidRDefault="001017CD">
      <w:pPr>
        <w:pStyle w:val="Textonotapie"/>
        <w:rPr>
          <w:color w:val="000000" w:themeColor="text1"/>
        </w:rPr>
      </w:pPr>
      <w:r w:rsidRPr="009F1CFF">
        <w:rPr>
          <w:rStyle w:val="Refdenotaalpie"/>
          <w:color w:val="000000" w:themeColor="text1"/>
        </w:rPr>
        <w:footnoteRef/>
      </w:r>
      <w:r w:rsidRPr="009F1CFF">
        <w:rPr>
          <w:color w:val="000000" w:themeColor="text1"/>
        </w:rPr>
        <w:t xml:space="preserve"> Expediente digital, </w:t>
      </w:r>
      <w:hyperlink r:id="rId1" w:tgtFrame="blank" w:history="1">
        <w:r w:rsidRPr="009F1CFF">
          <w:rPr>
            <w:rStyle w:val="Hipervnculo"/>
            <w:color w:val="000000" w:themeColor="text1"/>
            <w:u w:val="none"/>
          </w:rPr>
          <w:t xml:space="preserve">D0015683-Auto Mixto-(2024-10-02 18-50-41).pdf </w:t>
        </w:r>
      </w:hyperlink>
      <w:r w:rsidRPr="009F1CFF">
        <w:rPr>
          <w:color w:val="000000" w:themeColor="text1"/>
        </w:rPr>
        <w:t>.</w:t>
      </w:r>
    </w:p>
  </w:footnote>
  <w:footnote w:id="2">
    <w:p w14:paraId="3C971EDC" w14:textId="24197A13" w:rsidR="001017CD" w:rsidRPr="009F1CFF" w:rsidRDefault="001017CD" w:rsidP="00AC6DC8">
      <w:pPr>
        <w:pStyle w:val="Textonotapie"/>
        <w:jc w:val="both"/>
        <w:rPr>
          <w:color w:val="000000" w:themeColor="text1"/>
        </w:rPr>
      </w:pPr>
      <w:r w:rsidRPr="009F1CFF">
        <w:rPr>
          <w:rStyle w:val="Refdenotaalpie"/>
          <w:color w:val="000000" w:themeColor="text1"/>
        </w:rPr>
        <w:footnoteRef/>
      </w:r>
      <w:r w:rsidRPr="009F1CFF">
        <w:rPr>
          <w:color w:val="000000" w:themeColor="text1"/>
        </w:rPr>
        <w:t xml:space="preserve"> Expediente digital, </w:t>
      </w:r>
      <w:hyperlink r:id="rId2" w:tgtFrame="blank" w:history="1">
        <w:r w:rsidRPr="009F1CFF">
          <w:rPr>
            <w:rStyle w:val="Hipervnculo"/>
            <w:color w:val="000000" w:themeColor="text1"/>
            <w:u w:val="none"/>
          </w:rPr>
          <w:t xml:space="preserve">D0015683-Auto Mixto-(2024-07-23 12-51-03).pdf </w:t>
        </w:r>
      </w:hyperlink>
      <w:r w:rsidRPr="009F1CFF">
        <w:rPr>
          <w:color w:val="000000" w:themeColor="text1"/>
        </w:rPr>
        <w:t>. En esta providencia, la magistrada ponente también dispuso continuar con el proceso de constitucionalidad en relación con el cargo admitido y decretó algunas pruebas.</w:t>
      </w:r>
    </w:p>
  </w:footnote>
  <w:footnote w:id="3">
    <w:p w14:paraId="11C6102D" w14:textId="3501FA96" w:rsidR="001017CD" w:rsidRPr="009F1CFF" w:rsidRDefault="001017CD">
      <w:pPr>
        <w:pStyle w:val="Textonotapie"/>
        <w:rPr>
          <w:color w:val="000000" w:themeColor="text1"/>
        </w:rPr>
      </w:pPr>
      <w:r w:rsidRPr="009F1CFF">
        <w:rPr>
          <w:rStyle w:val="Refdenotaalpie"/>
          <w:color w:val="000000" w:themeColor="text1"/>
        </w:rPr>
        <w:footnoteRef/>
      </w:r>
      <w:r w:rsidRPr="009F1CFF">
        <w:rPr>
          <w:color w:val="000000" w:themeColor="text1"/>
        </w:rPr>
        <w:t xml:space="preserve"> Expediente digital, </w:t>
      </w:r>
      <w:hyperlink r:id="rId3" w:tgtFrame="blank" w:history="1">
        <w:r w:rsidRPr="009F1CFF">
          <w:rPr>
            <w:rStyle w:val="Hipervnculo"/>
            <w:color w:val="000000" w:themeColor="text1"/>
            <w:u w:val="none"/>
          </w:rPr>
          <w:t xml:space="preserve">D0015683-Auto Resuelve Recurso de Súplica-(2024-07-23 14-13-36).pdf </w:t>
        </w:r>
      </w:hyperlink>
      <w:r w:rsidRPr="009F1CFF">
        <w:rPr>
          <w:color w:val="000000" w:themeColor="text1"/>
        </w:rPr>
        <w:t>.</w:t>
      </w:r>
    </w:p>
  </w:footnote>
  <w:footnote w:id="4">
    <w:p w14:paraId="2F913533" w14:textId="3B42D4CE" w:rsidR="00EF34E2" w:rsidRPr="009F1CFF" w:rsidRDefault="00EF34E2">
      <w:pPr>
        <w:pStyle w:val="Textonotapie"/>
        <w:rPr>
          <w:color w:val="000000" w:themeColor="text1"/>
        </w:rPr>
      </w:pPr>
      <w:r w:rsidRPr="009F1CFF">
        <w:rPr>
          <w:rStyle w:val="Refdenotaalpie"/>
          <w:color w:val="000000" w:themeColor="text1"/>
        </w:rPr>
        <w:footnoteRef/>
      </w:r>
      <w:r w:rsidRPr="009F1CFF">
        <w:rPr>
          <w:color w:val="000000" w:themeColor="text1"/>
        </w:rPr>
        <w:t xml:space="preserve"> Expediente digital, </w:t>
      </w:r>
      <w:hyperlink r:id="rId4" w:tgtFrame="blank" w:history="1">
        <w:r w:rsidRPr="009F1CFF">
          <w:rPr>
            <w:rStyle w:val="Hipervnculo"/>
            <w:color w:val="000000" w:themeColor="text1"/>
            <w:u w:val="none"/>
          </w:rPr>
          <w:t xml:space="preserve">D0015683-Auto Ordena Pruebas-(2024-07-23 09-42-41).pdf </w:t>
        </w:r>
      </w:hyperlink>
      <w:r w:rsidRPr="009F1CFF">
        <w:rPr>
          <w:color w:val="000000" w:themeColor="text1"/>
        </w:rPr>
        <w:t>.</w:t>
      </w:r>
    </w:p>
  </w:footnote>
  <w:footnote w:id="5">
    <w:p w14:paraId="2D0DA7AB" w14:textId="6787CF70" w:rsidR="008764A3" w:rsidRPr="009F1CFF" w:rsidRDefault="008764A3" w:rsidP="00F52A2A">
      <w:pPr>
        <w:pStyle w:val="Textonotapie"/>
        <w:jc w:val="both"/>
        <w:rPr>
          <w:color w:val="000000" w:themeColor="text1"/>
        </w:rPr>
      </w:pPr>
      <w:r w:rsidRPr="009F1CFF">
        <w:rPr>
          <w:rStyle w:val="Refdenotaalpie"/>
          <w:color w:val="000000" w:themeColor="text1"/>
        </w:rPr>
        <w:footnoteRef/>
      </w:r>
      <w:r w:rsidR="1368FCFF" w:rsidRPr="009F1CFF">
        <w:rPr>
          <w:color w:val="000000" w:themeColor="text1"/>
        </w:rPr>
        <w:t xml:space="preserve"> En virtud de lo previsto en el artículo 174 del Código General del Proceso, según el cual </w:t>
      </w:r>
      <w:r w:rsidR="1368FCFF" w:rsidRPr="009F1CFF">
        <w:rPr>
          <w:rFonts w:eastAsia="Times New Roman"/>
          <w:color w:val="000000" w:themeColor="text1"/>
        </w:rPr>
        <w:t>“[l]as pruebas practicadas válidamente en un proceso podrán trasladarse a otro en copia y serán apreciadas sin más formalidades, siempre que en el proceso de origen se hubieren practicado a petición de la parte contra quien se aducen o con audiencia de ella. En caso contrario, deberá surtirse la contradicción en el proceso al que están destinadas. La misma regla se aplicará a las pruebas extraprocesales. || La valoración de las pruebas trasladadas o extraprocesales y la definición de sus consecuencias jurídicas corresponderán al juez ante quien se aduzcan”.</w:t>
      </w:r>
    </w:p>
  </w:footnote>
  <w:footnote w:id="6">
    <w:p w14:paraId="14C1B229" w14:textId="30F61363" w:rsidR="00770A25" w:rsidRPr="009F1CFF" w:rsidRDefault="00D6354C" w:rsidP="00F52A2A">
      <w:pPr>
        <w:pStyle w:val="Textonotapie"/>
        <w:jc w:val="both"/>
        <w:rPr>
          <w:color w:val="000000" w:themeColor="text1"/>
        </w:rPr>
      </w:pPr>
      <w:r w:rsidRPr="009F1CFF">
        <w:rPr>
          <w:rStyle w:val="Caracteresdenotaalpie"/>
          <w:color w:val="000000" w:themeColor="text1"/>
        </w:rPr>
        <w:footnoteRef/>
      </w:r>
      <w:r w:rsidR="1368FCFF" w:rsidRPr="009F1CFF">
        <w:rPr>
          <w:rFonts w:eastAsia="Times New Roman"/>
          <w:color w:val="000000" w:themeColor="text1"/>
        </w:rPr>
        <w:t xml:space="preserve"> La magistrada </w:t>
      </w:r>
      <w:r w:rsidR="001017CD" w:rsidRPr="009F1CFF">
        <w:rPr>
          <w:rFonts w:eastAsia="Times New Roman"/>
          <w:color w:val="000000" w:themeColor="text1"/>
        </w:rPr>
        <w:t xml:space="preserve">ponente </w:t>
      </w:r>
      <w:r w:rsidR="1368FCFF" w:rsidRPr="009F1CFF">
        <w:rPr>
          <w:rFonts w:eastAsia="Times New Roman"/>
          <w:color w:val="000000" w:themeColor="text1"/>
        </w:rPr>
        <w:t>invitó a participar al Observatorio Fiscal de la Pontificia Universidad Javeriana, a la Facultad de Derecho de la Universidad Externado de Colombia, a la Facultad de Derecho de la Universidad Nacional de Colombia, a la Escuela de Derecho de la Universidad EAFIT, a la Facultad de Derecho de la Universidad de Caldas, a la Facultad de Derecho de la Universidad de Antioquia, a la Facultad de Derecho de la Universidad del Norte y a la Facultad de Derecho de la Universidad de los Andes.</w:t>
      </w:r>
    </w:p>
  </w:footnote>
  <w:footnote w:id="7">
    <w:p w14:paraId="5EBD3B1A" w14:textId="284AF179" w:rsidR="00344FDD" w:rsidRPr="009F1CFF" w:rsidRDefault="00344FDD">
      <w:pPr>
        <w:pStyle w:val="Textonotapie"/>
        <w:rPr>
          <w:color w:val="000000" w:themeColor="text1"/>
        </w:rPr>
      </w:pPr>
      <w:r w:rsidRPr="009F1CFF">
        <w:rPr>
          <w:rStyle w:val="Refdenotaalpie"/>
          <w:color w:val="000000" w:themeColor="text1"/>
        </w:rPr>
        <w:footnoteRef/>
      </w:r>
      <w:r w:rsidRPr="009F1CFF">
        <w:rPr>
          <w:color w:val="000000" w:themeColor="text1"/>
        </w:rPr>
        <w:t xml:space="preserve"> Expediente digital, </w:t>
      </w:r>
      <w:hyperlink r:id="rId5" w:tgtFrame="blank" w:history="1">
        <w:r w:rsidRPr="009F1CFF">
          <w:rPr>
            <w:rStyle w:val="Hipervnculo"/>
            <w:color w:val="000000" w:themeColor="text1"/>
            <w:u w:val="none"/>
          </w:rPr>
          <w:t xml:space="preserve">D0015683-Presentación Demanda-(2024-01-13 21-18-26).pdf </w:t>
        </w:r>
      </w:hyperlink>
      <w:r w:rsidRPr="009F1CFF">
        <w:rPr>
          <w:color w:val="000000" w:themeColor="text1"/>
        </w:rPr>
        <w:t>.</w:t>
      </w:r>
    </w:p>
  </w:footnote>
  <w:footnote w:id="8">
    <w:p w14:paraId="65DC9B52" w14:textId="77777777" w:rsidR="00770A25" w:rsidRPr="009F1CFF" w:rsidRDefault="00D6354C" w:rsidP="00F52A2A">
      <w:pPr>
        <w:pStyle w:val="Textonotapie"/>
        <w:jc w:val="both"/>
        <w:rPr>
          <w:color w:val="000000" w:themeColor="text1"/>
        </w:rPr>
      </w:pPr>
      <w:r w:rsidRPr="009F1CFF">
        <w:rPr>
          <w:rStyle w:val="Caracteresdenotaalpie"/>
          <w:color w:val="000000" w:themeColor="text1"/>
        </w:rPr>
        <w:footnoteRef/>
      </w:r>
      <w:r w:rsidRPr="009F1CFF">
        <w:rPr>
          <w:rFonts w:eastAsia="Times New Roman"/>
          <w:color w:val="000000" w:themeColor="text1"/>
        </w:rPr>
        <w:t xml:space="preserve"> Gaceta del Congreso n.° 1273, p. 9.</w:t>
      </w:r>
    </w:p>
  </w:footnote>
  <w:footnote w:id="9">
    <w:p w14:paraId="08E03D0F" w14:textId="2647CEF2" w:rsidR="1F8BB3B4" w:rsidRPr="009F1CFF" w:rsidRDefault="1F8BB3B4" w:rsidP="00F52A2A">
      <w:pPr>
        <w:pStyle w:val="Textonotapie"/>
        <w:jc w:val="both"/>
        <w:rPr>
          <w:rFonts w:eastAsia="Times New Roman"/>
          <w:color w:val="000000" w:themeColor="text1"/>
        </w:rPr>
      </w:pPr>
      <w:r w:rsidRPr="009F1CFF">
        <w:rPr>
          <w:rStyle w:val="Refdenotaalpie"/>
          <w:rFonts w:eastAsia="Times New Roman"/>
          <w:color w:val="000000" w:themeColor="text1"/>
        </w:rPr>
        <w:footnoteRef/>
      </w:r>
      <w:r w:rsidR="1368FCFF" w:rsidRPr="009F1CFF">
        <w:rPr>
          <w:rFonts w:eastAsia="Times New Roman"/>
          <w:color w:val="000000" w:themeColor="text1"/>
        </w:rPr>
        <w:t xml:space="preserve"> Expediente digital, </w:t>
      </w:r>
      <w:hyperlink r:id="rId6" w:tgtFrame="blank" w:history="1">
        <w:r w:rsidR="00344FDD" w:rsidRPr="009F1CFF">
          <w:rPr>
            <w:rStyle w:val="Hipervnculo"/>
            <w:color w:val="000000" w:themeColor="text1"/>
            <w:u w:val="none"/>
          </w:rPr>
          <w:t xml:space="preserve">D0015683-Conceptos e Intervenciones-(2024-10-09 15-37-04).pdf </w:t>
        </w:r>
      </w:hyperlink>
      <w:r w:rsidR="00344FDD" w:rsidRPr="009F1CFF">
        <w:rPr>
          <w:color w:val="000000" w:themeColor="text1"/>
        </w:rPr>
        <w:t xml:space="preserve">, </w:t>
      </w:r>
      <w:r w:rsidR="1368FCFF" w:rsidRPr="009F1CFF">
        <w:rPr>
          <w:rFonts w:eastAsia="Times New Roman"/>
          <w:color w:val="000000" w:themeColor="text1"/>
        </w:rPr>
        <w:t>p</w:t>
      </w:r>
      <w:r w:rsidR="00344FDD" w:rsidRPr="009F1CFF">
        <w:rPr>
          <w:rFonts w:eastAsia="Times New Roman"/>
          <w:color w:val="000000" w:themeColor="text1"/>
        </w:rPr>
        <w:t>p</w:t>
      </w:r>
      <w:r w:rsidR="1368FCFF" w:rsidRPr="009F1CFF">
        <w:rPr>
          <w:rFonts w:eastAsia="Times New Roman"/>
          <w:color w:val="000000" w:themeColor="text1"/>
        </w:rPr>
        <w:t>. 1-2.</w:t>
      </w:r>
    </w:p>
  </w:footnote>
  <w:footnote w:id="10">
    <w:p w14:paraId="77F60D9F" w14:textId="062E2E2C" w:rsidR="1368FCFF" w:rsidRPr="009F1CFF" w:rsidRDefault="1368FCFF" w:rsidP="00F52A2A">
      <w:pPr>
        <w:pStyle w:val="Textonotapie"/>
        <w:jc w:val="both"/>
        <w:rPr>
          <w:rFonts w:eastAsia="Times New Roman"/>
          <w:color w:val="000000" w:themeColor="text1"/>
        </w:rPr>
      </w:pPr>
      <w:r w:rsidRPr="009F1CFF">
        <w:rPr>
          <w:rStyle w:val="Refdenotaalpie"/>
          <w:color w:val="000000" w:themeColor="text1"/>
        </w:rPr>
        <w:footnoteRef/>
      </w:r>
      <w:r w:rsidRPr="009F1CFF">
        <w:rPr>
          <w:color w:val="000000" w:themeColor="text1"/>
        </w:rPr>
        <w:t xml:space="preserve"> </w:t>
      </w:r>
      <w:r w:rsidRPr="009F1CFF">
        <w:rPr>
          <w:rFonts w:eastAsia="Times New Roman"/>
          <w:color w:val="000000" w:themeColor="text1"/>
        </w:rPr>
        <w:t xml:space="preserve">Expediente digital, </w:t>
      </w:r>
      <w:hyperlink r:id="rId7" w:tgtFrame="blank" w:history="1">
        <w:r w:rsidR="00344FDD" w:rsidRPr="009F1CFF">
          <w:rPr>
            <w:rStyle w:val="Hipervnculo"/>
            <w:color w:val="000000" w:themeColor="text1"/>
            <w:u w:val="none"/>
          </w:rPr>
          <w:t xml:space="preserve">D0015683-Conceptos e Intervenciones-(2024-10-11 12-09-38).pdf </w:t>
        </w:r>
      </w:hyperlink>
      <w:r w:rsidRPr="009F1CFF">
        <w:rPr>
          <w:rFonts w:eastAsia="Times New Roman"/>
          <w:color w:val="000000" w:themeColor="text1"/>
        </w:rPr>
        <w:t>, p</w:t>
      </w:r>
      <w:r w:rsidR="00344FDD" w:rsidRPr="009F1CFF">
        <w:rPr>
          <w:rFonts w:eastAsia="Times New Roman"/>
          <w:color w:val="000000" w:themeColor="text1"/>
        </w:rPr>
        <w:t>p</w:t>
      </w:r>
      <w:r w:rsidRPr="009F1CFF">
        <w:rPr>
          <w:rFonts w:eastAsia="Times New Roman"/>
          <w:color w:val="000000" w:themeColor="text1"/>
        </w:rPr>
        <w:t>. 1-2.</w:t>
      </w:r>
    </w:p>
  </w:footnote>
  <w:footnote w:id="11">
    <w:p w14:paraId="45DC2B37" w14:textId="2DBAC030" w:rsidR="1368FCFF" w:rsidRPr="009F1CFF" w:rsidRDefault="1368FCFF" w:rsidP="00F52A2A">
      <w:pPr>
        <w:pStyle w:val="Textonotapie"/>
        <w:jc w:val="both"/>
        <w:rPr>
          <w:rFonts w:eastAsia="Times New Roman"/>
          <w:color w:val="000000" w:themeColor="text1"/>
        </w:rPr>
      </w:pPr>
      <w:r w:rsidRPr="009F1CFF">
        <w:rPr>
          <w:rStyle w:val="Refdenotaalpie"/>
          <w:color w:val="000000" w:themeColor="text1"/>
        </w:rPr>
        <w:footnoteRef/>
      </w:r>
      <w:r w:rsidRPr="009F1CFF">
        <w:rPr>
          <w:color w:val="000000" w:themeColor="text1"/>
        </w:rPr>
        <w:t xml:space="preserve"> </w:t>
      </w:r>
      <w:r w:rsidRPr="009F1CFF">
        <w:rPr>
          <w:rFonts w:eastAsia="Times New Roman"/>
          <w:color w:val="000000" w:themeColor="text1"/>
        </w:rPr>
        <w:t>Expediente digital,</w:t>
      </w:r>
      <w:r w:rsidR="00344FDD" w:rsidRPr="009F1CFF">
        <w:rPr>
          <w:rFonts w:eastAsia="Times New Roman"/>
          <w:color w:val="000000" w:themeColor="text1"/>
        </w:rPr>
        <w:t xml:space="preserve"> </w:t>
      </w:r>
      <w:hyperlink r:id="rId8" w:tgtFrame="blank" w:history="1">
        <w:r w:rsidR="00344FDD" w:rsidRPr="009F1CFF">
          <w:rPr>
            <w:rStyle w:val="Hipervnculo"/>
            <w:color w:val="000000" w:themeColor="text1"/>
            <w:u w:val="none"/>
          </w:rPr>
          <w:t xml:space="preserve">D0015683-Conceptos e Intervenciones-(2024-10-14 11-27-27).pdf </w:t>
        </w:r>
      </w:hyperlink>
      <w:r w:rsidRPr="009F1CFF">
        <w:rPr>
          <w:rFonts w:eastAsia="Times New Roman"/>
          <w:color w:val="000000" w:themeColor="text1"/>
        </w:rPr>
        <w:t>, p</w:t>
      </w:r>
      <w:r w:rsidR="00344FDD" w:rsidRPr="009F1CFF">
        <w:rPr>
          <w:rFonts w:eastAsia="Times New Roman"/>
          <w:color w:val="000000" w:themeColor="text1"/>
        </w:rPr>
        <w:t>p</w:t>
      </w:r>
      <w:r w:rsidRPr="009F1CFF">
        <w:rPr>
          <w:rFonts w:eastAsia="Times New Roman"/>
          <w:color w:val="000000" w:themeColor="text1"/>
        </w:rPr>
        <w:t>. 1-5.</w:t>
      </w:r>
    </w:p>
  </w:footnote>
  <w:footnote w:id="12">
    <w:p w14:paraId="56D40D9F" w14:textId="706BB89E" w:rsidR="1368FCFF" w:rsidRPr="009F1CFF" w:rsidRDefault="1368FCFF" w:rsidP="00F52A2A">
      <w:pPr>
        <w:pStyle w:val="Textonotapie"/>
        <w:jc w:val="both"/>
        <w:rPr>
          <w:rFonts w:eastAsia="Times New Roman"/>
          <w:color w:val="000000" w:themeColor="text1"/>
        </w:rPr>
      </w:pPr>
      <w:r w:rsidRPr="009F1CFF">
        <w:rPr>
          <w:rStyle w:val="Refdenotaalpie"/>
          <w:color w:val="000000" w:themeColor="text1"/>
        </w:rPr>
        <w:footnoteRef/>
      </w:r>
      <w:r w:rsidRPr="009F1CFF">
        <w:rPr>
          <w:color w:val="000000" w:themeColor="text1"/>
        </w:rPr>
        <w:t xml:space="preserve"> </w:t>
      </w:r>
      <w:r w:rsidRPr="009F1CFF">
        <w:rPr>
          <w:rFonts w:eastAsia="Times New Roman"/>
          <w:color w:val="000000" w:themeColor="text1"/>
        </w:rPr>
        <w:t>Expediente digital,</w:t>
      </w:r>
      <w:r w:rsidR="00344FDD" w:rsidRPr="009F1CFF">
        <w:rPr>
          <w:rFonts w:eastAsia="Times New Roman"/>
          <w:color w:val="000000" w:themeColor="text1"/>
        </w:rPr>
        <w:t xml:space="preserve"> </w:t>
      </w:r>
      <w:hyperlink r:id="rId9" w:tgtFrame="blank" w:history="1">
        <w:r w:rsidR="00344FDD" w:rsidRPr="009F1CFF">
          <w:rPr>
            <w:rStyle w:val="Hipervnculo"/>
            <w:color w:val="000000" w:themeColor="text1"/>
            <w:u w:val="none"/>
          </w:rPr>
          <w:t xml:space="preserve">D0015683-Conceptos e Intervenciones-(2024-10-14 13-27-06).pdf </w:t>
        </w:r>
      </w:hyperlink>
      <w:r w:rsidR="00344FDD" w:rsidRPr="009F1CFF">
        <w:rPr>
          <w:color w:val="000000" w:themeColor="text1"/>
        </w:rPr>
        <w:t>,</w:t>
      </w:r>
      <w:r w:rsidRPr="009F1CFF">
        <w:rPr>
          <w:rFonts w:eastAsia="Times New Roman"/>
          <w:color w:val="000000" w:themeColor="text1"/>
        </w:rPr>
        <w:t xml:space="preserve"> p</w:t>
      </w:r>
      <w:r w:rsidR="00344FDD" w:rsidRPr="009F1CFF">
        <w:rPr>
          <w:rFonts w:eastAsia="Times New Roman"/>
          <w:color w:val="000000" w:themeColor="text1"/>
        </w:rPr>
        <w:t>p</w:t>
      </w:r>
      <w:r w:rsidRPr="009F1CFF">
        <w:rPr>
          <w:rFonts w:eastAsia="Times New Roman"/>
          <w:color w:val="000000" w:themeColor="text1"/>
        </w:rPr>
        <w:t>. 1-6.</w:t>
      </w:r>
    </w:p>
  </w:footnote>
  <w:footnote w:id="13">
    <w:p w14:paraId="07A401D7" w14:textId="6F9674AA" w:rsidR="1368FCFF" w:rsidRPr="009F1CFF" w:rsidRDefault="1368FCFF" w:rsidP="00F52A2A">
      <w:pPr>
        <w:pStyle w:val="Textonotapie"/>
        <w:jc w:val="both"/>
        <w:rPr>
          <w:rFonts w:eastAsia="Times New Roman"/>
          <w:color w:val="000000" w:themeColor="text1"/>
        </w:rPr>
      </w:pPr>
      <w:r w:rsidRPr="009F1CFF">
        <w:rPr>
          <w:rStyle w:val="Refdenotaalpie"/>
          <w:color w:val="000000" w:themeColor="text1"/>
        </w:rPr>
        <w:footnoteRef/>
      </w:r>
      <w:r w:rsidRPr="009F1CFF">
        <w:rPr>
          <w:color w:val="000000" w:themeColor="text1"/>
        </w:rPr>
        <w:t xml:space="preserve"> </w:t>
      </w:r>
      <w:r w:rsidRPr="009F1CFF">
        <w:rPr>
          <w:rFonts w:eastAsia="Times New Roman"/>
          <w:color w:val="000000" w:themeColor="text1"/>
        </w:rPr>
        <w:t>Expediente digital,</w:t>
      </w:r>
      <w:r w:rsidR="00F714B6" w:rsidRPr="009F1CFF">
        <w:rPr>
          <w:rFonts w:eastAsia="Times New Roman"/>
          <w:color w:val="000000" w:themeColor="text1"/>
        </w:rPr>
        <w:t xml:space="preserve"> </w:t>
      </w:r>
      <w:hyperlink r:id="rId10" w:tgtFrame="blank" w:history="1">
        <w:r w:rsidR="00F714B6" w:rsidRPr="009F1CFF">
          <w:rPr>
            <w:rStyle w:val="Hipervnculo"/>
            <w:color w:val="000000" w:themeColor="text1"/>
            <w:u w:val="none"/>
          </w:rPr>
          <w:t xml:space="preserve">D0015683-Conceptos e Intervenciones-(2024-10-16 19-29-44).pdf </w:t>
        </w:r>
      </w:hyperlink>
      <w:r w:rsidR="00F714B6" w:rsidRPr="009F1CFF">
        <w:rPr>
          <w:color w:val="000000" w:themeColor="text1"/>
        </w:rPr>
        <w:t>,</w:t>
      </w:r>
      <w:r w:rsidRPr="009F1CFF">
        <w:rPr>
          <w:rFonts w:eastAsia="Times New Roman"/>
          <w:color w:val="000000" w:themeColor="text1"/>
        </w:rPr>
        <w:t xml:space="preserve"> p</w:t>
      </w:r>
      <w:r w:rsidR="00F714B6" w:rsidRPr="009F1CFF">
        <w:rPr>
          <w:rFonts w:eastAsia="Times New Roman"/>
          <w:color w:val="000000" w:themeColor="text1"/>
        </w:rPr>
        <w:t>p</w:t>
      </w:r>
      <w:r w:rsidRPr="009F1CFF">
        <w:rPr>
          <w:rFonts w:eastAsia="Times New Roman"/>
          <w:color w:val="000000" w:themeColor="text1"/>
        </w:rPr>
        <w:t>. 1-6.</w:t>
      </w:r>
    </w:p>
  </w:footnote>
  <w:footnote w:id="14">
    <w:p w14:paraId="7AAE2E04" w14:textId="5F34A08D" w:rsidR="1368FCFF" w:rsidRPr="009F1CFF" w:rsidRDefault="1368FCFF" w:rsidP="00F52A2A">
      <w:pPr>
        <w:pStyle w:val="Textonotapie"/>
        <w:jc w:val="both"/>
        <w:rPr>
          <w:rFonts w:eastAsia="Times New Roman"/>
          <w:color w:val="000000" w:themeColor="text1"/>
        </w:rPr>
      </w:pPr>
      <w:r w:rsidRPr="009F1CFF">
        <w:rPr>
          <w:rStyle w:val="Refdenotaalpie"/>
          <w:color w:val="000000" w:themeColor="text1"/>
        </w:rPr>
        <w:footnoteRef/>
      </w:r>
      <w:r w:rsidRPr="009F1CFF">
        <w:rPr>
          <w:color w:val="000000" w:themeColor="text1"/>
        </w:rPr>
        <w:t xml:space="preserve"> </w:t>
      </w:r>
      <w:r w:rsidRPr="009F1CFF">
        <w:rPr>
          <w:rFonts w:eastAsia="Times New Roman"/>
          <w:color w:val="000000" w:themeColor="text1"/>
        </w:rPr>
        <w:t>Expediente digita</w:t>
      </w:r>
      <w:r w:rsidR="00CB1B88" w:rsidRPr="009F1CFF">
        <w:rPr>
          <w:rFonts w:eastAsia="Times New Roman"/>
          <w:color w:val="000000" w:themeColor="text1"/>
        </w:rPr>
        <w:t xml:space="preserve">, </w:t>
      </w:r>
      <w:hyperlink r:id="rId11" w:tgtFrame="blank" w:history="1">
        <w:r w:rsidR="00CB1B88" w:rsidRPr="009F1CFF">
          <w:rPr>
            <w:rStyle w:val="Hipervnculo"/>
            <w:color w:val="000000" w:themeColor="text1"/>
            <w:u w:val="none"/>
          </w:rPr>
          <w:t xml:space="preserve">D0015683-Conceptos e Intervenciones-(2024-10-18 16-45-25).pdf </w:t>
        </w:r>
      </w:hyperlink>
      <w:r w:rsidR="00CB1B88" w:rsidRPr="009F1CFF">
        <w:rPr>
          <w:color w:val="000000" w:themeColor="text1"/>
        </w:rPr>
        <w:t xml:space="preserve">, </w:t>
      </w:r>
      <w:r w:rsidRPr="009F1CFF">
        <w:rPr>
          <w:rFonts w:eastAsia="Times New Roman"/>
          <w:color w:val="000000" w:themeColor="text1"/>
        </w:rPr>
        <w:t>p</w:t>
      </w:r>
      <w:r w:rsidR="00CB1B88" w:rsidRPr="009F1CFF">
        <w:rPr>
          <w:rFonts w:eastAsia="Times New Roman"/>
          <w:color w:val="000000" w:themeColor="text1"/>
        </w:rPr>
        <w:t>p</w:t>
      </w:r>
      <w:r w:rsidRPr="009F1CFF">
        <w:rPr>
          <w:rFonts w:eastAsia="Times New Roman"/>
          <w:color w:val="000000" w:themeColor="text1"/>
        </w:rPr>
        <w:t>. 1-4.</w:t>
      </w:r>
    </w:p>
  </w:footnote>
  <w:footnote w:id="15">
    <w:p w14:paraId="2CA16FA8" w14:textId="3C42575D" w:rsidR="1368FCFF" w:rsidRPr="009F1CFF" w:rsidRDefault="1368FCFF" w:rsidP="00F52A2A">
      <w:pPr>
        <w:pStyle w:val="Textonotapie"/>
        <w:jc w:val="both"/>
        <w:rPr>
          <w:rFonts w:eastAsia="Times New Roman"/>
          <w:color w:val="000000" w:themeColor="text1"/>
        </w:rPr>
      </w:pPr>
      <w:r w:rsidRPr="009F1CFF">
        <w:rPr>
          <w:rStyle w:val="Refdenotaalpie"/>
          <w:color w:val="000000" w:themeColor="text1"/>
        </w:rPr>
        <w:footnoteRef/>
      </w:r>
      <w:r w:rsidRPr="009F1CFF">
        <w:rPr>
          <w:color w:val="000000" w:themeColor="text1"/>
        </w:rPr>
        <w:t xml:space="preserve"> </w:t>
      </w:r>
      <w:r w:rsidRPr="009F1CFF">
        <w:rPr>
          <w:rFonts w:eastAsia="Times New Roman"/>
          <w:color w:val="000000" w:themeColor="text1"/>
        </w:rPr>
        <w:t>Expediente digital,</w:t>
      </w:r>
      <w:r w:rsidR="00CB1B88" w:rsidRPr="009F1CFF">
        <w:rPr>
          <w:rFonts w:eastAsia="Times New Roman"/>
          <w:color w:val="000000" w:themeColor="text1"/>
        </w:rPr>
        <w:t xml:space="preserve"> </w:t>
      </w:r>
      <w:hyperlink r:id="rId12" w:tgtFrame="blank" w:history="1">
        <w:r w:rsidR="00CB1B88" w:rsidRPr="009F1CFF">
          <w:rPr>
            <w:rStyle w:val="Hipervnculo"/>
            <w:color w:val="000000" w:themeColor="text1"/>
            <w:u w:val="none"/>
          </w:rPr>
          <w:t xml:space="preserve">D0015683-Conceptos e Intervenciones-(2024-10-16 11-01-06).pdf </w:t>
        </w:r>
      </w:hyperlink>
      <w:r w:rsidR="00CB1B88" w:rsidRPr="009F1CFF">
        <w:rPr>
          <w:color w:val="000000" w:themeColor="text1"/>
        </w:rPr>
        <w:t>,</w:t>
      </w:r>
      <w:r w:rsidRPr="009F1CFF">
        <w:rPr>
          <w:rFonts w:eastAsia="Times New Roman"/>
          <w:color w:val="000000" w:themeColor="text1"/>
        </w:rPr>
        <w:t xml:space="preserve"> p</w:t>
      </w:r>
      <w:r w:rsidR="00CB1B88" w:rsidRPr="009F1CFF">
        <w:rPr>
          <w:rFonts w:eastAsia="Times New Roman"/>
          <w:color w:val="000000" w:themeColor="text1"/>
        </w:rPr>
        <w:t>p</w:t>
      </w:r>
      <w:r w:rsidRPr="009F1CFF">
        <w:rPr>
          <w:rFonts w:eastAsia="Times New Roman"/>
          <w:color w:val="000000" w:themeColor="text1"/>
        </w:rPr>
        <w:t>. 1-11.</w:t>
      </w:r>
    </w:p>
  </w:footnote>
  <w:footnote w:id="16">
    <w:p w14:paraId="31AF30B7" w14:textId="77777777" w:rsidR="00C23E65" w:rsidRPr="009F1CFF" w:rsidRDefault="00C23E65" w:rsidP="00C23E65">
      <w:pPr>
        <w:pStyle w:val="Textonotapie"/>
        <w:jc w:val="both"/>
        <w:rPr>
          <w:rFonts w:eastAsia="Times New Roman"/>
          <w:color w:val="000000" w:themeColor="text1"/>
        </w:rPr>
      </w:pPr>
      <w:r w:rsidRPr="009F1CFF">
        <w:rPr>
          <w:rStyle w:val="Refdenotaalpie"/>
          <w:color w:val="000000" w:themeColor="text1"/>
        </w:rPr>
        <w:footnoteRef/>
      </w:r>
      <w:r w:rsidRPr="009F1CFF">
        <w:rPr>
          <w:color w:val="000000" w:themeColor="text1"/>
        </w:rPr>
        <w:t xml:space="preserve"> </w:t>
      </w:r>
      <w:r w:rsidRPr="009F1CFF">
        <w:rPr>
          <w:rFonts w:eastAsia="Times New Roman"/>
          <w:color w:val="000000" w:themeColor="text1"/>
        </w:rPr>
        <w:t xml:space="preserve">Expediente digital, </w:t>
      </w:r>
      <w:hyperlink r:id="rId13" w:tgtFrame="blank" w:history="1">
        <w:r w:rsidRPr="009F1CFF">
          <w:rPr>
            <w:rStyle w:val="Hipervnculo"/>
            <w:color w:val="000000" w:themeColor="text1"/>
            <w:u w:val="none"/>
          </w:rPr>
          <w:t xml:space="preserve">D0015683-Conceptos e Intervenciones-(2024-10-18 01-05-16).pdf </w:t>
        </w:r>
      </w:hyperlink>
      <w:r w:rsidRPr="009F1CFF">
        <w:rPr>
          <w:color w:val="000000" w:themeColor="text1"/>
        </w:rPr>
        <w:t>,</w:t>
      </w:r>
      <w:r w:rsidRPr="009F1CFF">
        <w:rPr>
          <w:rFonts w:eastAsia="Times New Roman"/>
          <w:color w:val="000000" w:themeColor="text1"/>
        </w:rPr>
        <w:t xml:space="preserve"> pp. 1-7.</w:t>
      </w:r>
    </w:p>
  </w:footnote>
  <w:footnote w:id="17">
    <w:p w14:paraId="28ECB99E" w14:textId="77777777" w:rsidR="00C23E65" w:rsidRPr="009F1CFF" w:rsidRDefault="00C23E65" w:rsidP="00C23E65">
      <w:pPr>
        <w:jc w:val="both"/>
        <w:rPr>
          <w:rFonts w:ascii="Times New Roman" w:eastAsia="Times New Roman" w:hAnsi="Times New Roman" w:cs="Times New Roman"/>
          <w:color w:val="000000" w:themeColor="text1"/>
          <w:sz w:val="20"/>
          <w:szCs w:val="20"/>
        </w:rPr>
      </w:pPr>
      <w:r w:rsidRPr="009F1CFF">
        <w:rPr>
          <w:rStyle w:val="Caracteresdenotaalpie"/>
          <w:rFonts w:ascii="Times New Roman" w:hAnsi="Times New Roman" w:cs="Times New Roman"/>
          <w:color w:val="000000" w:themeColor="text1"/>
          <w:sz w:val="20"/>
          <w:szCs w:val="20"/>
        </w:rPr>
        <w:footnoteRef/>
      </w:r>
      <w:r w:rsidRPr="009F1CFF">
        <w:rPr>
          <w:rFonts w:ascii="Times New Roman" w:eastAsia="Times New Roman" w:hAnsi="Times New Roman" w:cs="Times New Roman"/>
          <w:color w:val="000000" w:themeColor="text1"/>
          <w:sz w:val="20"/>
          <w:szCs w:val="20"/>
        </w:rPr>
        <w:t xml:space="preserve"> </w:t>
      </w:r>
      <w:r w:rsidRPr="009F1CFF">
        <w:rPr>
          <w:rFonts w:ascii="Times New Roman" w:eastAsia="Times New Roman" w:hAnsi="Times New Roman" w:cs="Times New Roman"/>
          <w:i/>
          <w:iCs/>
          <w:color w:val="000000" w:themeColor="text1"/>
          <w:sz w:val="20"/>
          <w:szCs w:val="20"/>
        </w:rPr>
        <w:t>Ibidem</w:t>
      </w:r>
      <w:r w:rsidRPr="009F1CFF">
        <w:rPr>
          <w:rFonts w:ascii="Times New Roman" w:eastAsia="Times New Roman" w:hAnsi="Times New Roman" w:cs="Times New Roman"/>
          <w:color w:val="000000" w:themeColor="text1"/>
          <w:sz w:val="20"/>
          <w:szCs w:val="20"/>
        </w:rPr>
        <w:t>, p. 6.</w:t>
      </w:r>
    </w:p>
  </w:footnote>
  <w:footnote w:id="18">
    <w:p w14:paraId="0BE369C8" w14:textId="581E55CA" w:rsidR="1368FCFF" w:rsidRPr="009F1CFF" w:rsidRDefault="1368FCFF" w:rsidP="00F52A2A">
      <w:pPr>
        <w:pStyle w:val="Textonotapie"/>
        <w:jc w:val="both"/>
        <w:rPr>
          <w:rFonts w:eastAsia="Times New Roman"/>
          <w:color w:val="000000" w:themeColor="text1"/>
        </w:rPr>
      </w:pPr>
      <w:r w:rsidRPr="009F1CFF">
        <w:rPr>
          <w:rStyle w:val="Refdenotaalpie"/>
          <w:color w:val="000000" w:themeColor="text1"/>
        </w:rPr>
        <w:footnoteRef/>
      </w:r>
      <w:r w:rsidRPr="009F1CFF">
        <w:rPr>
          <w:color w:val="000000" w:themeColor="text1"/>
        </w:rPr>
        <w:t xml:space="preserve"> </w:t>
      </w:r>
      <w:r w:rsidRPr="009F1CFF">
        <w:rPr>
          <w:rFonts w:eastAsia="Times New Roman"/>
          <w:color w:val="000000" w:themeColor="text1"/>
        </w:rPr>
        <w:t>Expediente digital,</w:t>
      </w:r>
      <w:r w:rsidR="000E005C" w:rsidRPr="009F1CFF">
        <w:rPr>
          <w:rFonts w:eastAsia="Times New Roman"/>
          <w:color w:val="000000" w:themeColor="text1"/>
        </w:rPr>
        <w:t xml:space="preserve"> </w:t>
      </w:r>
      <w:hyperlink r:id="rId14" w:tgtFrame="blank" w:history="1">
        <w:r w:rsidR="000E005C" w:rsidRPr="009F1CFF">
          <w:rPr>
            <w:rStyle w:val="Hipervnculo"/>
            <w:color w:val="000000" w:themeColor="text1"/>
            <w:u w:val="none"/>
          </w:rPr>
          <w:t xml:space="preserve">D0015683-Concepto del Procurador General de la Nación-(2024-11-13 14-20-29).pdf </w:t>
        </w:r>
      </w:hyperlink>
      <w:r w:rsidR="000E005C" w:rsidRPr="009F1CFF">
        <w:rPr>
          <w:color w:val="000000" w:themeColor="text1"/>
        </w:rPr>
        <w:t>,</w:t>
      </w:r>
      <w:r w:rsidRPr="009F1CFF">
        <w:rPr>
          <w:rFonts w:eastAsia="Times New Roman"/>
          <w:color w:val="000000" w:themeColor="text1"/>
        </w:rPr>
        <w:t xml:space="preserve"> p</w:t>
      </w:r>
      <w:r w:rsidR="000E005C" w:rsidRPr="009F1CFF">
        <w:rPr>
          <w:rFonts w:eastAsia="Times New Roman"/>
          <w:color w:val="000000" w:themeColor="text1"/>
        </w:rPr>
        <w:t>p</w:t>
      </w:r>
      <w:r w:rsidRPr="009F1CFF">
        <w:rPr>
          <w:rFonts w:eastAsia="Times New Roman"/>
          <w:color w:val="000000" w:themeColor="text1"/>
        </w:rPr>
        <w:t>. 1-3.</w:t>
      </w:r>
    </w:p>
  </w:footnote>
  <w:footnote w:id="19">
    <w:p w14:paraId="61C2F2E3" w14:textId="76FBA32A" w:rsidR="00CA2AED" w:rsidRPr="009F1CFF" w:rsidRDefault="00CA2AED">
      <w:pPr>
        <w:pStyle w:val="Textonotapie"/>
        <w:rPr>
          <w:lang w:val="es-CO"/>
        </w:rPr>
      </w:pPr>
      <w:r w:rsidRPr="009F1CFF">
        <w:rPr>
          <w:rStyle w:val="Refdenotaalpie"/>
        </w:rPr>
        <w:footnoteRef/>
      </w:r>
      <w:r w:rsidRPr="009F1CFF">
        <w:t xml:space="preserve"> </w:t>
      </w:r>
      <w:r w:rsidR="009F1CFF" w:rsidRPr="009F1CFF">
        <w:t>Ese artículo subrogó al artículo 70 del Código Civil.</w:t>
      </w:r>
    </w:p>
  </w:footnote>
  <w:footnote w:id="20">
    <w:p w14:paraId="34F3B45B" w14:textId="38E2CE09"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En este acápite, la Sala Plena retomará las consideraciones generales establecidas en la</w:t>
      </w:r>
      <w:r w:rsidR="00C34170" w:rsidRPr="009F1CFF">
        <w:rPr>
          <w:color w:val="000000" w:themeColor="text1"/>
        </w:rPr>
        <w:t>s</w:t>
      </w:r>
      <w:r w:rsidRPr="009F1CFF">
        <w:rPr>
          <w:color w:val="000000" w:themeColor="text1"/>
        </w:rPr>
        <w:t xml:space="preserve"> sentencia</w:t>
      </w:r>
      <w:r w:rsidR="00C34170" w:rsidRPr="009F1CFF">
        <w:rPr>
          <w:color w:val="000000" w:themeColor="text1"/>
        </w:rPr>
        <w:t>s</w:t>
      </w:r>
      <w:r w:rsidRPr="009F1CFF">
        <w:rPr>
          <w:color w:val="000000" w:themeColor="text1"/>
        </w:rPr>
        <w:t xml:space="preserve"> C-147 </w:t>
      </w:r>
      <w:r w:rsidR="00C34170" w:rsidRPr="009F1CFF">
        <w:rPr>
          <w:color w:val="000000" w:themeColor="text1"/>
        </w:rPr>
        <w:t xml:space="preserve">y C-328 </w:t>
      </w:r>
      <w:r w:rsidRPr="009F1CFF">
        <w:rPr>
          <w:color w:val="000000" w:themeColor="text1"/>
        </w:rPr>
        <w:t>de 2024 (M.P.: Natalia Ángel Cabo).</w:t>
      </w:r>
    </w:p>
  </w:footnote>
  <w:footnote w:id="21">
    <w:p w14:paraId="045AC9D3"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Constitución Política, art. 243. </w:t>
      </w:r>
    </w:p>
  </w:footnote>
  <w:footnote w:id="22">
    <w:p w14:paraId="29FD5110"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rStyle w:val="Refdenotaalpie"/>
          <w:color w:val="000000" w:themeColor="text1"/>
        </w:rPr>
        <w:t xml:space="preserve"> </w:t>
      </w:r>
      <w:r w:rsidRPr="009F1CFF">
        <w:rPr>
          <w:color w:val="000000" w:themeColor="text1"/>
        </w:rPr>
        <w:t xml:space="preserve">Sentencia C-101 de 2022. </w:t>
      </w:r>
    </w:p>
  </w:footnote>
  <w:footnote w:id="23">
    <w:p w14:paraId="1968D1A5"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Por ejemplo, ver sentencias C-227 de 2023, C-233 de 2021, C-089 de 2020, C-519 de 2019, C-352 de 2017.</w:t>
      </w:r>
    </w:p>
  </w:footnote>
  <w:footnote w:id="24">
    <w:p w14:paraId="653F56D2" w14:textId="422238DE"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w:t>
      </w:r>
      <w:r w:rsidR="00B957B6" w:rsidRPr="009F1CFF">
        <w:rPr>
          <w:color w:val="000000" w:themeColor="text1"/>
        </w:rPr>
        <w:t xml:space="preserve">Esta postura fue reiterada en la sentencia C-039 de 2021. </w:t>
      </w:r>
      <w:r w:rsidRPr="009F1CFF">
        <w:rPr>
          <w:color w:val="000000" w:themeColor="text1"/>
        </w:rPr>
        <w:t xml:space="preserve">Por medio de esa sentencia, la Sala Plena declaró estarse a lo resuelto en la </w:t>
      </w:r>
      <w:r w:rsidR="005A3E4A" w:rsidRPr="009F1CFF">
        <w:rPr>
          <w:color w:val="000000" w:themeColor="text1"/>
        </w:rPr>
        <w:t>S</w:t>
      </w:r>
      <w:r w:rsidRPr="009F1CFF">
        <w:rPr>
          <w:color w:val="000000" w:themeColor="text1"/>
        </w:rPr>
        <w:t xml:space="preserve">entencia C-521 de 2019 y, en consecuencia, declarar exequible una expresión contenida en el inciso 1º del artículo 46 de la Ley 2010 de 2019, relacionada con </w:t>
      </w:r>
      <w:r w:rsidRPr="009F1CFF">
        <w:rPr>
          <w:color w:val="000000" w:themeColor="text1"/>
          <w:shd w:val="clear" w:color="auto" w:fill="FFFFFF"/>
        </w:rPr>
        <w:t>medidas</w:t>
      </w:r>
      <w:r w:rsidRPr="009F1CFF">
        <w:rPr>
          <w:color w:val="000000" w:themeColor="text1"/>
        </w:rPr>
        <w:t xml:space="preserve"> económicas. Así, esta Corporación concluyó que el demandante no cumplió las exigencias necesarias para reabrir el debate constitucional planteado en la C-521 de 2019, de manera que operó el fenómeno de la cosa juzgada material en sentido amplio. </w:t>
      </w:r>
    </w:p>
  </w:footnote>
  <w:footnote w:id="25">
    <w:p w14:paraId="49F292C0"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Sentencia </w:t>
      </w:r>
      <w:r w:rsidRPr="009F1CFF">
        <w:rPr>
          <w:color w:val="000000" w:themeColor="text1"/>
          <w:shd w:val="clear" w:color="auto" w:fill="FFFFFF"/>
        </w:rPr>
        <w:t xml:space="preserve">C-153 de 2002, reiterada en la </w:t>
      </w:r>
      <w:r w:rsidRPr="009F1CFF">
        <w:rPr>
          <w:color w:val="000000" w:themeColor="text1"/>
        </w:rPr>
        <w:t xml:space="preserve">C-039 de 2021, entre muchas otras. En esa ocasión, la Corte se estuvo a lo resuelto en la C-474 de 1994 y declaró la exequibilidad del artículo 35 de la Ley 1 de 1991, luego de concluir que operó la cosa juzgada constitucional absoluta. </w:t>
      </w:r>
    </w:p>
  </w:footnote>
  <w:footnote w:id="26">
    <w:p w14:paraId="79F4AF21"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rStyle w:val="Refdenotaalpie"/>
          <w:color w:val="000000" w:themeColor="text1"/>
        </w:rPr>
        <w:t xml:space="preserve"> </w:t>
      </w:r>
      <w:r w:rsidRPr="009F1CFF">
        <w:rPr>
          <w:color w:val="000000" w:themeColor="text1"/>
        </w:rPr>
        <w:t xml:space="preserve">Ibidem. </w:t>
      </w:r>
    </w:p>
  </w:footnote>
  <w:footnote w:id="27">
    <w:p w14:paraId="3AEF8DF5" w14:textId="77777777" w:rsidR="00102D29" w:rsidRPr="009F1CFF" w:rsidRDefault="00102D29" w:rsidP="00F52A2A">
      <w:pPr>
        <w:pStyle w:val="Textonotapie"/>
        <w:jc w:val="both"/>
        <w:rPr>
          <w:color w:val="000000" w:themeColor="text1"/>
          <w:lang w:val="es-ES_tradnl"/>
        </w:rPr>
      </w:pPr>
      <w:r w:rsidRPr="009F1CFF">
        <w:rPr>
          <w:rStyle w:val="Refdenotaalpie"/>
          <w:color w:val="000000" w:themeColor="text1"/>
        </w:rPr>
        <w:footnoteRef/>
      </w:r>
      <w:r w:rsidRPr="009F1CFF">
        <w:rPr>
          <w:color w:val="000000" w:themeColor="text1"/>
        </w:rPr>
        <w:t xml:space="preserve"> </w:t>
      </w:r>
      <w:r w:rsidRPr="009F1CFF">
        <w:rPr>
          <w:color w:val="000000" w:themeColor="text1"/>
          <w:lang w:val="es-ES_tradnl"/>
        </w:rPr>
        <w:t xml:space="preserve">Sentencia C-518 de 2023, entre muchas otras. </w:t>
      </w:r>
    </w:p>
  </w:footnote>
  <w:footnote w:id="28">
    <w:p w14:paraId="1325CB58"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Sentencias C-237A de 2022 y C-039 de 2021.</w:t>
      </w:r>
    </w:p>
  </w:footnote>
  <w:footnote w:id="29">
    <w:p w14:paraId="2BF6B28E"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rStyle w:val="Refdenotaalpie"/>
          <w:color w:val="000000" w:themeColor="text1"/>
        </w:rPr>
        <w:t xml:space="preserve"> </w:t>
      </w:r>
      <w:r w:rsidRPr="009F1CFF">
        <w:rPr>
          <w:color w:val="000000" w:themeColor="text1"/>
        </w:rPr>
        <w:t xml:space="preserve">Sentencia </w:t>
      </w:r>
      <w:r w:rsidRPr="009F1CFF">
        <w:rPr>
          <w:color w:val="000000" w:themeColor="text1"/>
          <w:shd w:val="clear" w:color="auto" w:fill="FFFFFF"/>
        </w:rPr>
        <w:t xml:space="preserve">C-774 de 2001 (reiterada en la C-039 de 2021, entre muchas otras). En esa oportunidad, la Corte Constitucional se estuvo a lo resuelto en las sentencias C-150 de 1993, C-106 de 1994, C-327 de 1997, C-716 de 1998 y C-392 de 2000, en relación con varios artículos del Código de Procedimiento Penal. </w:t>
      </w:r>
    </w:p>
  </w:footnote>
  <w:footnote w:id="30">
    <w:p w14:paraId="322CC548"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rStyle w:val="Refdenotaalpie"/>
          <w:color w:val="000000" w:themeColor="text1"/>
        </w:rPr>
        <w:t xml:space="preserve"> </w:t>
      </w:r>
      <w:r w:rsidRPr="009F1CFF">
        <w:rPr>
          <w:color w:val="000000" w:themeColor="text1"/>
        </w:rPr>
        <w:t xml:space="preserve">Sentencia C-039 de 2021, antes mencionada.  </w:t>
      </w:r>
    </w:p>
  </w:footnote>
  <w:footnote w:id="31">
    <w:p w14:paraId="7A9930DF"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En la sentencia C-489 de 2009, la Sala plena recordó que los efectos de la cosa juzgada de las decisiones de inexequibilidad y exequibilidad no son iguales. En las sentencias C-259 de 2008 y C-211 de 2003, la Corte al recordar la sentencia C-310 de 2002, precisó que el efecto de la cosa juzgada material depende de si la norma es declarada inexequible o exequible. Las sentencias C-200 de 2019 y C-007 de 2016 reiteraron la regla de que estos efectos diferenciados recaen sobre la cosa juzgada material. </w:t>
      </w:r>
    </w:p>
  </w:footnote>
  <w:footnote w:id="32">
    <w:p w14:paraId="61F4D36B"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Sentencia C-489 de 2009.</w:t>
      </w:r>
    </w:p>
  </w:footnote>
  <w:footnote w:id="33">
    <w:p w14:paraId="085FAC2E"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Sentencias C-083 de 2022, C-200 de 2019 y C-007 de 2016.</w:t>
      </w:r>
    </w:p>
  </w:footnote>
  <w:footnote w:id="34">
    <w:p w14:paraId="595D214C"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Ibid. Al respecto, en las sentencias C-200 de 2019 y C-007 de 2016, la Corte señaló que los supuestos que debilitan la cosa juzgada constitucional material también se aplican frente a la cosa juzgada formal, en virtud de la cláusula de Estado de Derecho y los principios de supremacía constitucional y democrático (artículos 1, 6, 4 y 3 de la Constitución). </w:t>
      </w:r>
    </w:p>
  </w:footnote>
  <w:footnote w:id="35">
    <w:p w14:paraId="64D3507A" w14:textId="46CB0842" w:rsidR="00102D29" w:rsidRPr="009F1CFF" w:rsidRDefault="00102D29" w:rsidP="00F52A2A">
      <w:pPr>
        <w:pStyle w:val="Textonotapie"/>
        <w:jc w:val="both"/>
        <w:rPr>
          <w:color w:val="000000" w:themeColor="text1"/>
          <w:lang w:val="es-ES_tradnl"/>
        </w:rPr>
      </w:pPr>
      <w:r w:rsidRPr="009F1CFF">
        <w:rPr>
          <w:rStyle w:val="Refdenotaalpie"/>
          <w:color w:val="000000" w:themeColor="text1"/>
        </w:rPr>
        <w:footnoteRef/>
      </w:r>
      <w:r w:rsidRPr="009F1CFF">
        <w:rPr>
          <w:color w:val="000000" w:themeColor="text1"/>
          <w:lang w:val="es-ES_tradnl"/>
        </w:rPr>
        <w:t xml:space="preserve"> En efecto, según la </w:t>
      </w:r>
      <w:r w:rsidR="005A3E4A" w:rsidRPr="009F1CFF">
        <w:rPr>
          <w:color w:val="000000" w:themeColor="text1"/>
          <w:lang w:val="es-ES_tradnl"/>
        </w:rPr>
        <w:t>S</w:t>
      </w:r>
      <w:r w:rsidRPr="009F1CFF">
        <w:rPr>
          <w:color w:val="000000" w:themeColor="text1"/>
          <w:lang w:val="es-ES_tradnl"/>
        </w:rPr>
        <w:t xml:space="preserve">entencia C-073 de 2014, reiterada en la </w:t>
      </w:r>
      <w:r w:rsidR="005A3E4A" w:rsidRPr="009F1CFF">
        <w:rPr>
          <w:color w:val="000000" w:themeColor="text1"/>
          <w:lang w:val="es-ES_tradnl"/>
        </w:rPr>
        <w:t>S</w:t>
      </w:r>
      <w:r w:rsidRPr="009F1CFF">
        <w:rPr>
          <w:color w:val="000000" w:themeColor="text1"/>
          <w:lang w:val="es-ES_tradnl"/>
        </w:rPr>
        <w:t xml:space="preserve">entencia C-039 de 2021, “la cosa juzgada material no puede ser decretada por un solo magistrado al momento de adelantar el control de admisibilidad de la demanda, ya que su conocimiento corresponde a la Sala plena por medio de sentencia”. </w:t>
      </w:r>
    </w:p>
  </w:footnote>
  <w:footnote w:id="36">
    <w:p w14:paraId="717EF405" w14:textId="2389B17F" w:rsidR="00102D29" w:rsidRPr="009F1CFF" w:rsidRDefault="00102D29" w:rsidP="00F52A2A">
      <w:pPr>
        <w:pStyle w:val="Textonotapie"/>
        <w:jc w:val="both"/>
        <w:rPr>
          <w:color w:val="000000" w:themeColor="text1"/>
          <w:lang w:val="es-ES_tradnl"/>
        </w:rPr>
      </w:pPr>
      <w:r w:rsidRPr="009F1CFF">
        <w:rPr>
          <w:rStyle w:val="Refdenotaalpie"/>
          <w:color w:val="000000" w:themeColor="text1"/>
        </w:rPr>
        <w:footnoteRef/>
      </w:r>
      <w:r w:rsidRPr="009F1CFF">
        <w:rPr>
          <w:color w:val="000000" w:themeColor="text1"/>
        </w:rPr>
        <w:t xml:space="preserve"> </w:t>
      </w:r>
      <w:r w:rsidRPr="009F1CFF">
        <w:rPr>
          <w:color w:val="000000" w:themeColor="text1"/>
          <w:lang w:val="es-ES_tradnl"/>
        </w:rPr>
        <w:t>Por el contrario, si se configura una cosa juzgada material respecto de una sentencia previa de exequibilidad y se presenta alguna de las circunstancias que debilitan los efectos de la cosa juzgada, “las consideraciones de [dicho fallo] se erigen en un precedente relevante que la Corte puede seguir, disponiendo y declarando exequible la norma, o del que puede apartarse con el deber de exponer razones suficientes que puedan justificar una decisión de inexequibilidad” (</w:t>
      </w:r>
      <w:r w:rsidR="006C0097" w:rsidRPr="009F1CFF">
        <w:rPr>
          <w:color w:val="000000" w:themeColor="text1"/>
          <w:lang w:val="es-ES_tradnl"/>
        </w:rPr>
        <w:t>S</w:t>
      </w:r>
      <w:r w:rsidRPr="009F1CFF">
        <w:rPr>
          <w:color w:val="000000" w:themeColor="text1"/>
          <w:lang w:val="es-ES_tradnl"/>
        </w:rPr>
        <w:t>entencia C-007 de 2016). Además, según la jurisprudencia constitucional, la “cosa juzgada material no puede ser decretada por un solo magistrado al momento de adelantar el control de admisibilidad de la demanda” (</w:t>
      </w:r>
      <w:r w:rsidR="006C0097" w:rsidRPr="009F1CFF">
        <w:rPr>
          <w:color w:val="000000" w:themeColor="text1"/>
          <w:lang w:val="es-ES_tradnl"/>
        </w:rPr>
        <w:t>S</w:t>
      </w:r>
      <w:r w:rsidRPr="009F1CFF">
        <w:rPr>
          <w:color w:val="000000" w:themeColor="text1"/>
          <w:lang w:val="es-ES_tradnl"/>
        </w:rPr>
        <w:t xml:space="preserve">entencia C-073 de 2014). </w:t>
      </w:r>
    </w:p>
  </w:footnote>
  <w:footnote w:id="37">
    <w:p w14:paraId="2E645376" w14:textId="77777777" w:rsidR="00102D29" w:rsidRPr="009F1CFF" w:rsidRDefault="00102D29" w:rsidP="00F52A2A">
      <w:pPr>
        <w:pStyle w:val="Textonotapie"/>
        <w:jc w:val="both"/>
        <w:rPr>
          <w:color w:val="000000" w:themeColor="text1"/>
          <w:lang w:val="es-ES_tradnl"/>
        </w:rPr>
      </w:pPr>
      <w:r w:rsidRPr="009F1CFF">
        <w:rPr>
          <w:rStyle w:val="Refdenotaalpie"/>
          <w:color w:val="000000" w:themeColor="text1"/>
        </w:rPr>
        <w:footnoteRef/>
      </w:r>
      <w:r w:rsidRPr="009F1CFF">
        <w:rPr>
          <w:color w:val="000000" w:themeColor="text1"/>
        </w:rPr>
        <w:t xml:space="preserve"> </w:t>
      </w:r>
      <w:r w:rsidRPr="009F1CFF">
        <w:rPr>
          <w:color w:val="000000" w:themeColor="text1"/>
          <w:lang w:val="es-ES_tradnl"/>
        </w:rPr>
        <w:t xml:space="preserve">Al respecto, se pueden analizar las sentencias C-073 de 2014 y C-039 de 2021, entre otras. </w:t>
      </w:r>
    </w:p>
  </w:footnote>
  <w:footnote w:id="38">
    <w:p w14:paraId="59E2A211"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Sentencia C-489 de 2009.</w:t>
      </w:r>
    </w:p>
  </w:footnote>
  <w:footnote w:id="39">
    <w:p w14:paraId="66705BF6"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Sentencia C-290 de 2009.</w:t>
      </w:r>
    </w:p>
  </w:footnote>
  <w:footnote w:id="40">
    <w:p w14:paraId="7F84DAE2"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Sentencia C-311 de 2002.</w:t>
      </w:r>
    </w:p>
  </w:footnote>
  <w:footnote w:id="41">
    <w:p w14:paraId="26CE0D3C"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Sentencia C-489 de 2009.</w:t>
      </w:r>
    </w:p>
  </w:footnote>
  <w:footnote w:id="42">
    <w:p w14:paraId="49DE774F"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Serrano José Luis, Validez y Vigencia, la aportación garantista a la teoría de la norma jurídica, Editorial Trotta, Madrid, 1999, pp. 23 y 74. En igual sentido, sentencias C-383 de 2019, C-499 de 2023, entre otras.</w:t>
      </w:r>
    </w:p>
  </w:footnote>
  <w:footnote w:id="43">
    <w:p w14:paraId="7693FA99"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Sentencia C-383 de 2022.</w:t>
      </w:r>
    </w:p>
  </w:footnote>
  <w:footnote w:id="44">
    <w:p w14:paraId="0160CA59" w14:textId="77777777" w:rsidR="000D001E" w:rsidRPr="009F1CFF" w:rsidRDefault="000D001E" w:rsidP="000D001E">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Ver la sentencia C-147 de 2022 en la cual se indicó lo siguiente sobre el alcance de esta categoría: “[u]na disposición o enunciado jurídico corresponde al texto en que una norma es formulada, tales como artículos, numerales o incisos, aunque estas formulaciones pueden encontrarse también en fragmentos más pequeños de un texto normativo, como oraciones o palabras individuales, siempre que incidan en el sentido que se puede atribuir razonablemente a cada disposición”.</w:t>
      </w:r>
    </w:p>
  </w:footnote>
  <w:footnote w:id="45">
    <w:p w14:paraId="793F7BD7" w14:textId="77777777" w:rsidR="000D001E" w:rsidRPr="009F1CFF" w:rsidRDefault="000D001E" w:rsidP="000D001E">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Ver la sentencia C-147 de 2022 en la cual se indicó que en la providencia </w:t>
      </w:r>
      <w:r w:rsidRPr="009F1CFF">
        <w:rPr>
          <w:color w:val="000000" w:themeColor="text1"/>
          <w:lang w:val="es-ES_tradnl"/>
        </w:rPr>
        <w:t>C-312 de 2017, la Corte propuso la siguiente definición de las </w:t>
      </w:r>
      <w:r w:rsidRPr="009F1CFF">
        <w:rPr>
          <w:i/>
          <w:iCs/>
          <w:color w:val="000000" w:themeColor="text1"/>
          <w:lang w:val="es-ES_tradnl"/>
        </w:rPr>
        <w:t>normas jurídicas</w:t>
      </w:r>
      <w:r w:rsidRPr="009F1CFF">
        <w:rPr>
          <w:color w:val="000000" w:themeColor="text1"/>
          <w:lang w:val="es-ES_tradnl"/>
        </w:rPr>
        <w:t>: “Las normas, siguiendo con esta construcción, no son los textos legales sino su significado. Ese significado, a su vez, solo puede hallarse por vía interpretativa y, en consecuencia, a un solo texto legal pueden atribuírsele (potencialmente) diversos contenidos normativos, según la forma en que cada intérprete les atribuye significado”.</w:t>
      </w:r>
    </w:p>
  </w:footnote>
  <w:footnote w:id="46">
    <w:p w14:paraId="2601A4D0" w14:textId="77777777" w:rsidR="00102D29" w:rsidRPr="009F1CFF" w:rsidRDefault="00102D29" w:rsidP="00F52A2A">
      <w:pPr>
        <w:pStyle w:val="Textonotapie"/>
        <w:ind w:right="49"/>
        <w:jc w:val="both"/>
        <w:rPr>
          <w:color w:val="000000" w:themeColor="text1"/>
        </w:rPr>
      </w:pPr>
      <w:r w:rsidRPr="009F1CFF">
        <w:rPr>
          <w:color w:val="000000" w:themeColor="text1"/>
          <w:vertAlign w:val="superscript"/>
        </w:rPr>
        <w:footnoteRef/>
      </w:r>
      <w:r w:rsidRPr="009F1CFF">
        <w:rPr>
          <w:color w:val="000000" w:themeColor="text1"/>
        </w:rPr>
        <w:t xml:space="preserve"> Ibid. </w:t>
      </w:r>
    </w:p>
  </w:footnote>
  <w:footnote w:id="47">
    <w:p w14:paraId="281C8253" w14:textId="77777777" w:rsidR="00102D29" w:rsidRPr="009F1CFF" w:rsidRDefault="00102D29" w:rsidP="00F52A2A">
      <w:pPr>
        <w:pStyle w:val="Textonotapie"/>
        <w:ind w:right="49"/>
        <w:jc w:val="both"/>
        <w:rPr>
          <w:color w:val="000000" w:themeColor="text1"/>
        </w:rPr>
      </w:pPr>
      <w:r w:rsidRPr="009F1CFF">
        <w:rPr>
          <w:color w:val="000000" w:themeColor="text1"/>
          <w:vertAlign w:val="superscript"/>
        </w:rPr>
        <w:footnoteRef/>
      </w:r>
      <w:r w:rsidRPr="009F1CFF">
        <w:rPr>
          <w:color w:val="000000" w:themeColor="text1"/>
        </w:rPr>
        <w:t xml:space="preserve"> Sentencia C-489 de 2009.</w:t>
      </w:r>
    </w:p>
  </w:footnote>
  <w:footnote w:id="48">
    <w:p w14:paraId="68C07DEC" w14:textId="097CBA2B"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Sentencia C-</w:t>
      </w:r>
      <w:r w:rsidR="00063589" w:rsidRPr="009F1CFF">
        <w:rPr>
          <w:color w:val="000000" w:themeColor="text1"/>
        </w:rPr>
        <w:t xml:space="preserve">355 de 2009, citada, entre otras, en las más recientes sentencias C-458 de 2023, C-047 de 2024, C-147 de 2024 y C-328 de 2024 </w:t>
      </w:r>
      <w:r w:rsidRPr="009F1CFF">
        <w:rPr>
          <w:color w:val="000000" w:themeColor="text1"/>
        </w:rPr>
        <w:t>.</w:t>
      </w:r>
    </w:p>
  </w:footnote>
  <w:footnote w:id="49">
    <w:p w14:paraId="3BABA36C"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En concreto, se trataba de los artículos 1°, 2°, 3°, 4°, 5°, 6°, 7°, 9°, 10, 11, 12 ,13, 14, 15, 16, 17, 18, 19, 20, 21, 22, 23, 24, 25 y 26 de la Ley 2098 de 2021.</w:t>
      </w:r>
    </w:p>
  </w:footnote>
  <w:footnote w:id="50">
    <w:p w14:paraId="42A93429" w14:textId="77777777" w:rsidR="00102D29" w:rsidRPr="009F1CFF" w:rsidRDefault="00102D29" w:rsidP="00F52A2A">
      <w:pPr>
        <w:pStyle w:val="Textonotapie"/>
        <w:ind w:right="49"/>
        <w:jc w:val="both"/>
        <w:rPr>
          <w:color w:val="000000" w:themeColor="text1"/>
        </w:rPr>
      </w:pPr>
      <w:r w:rsidRPr="009F1CFF">
        <w:rPr>
          <w:rStyle w:val="Refdenotaalpie"/>
          <w:color w:val="000000" w:themeColor="text1"/>
        </w:rPr>
        <w:footnoteRef/>
      </w:r>
      <w:r w:rsidRPr="009F1CFF">
        <w:rPr>
          <w:color w:val="000000" w:themeColor="text1"/>
        </w:rPr>
        <w:t xml:space="preserve"> En la, sentencia C-153 de 2022 se declaró inexequible el artículo 124 de la Ley 2159 de 2021 debido a la vulneración de los principios de reserva de ley y de unidad de materia. En la sentencia C-306 de 2022, se demandó esa misma norma por trasgredir los principios de consecutividad e identidad flexible y unidad materia. </w:t>
      </w:r>
    </w:p>
  </w:footnote>
  <w:footnote w:id="51">
    <w:p w14:paraId="7D279E1D" w14:textId="076434AD" w:rsidR="006875BA" w:rsidRPr="009F1CFF" w:rsidRDefault="006875BA">
      <w:pPr>
        <w:pStyle w:val="Textonotapie"/>
      </w:pPr>
      <w:r w:rsidRPr="009F1CFF">
        <w:rPr>
          <w:rStyle w:val="Refdenotaalpie"/>
        </w:rPr>
        <w:footnoteRef/>
      </w:r>
      <w:r w:rsidRPr="009F1CFF">
        <w:t xml:space="preserve"> La Corte </w:t>
      </w:r>
      <w:r w:rsidRPr="009F1CFF">
        <w:rPr>
          <w:bCs/>
          <w:color w:val="000000" w:themeColor="text1"/>
        </w:rPr>
        <w:t>se pronunció sobre este asunto en las sentencias C-088 de 2014, C-009 de 2018 y C-128 de 2018.</w:t>
      </w:r>
    </w:p>
  </w:footnote>
  <w:footnote w:id="52">
    <w:p w14:paraId="3746317A" w14:textId="71B26B39" w:rsidR="002F4769" w:rsidRPr="009F1CFF" w:rsidRDefault="002F4769">
      <w:pPr>
        <w:pStyle w:val="Textonotapie"/>
        <w:rPr>
          <w:lang w:val="es-CO"/>
        </w:rPr>
      </w:pPr>
      <w:r w:rsidRPr="009F1CFF">
        <w:rPr>
          <w:rStyle w:val="Refdenotaalpie"/>
        </w:rPr>
        <w:footnoteRef/>
      </w:r>
      <w:r w:rsidRPr="009F1CFF">
        <w:t xml:space="preserve"> </w:t>
      </w:r>
      <w:r w:rsidRPr="009F1CFF">
        <w:rPr>
          <w:lang w:val="es-CO"/>
        </w:rPr>
        <w:t xml:space="preserve">Sentencia C-128 de 2018. </w:t>
      </w:r>
    </w:p>
  </w:footnote>
  <w:footnote w:id="53">
    <w:p w14:paraId="4AC2AD26" w14:textId="1DA748CA" w:rsidR="00A878EA" w:rsidRPr="009F1CFF" w:rsidRDefault="00A878EA" w:rsidP="00A878EA">
      <w:pPr>
        <w:pStyle w:val="Cabeceraypie"/>
        <w:tabs>
          <w:tab w:val="left" w:pos="426"/>
        </w:tabs>
        <w:jc w:val="both"/>
        <w:rPr>
          <w:rFonts w:ascii="Times New Roman" w:hAnsi="Times New Roman" w:cs="Times New Roman"/>
          <w:b/>
          <w:bCs/>
          <w:color w:val="000000" w:themeColor="text1"/>
          <w:sz w:val="20"/>
          <w:szCs w:val="20"/>
          <w:lang w:val="es-ES"/>
        </w:rPr>
      </w:pPr>
      <w:r w:rsidRPr="009F1CFF">
        <w:rPr>
          <w:rStyle w:val="Refdenotaalpie"/>
          <w:rFonts w:ascii="Times New Roman" w:hAnsi="Times New Roman" w:cs="Times New Roman"/>
          <w:sz w:val="20"/>
          <w:szCs w:val="20"/>
        </w:rPr>
        <w:footnoteRef/>
      </w:r>
      <w:r w:rsidRPr="009F1CFF">
        <w:rPr>
          <w:rFonts w:ascii="Times New Roman" w:hAnsi="Times New Roman" w:cs="Times New Roman"/>
          <w:sz w:val="20"/>
          <w:szCs w:val="20"/>
        </w:rPr>
        <w:t xml:space="preserve"> Al recapitular el cambio de jurisprudencia allí acogido</w:t>
      </w:r>
      <w:r w:rsidR="007D32E8" w:rsidRPr="009F1CFF">
        <w:rPr>
          <w:rFonts w:ascii="Times New Roman" w:hAnsi="Times New Roman" w:cs="Times New Roman"/>
          <w:sz w:val="20"/>
          <w:szCs w:val="20"/>
        </w:rPr>
        <w:t>,</w:t>
      </w:r>
      <w:r w:rsidRPr="009F1CFF">
        <w:rPr>
          <w:rFonts w:ascii="Times New Roman" w:hAnsi="Times New Roman" w:cs="Times New Roman"/>
          <w:sz w:val="20"/>
          <w:szCs w:val="20"/>
        </w:rPr>
        <w:t xml:space="preserve"> la </w:t>
      </w:r>
      <w:r w:rsidR="007D32E8" w:rsidRPr="009F1CFF">
        <w:rPr>
          <w:rFonts w:ascii="Times New Roman" w:hAnsi="Times New Roman" w:cs="Times New Roman"/>
          <w:sz w:val="20"/>
          <w:szCs w:val="20"/>
        </w:rPr>
        <w:t>S</w:t>
      </w:r>
      <w:r w:rsidRPr="009F1CFF">
        <w:rPr>
          <w:rFonts w:ascii="Times New Roman" w:hAnsi="Times New Roman" w:cs="Times New Roman"/>
          <w:sz w:val="20"/>
          <w:szCs w:val="20"/>
        </w:rPr>
        <w:t xml:space="preserve">entencia C-088 de 2014 señaló que: “[s]i bien en las sentencias C-957, 863, 1049 y 1211 de 2001, y C-027 de 2012, así como en el Auto 311 de 2001, la Corte se abstuvo de pronunciarse sobre la constitucionalidad de normas declaradas inexequibles previamente, pero que se encontraban vigentes en virtud de la orden de diferimiento de la declaratoria, la Corte encuentra necesario revisar y replantear este precedente, por las siguientes razones: (i) </w:t>
      </w:r>
      <w:r w:rsidR="007D32E8" w:rsidRPr="009F1CFF">
        <w:rPr>
          <w:rFonts w:ascii="Times New Roman" w:hAnsi="Times New Roman" w:cs="Times New Roman"/>
          <w:sz w:val="20"/>
          <w:szCs w:val="20"/>
        </w:rPr>
        <w:t>e</w:t>
      </w:r>
      <w:r w:rsidRPr="009F1CFF">
        <w:rPr>
          <w:rFonts w:ascii="Times New Roman" w:hAnsi="Times New Roman" w:cs="Times New Roman"/>
          <w:sz w:val="20"/>
          <w:szCs w:val="20"/>
        </w:rPr>
        <w:t xml:space="preserve">n primer lugar, esta postura se sustentó en la tesis de que las disposiciones declaradas inexequibles por razones de orden procedimental, en estricto sentido nunca nacieron a la vida jurídica, y por tanto, no son susceptibles de revisión judicial; esta tesis, sin embargo, es inadmisible porque contraviene el principio de presunción de validez del sistema jurídico y las reglas sobre los efectos temporales de los fallos de constitucionalidad; (ii) </w:t>
      </w:r>
      <w:r w:rsidR="007D32E8" w:rsidRPr="009F1CFF">
        <w:rPr>
          <w:rFonts w:ascii="Times New Roman" w:hAnsi="Times New Roman" w:cs="Times New Roman"/>
          <w:sz w:val="20"/>
          <w:szCs w:val="20"/>
        </w:rPr>
        <w:t>e</w:t>
      </w:r>
      <w:r w:rsidRPr="009F1CFF">
        <w:rPr>
          <w:rFonts w:ascii="Times New Roman" w:hAnsi="Times New Roman" w:cs="Times New Roman"/>
          <w:sz w:val="20"/>
          <w:szCs w:val="20"/>
        </w:rPr>
        <w:t xml:space="preserve">n segundo lugar, el precedente cuestionado otorga al principio de cosa juzgada un alcance del que carece, al prescindir de la consideración de que las sentencias que declaran la inexequibilidad de un precepto legal o de un cuerpo normativo, hacen tránsito a cosa juzgada únicamente respecto de los cargos por los cuales se han pronunciado; (iii) </w:t>
      </w:r>
      <w:r w:rsidR="007D32E8" w:rsidRPr="009F1CFF">
        <w:rPr>
          <w:rFonts w:ascii="Times New Roman" w:hAnsi="Times New Roman" w:cs="Times New Roman"/>
          <w:sz w:val="20"/>
          <w:szCs w:val="20"/>
        </w:rPr>
        <w:t>f</w:t>
      </w:r>
      <w:r w:rsidRPr="009F1CFF">
        <w:rPr>
          <w:rFonts w:ascii="Times New Roman" w:hAnsi="Times New Roman" w:cs="Times New Roman"/>
          <w:sz w:val="20"/>
          <w:szCs w:val="20"/>
        </w:rPr>
        <w:t xml:space="preserve">inalmente, abstenerse de ejercer el control constitucional de normas actualmente vigentes, como ocurre en la hipótesis propuesta, podría afectar la supremacía de la Carta Política dentro del orden jurídico, el deber de la Corte de velar por su integridad, así como las competencias que le fueron asignadas en función de este rol”. </w:t>
      </w:r>
    </w:p>
  </w:footnote>
  <w:footnote w:id="54">
    <w:p w14:paraId="28009861" w14:textId="6DC6FEC7" w:rsidR="00274A88" w:rsidRPr="009F1CFF" w:rsidRDefault="00274A88" w:rsidP="00274A88">
      <w:pPr>
        <w:pStyle w:val="Textonotapie"/>
        <w:jc w:val="both"/>
      </w:pPr>
      <w:r w:rsidRPr="009F1CFF">
        <w:rPr>
          <w:rStyle w:val="Refdenotaalpie"/>
        </w:rPr>
        <w:footnoteRef/>
      </w:r>
      <w:r w:rsidRPr="009F1CFF">
        <w:t xml:space="preserve"> En relación con el primer cargo, la Corte argumentó que: (i)  la Comisión Primera Constitucional del Senado tenía la facultad de votar el informe de ponencia de manera ordinaria porque hubo unanimidad en la votación y no era requerido el voto nominal para ese momento; (ii) la evidencia presentada sobre el </w:t>
      </w:r>
      <w:r w:rsidRPr="00AE6BA1">
        <w:rPr>
          <w:i/>
          <w:iCs/>
        </w:rPr>
        <w:t>qu</w:t>
      </w:r>
      <w:r w:rsidR="00AE6BA1">
        <w:rPr>
          <w:i/>
          <w:iCs/>
        </w:rPr>
        <w:t>o</w:t>
      </w:r>
      <w:r w:rsidRPr="00AE6BA1">
        <w:rPr>
          <w:i/>
          <w:iCs/>
        </w:rPr>
        <w:t>rum</w:t>
      </w:r>
      <w:r w:rsidRPr="009F1CFF">
        <w:t xml:space="preserve"> no era concluyente para afirmar que no existía </w:t>
      </w:r>
      <w:r w:rsidRPr="00AE6BA1">
        <w:rPr>
          <w:i/>
          <w:iCs/>
        </w:rPr>
        <w:t>qu</w:t>
      </w:r>
      <w:r w:rsidR="00AE6BA1">
        <w:rPr>
          <w:i/>
          <w:iCs/>
        </w:rPr>
        <w:t>o</w:t>
      </w:r>
      <w:r w:rsidRPr="00AE6BA1">
        <w:rPr>
          <w:i/>
          <w:iCs/>
        </w:rPr>
        <w:t>rum</w:t>
      </w:r>
      <w:r w:rsidRPr="009F1CFF">
        <w:t xml:space="preserve"> decisorio y (iii) la duda existente no constituía un vicio de procedimiento, ya que el principio </w:t>
      </w:r>
      <w:r w:rsidRPr="009F1CFF">
        <w:rPr>
          <w:i/>
          <w:iCs/>
        </w:rPr>
        <w:t>in dubio pro legislatoris</w:t>
      </w:r>
      <w:r w:rsidRPr="009F1CFF">
        <w:t xml:space="preserve"> favorece al legislador en casos de incertidumbre. Sobre el tercer cargo, la Corte sostuvo que: </w:t>
      </w:r>
      <w:r w:rsidRPr="009F1CFF">
        <w:rPr>
          <w:color w:val="000000"/>
          <w:shd w:val="clear" w:color="auto" w:fill="FFFFFF"/>
        </w:rPr>
        <w:t>(i) la norma demandada define claramente el marco de delegación al presidente para integrar el sector administrativo, conforme a términos establecidos en la Ley 489 de 1998; (ii) el Congreso no estaba obligado a especificar las entidades adscritas ni los criterios para su selección, permitiendo así una acción flexible al presidente; y (iii) el artículo 12 de la Ley 2281 de 2023 no otorga facultades ilimitadas para modificar la administración pública, limitando las excepciones a la integración de este sector específico</w:t>
      </w:r>
      <w:r w:rsidRPr="009F1CFF">
        <w:rPr>
          <w:rFonts w:ascii="Arial" w:hAnsi="Arial" w:cs="Arial"/>
          <w:color w:val="000000"/>
          <w:shd w:val="clear" w:color="auto" w:fill="FFFFFF"/>
        </w:rPr>
        <w:t>.</w:t>
      </w:r>
    </w:p>
  </w:footnote>
  <w:footnote w:id="55">
    <w:p w14:paraId="15488DFD" w14:textId="64DCA370" w:rsidR="009F22C3" w:rsidRPr="00AC6DC8" w:rsidRDefault="009F22C3" w:rsidP="00F52A2A">
      <w:pPr>
        <w:pStyle w:val="Textonotapie"/>
        <w:jc w:val="both"/>
        <w:rPr>
          <w:color w:val="000000" w:themeColor="text1"/>
          <w:lang w:val="es-CO"/>
        </w:rPr>
      </w:pPr>
      <w:r w:rsidRPr="009F1CFF">
        <w:rPr>
          <w:rStyle w:val="Refdenotaalpie"/>
          <w:color w:val="000000" w:themeColor="text1"/>
        </w:rPr>
        <w:footnoteRef/>
      </w:r>
      <w:r w:rsidRPr="009F1CFF">
        <w:rPr>
          <w:color w:val="000000" w:themeColor="text1"/>
        </w:rPr>
        <w:t xml:space="preserve"> “[p]or la cual se dictan normas orgánicas en materia de presupuesto, responsabilidad y transparencia fiscal y se dictan otras disposiciones”.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35" w:type="dxa"/>
      <w:tblLayout w:type="fixed"/>
      <w:tblLook w:val="06A0" w:firstRow="1" w:lastRow="0" w:firstColumn="1" w:lastColumn="0" w:noHBand="1" w:noVBand="1"/>
    </w:tblPr>
    <w:tblGrid>
      <w:gridCol w:w="2945"/>
      <w:gridCol w:w="2945"/>
      <w:gridCol w:w="2945"/>
    </w:tblGrid>
    <w:tr w:rsidR="00770A25" w14:paraId="060BA398" w14:textId="77777777">
      <w:trPr>
        <w:trHeight w:val="300"/>
      </w:trPr>
      <w:tc>
        <w:tcPr>
          <w:tcW w:w="2945" w:type="dxa"/>
        </w:tcPr>
        <w:p w14:paraId="1A1B225A" w14:textId="77777777" w:rsidR="00770A25" w:rsidRDefault="00770A25">
          <w:pPr>
            <w:pStyle w:val="Encabezado"/>
            <w:widowControl w:val="0"/>
            <w:ind w:left="-115"/>
          </w:pPr>
        </w:p>
      </w:tc>
      <w:tc>
        <w:tcPr>
          <w:tcW w:w="2945" w:type="dxa"/>
        </w:tcPr>
        <w:p w14:paraId="1E01A419" w14:textId="77777777" w:rsidR="00770A25" w:rsidRDefault="00770A25">
          <w:pPr>
            <w:pStyle w:val="Encabezado"/>
            <w:widowControl w:val="0"/>
            <w:jc w:val="center"/>
          </w:pPr>
        </w:p>
      </w:tc>
      <w:tc>
        <w:tcPr>
          <w:tcW w:w="2945" w:type="dxa"/>
        </w:tcPr>
        <w:p w14:paraId="40011EE9" w14:textId="77777777" w:rsidR="00770A25" w:rsidRDefault="00770A25">
          <w:pPr>
            <w:pStyle w:val="Encabezado"/>
            <w:widowControl w:val="0"/>
            <w:ind w:right="-115"/>
            <w:jc w:val="right"/>
          </w:pPr>
        </w:p>
      </w:tc>
    </w:tr>
  </w:tbl>
  <w:p w14:paraId="078FB49F" w14:textId="77777777" w:rsidR="00770A25" w:rsidRDefault="00770A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41A24"/>
    <w:multiLevelType w:val="hybridMultilevel"/>
    <w:tmpl w:val="1AC6A3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86655BF"/>
    <w:multiLevelType w:val="hybridMultilevel"/>
    <w:tmpl w:val="03CADC6E"/>
    <w:lvl w:ilvl="0" w:tplc="0C4AAFB2">
      <w:start w:val="1"/>
      <w:numFmt w:val="decimal"/>
      <w:pStyle w:val="Prrafodelista"/>
      <w:lvlText w:val="%1."/>
      <w:lvlJc w:val="left"/>
      <w:pPr>
        <w:ind w:left="720" w:hanging="360"/>
      </w:pPr>
      <w:rPr>
        <w:rFonts w:ascii="Times New Roman" w:hAnsi="Times New Roman" w:cs="Times New Roman" w:hint="default"/>
        <w:b w:val="0"/>
        <w:bCs w:val="0"/>
        <w:sz w:val="28"/>
        <w:szCs w:val="28"/>
        <w:lang w:val="es-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ED24E76"/>
    <w:multiLevelType w:val="multilevel"/>
    <w:tmpl w:val="84B8E92A"/>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1587E07"/>
    <w:multiLevelType w:val="hybridMultilevel"/>
    <w:tmpl w:val="6352C4E6"/>
    <w:lvl w:ilvl="0" w:tplc="3258BED2">
      <w:start w:val="1"/>
      <w:numFmt w:val="decimal"/>
      <w:pStyle w:val="Estilo1"/>
      <w:suff w:val="space"/>
      <w:lvlText w:val="%1."/>
      <w:lvlJc w:val="left"/>
      <w:pPr>
        <w:ind w:left="5038" w:hanging="360"/>
      </w:pPr>
      <w:rPr>
        <w:rFonts w:ascii="Times New Roman" w:hAnsi="Times New Roman" w:cs="Times New Roman" w:hint="default"/>
        <w:b w:val="0"/>
        <w:sz w:val="28"/>
        <w:szCs w:val="28"/>
        <w:vertAlign w:val="baseline"/>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hideGrammaticalError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25"/>
    <w:rsid w:val="00016F8E"/>
    <w:rsid w:val="00042940"/>
    <w:rsid w:val="00052A29"/>
    <w:rsid w:val="00063589"/>
    <w:rsid w:val="000701F0"/>
    <w:rsid w:val="0008264B"/>
    <w:rsid w:val="00090581"/>
    <w:rsid w:val="000A68B2"/>
    <w:rsid w:val="000B0E70"/>
    <w:rsid w:val="000B76FA"/>
    <w:rsid w:val="000D001E"/>
    <w:rsid w:val="000E005C"/>
    <w:rsid w:val="000E5327"/>
    <w:rsid w:val="000F187B"/>
    <w:rsid w:val="001017CD"/>
    <w:rsid w:val="00102D29"/>
    <w:rsid w:val="001061E9"/>
    <w:rsid w:val="001145BE"/>
    <w:rsid w:val="00115112"/>
    <w:rsid w:val="001230DC"/>
    <w:rsid w:val="00133E40"/>
    <w:rsid w:val="001562E0"/>
    <w:rsid w:val="00161A5B"/>
    <w:rsid w:val="00164D79"/>
    <w:rsid w:val="00175011"/>
    <w:rsid w:val="0018411F"/>
    <w:rsid w:val="00192984"/>
    <w:rsid w:val="00197A82"/>
    <w:rsid w:val="001A5C7C"/>
    <w:rsid w:val="001E563D"/>
    <w:rsid w:val="001E5D91"/>
    <w:rsid w:val="001E6897"/>
    <w:rsid w:val="00200727"/>
    <w:rsid w:val="00220FA9"/>
    <w:rsid w:val="00232ADE"/>
    <w:rsid w:val="00254CC7"/>
    <w:rsid w:val="00270AFE"/>
    <w:rsid w:val="00274A88"/>
    <w:rsid w:val="00280E2D"/>
    <w:rsid w:val="002A0E0F"/>
    <w:rsid w:val="002B0CEA"/>
    <w:rsid w:val="002B3089"/>
    <w:rsid w:val="002B761F"/>
    <w:rsid w:val="002C3CCE"/>
    <w:rsid w:val="002C4149"/>
    <w:rsid w:val="002C6D18"/>
    <w:rsid w:val="002E4B19"/>
    <w:rsid w:val="002F4769"/>
    <w:rsid w:val="00302C43"/>
    <w:rsid w:val="00310261"/>
    <w:rsid w:val="0033107D"/>
    <w:rsid w:val="00344FDD"/>
    <w:rsid w:val="00356A53"/>
    <w:rsid w:val="00356C1F"/>
    <w:rsid w:val="00357941"/>
    <w:rsid w:val="00374392"/>
    <w:rsid w:val="00375BF1"/>
    <w:rsid w:val="0038359E"/>
    <w:rsid w:val="00385C5D"/>
    <w:rsid w:val="00386F74"/>
    <w:rsid w:val="003B46B8"/>
    <w:rsid w:val="003B502E"/>
    <w:rsid w:val="003C2D4C"/>
    <w:rsid w:val="003D1059"/>
    <w:rsid w:val="003F0C40"/>
    <w:rsid w:val="003F66BD"/>
    <w:rsid w:val="00402BFC"/>
    <w:rsid w:val="00412638"/>
    <w:rsid w:val="00420662"/>
    <w:rsid w:val="00431083"/>
    <w:rsid w:val="00433435"/>
    <w:rsid w:val="00440BD2"/>
    <w:rsid w:val="00466165"/>
    <w:rsid w:val="0047053C"/>
    <w:rsid w:val="00475947"/>
    <w:rsid w:val="004A43B6"/>
    <w:rsid w:val="004B5A48"/>
    <w:rsid w:val="004C1B50"/>
    <w:rsid w:val="004D4B83"/>
    <w:rsid w:val="004F6313"/>
    <w:rsid w:val="004F6BDC"/>
    <w:rsid w:val="0050527C"/>
    <w:rsid w:val="00514E64"/>
    <w:rsid w:val="0052052B"/>
    <w:rsid w:val="005239E6"/>
    <w:rsid w:val="0052759B"/>
    <w:rsid w:val="0054525B"/>
    <w:rsid w:val="0058517E"/>
    <w:rsid w:val="005950C5"/>
    <w:rsid w:val="005A3E4A"/>
    <w:rsid w:val="005E6B37"/>
    <w:rsid w:val="00622154"/>
    <w:rsid w:val="0063412C"/>
    <w:rsid w:val="00634A83"/>
    <w:rsid w:val="0065205D"/>
    <w:rsid w:val="00665263"/>
    <w:rsid w:val="006875BA"/>
    <w:rsid w:val="00692DA2"/>
    <w:rsid w:val="00695C54"/>
    <w:rsid w:val="0069671D"/>
    <w:rsid w:val="006A46BE"/>
    <w:rsid w:val="006B2FFC"/>
    <w:rsid w:val="006B3E8E"/>
    <w:rsid w:val="006C0097"/>
    <w:rsid w:val="006C65E1"/>
    <w:rsid w:val="006E7655"/>
    <w:rsid w:val="006F1B4F"/>
    <w:rsid w:val="006F26EE"/>
    <w:rsid w:val="00717F7B"/>
    <w:rsid w:val="007211B6"/>
    <w:rsid w:val="007263D7"/>
    <w:rsid w:val="007454B3"/>
    <w:rsid w:val="00756742"/>
    <w:rsid w:val="00770A25"/>
    <w:rsid w:val="00775AB0"/>
    <w:rsid w:val="00777896"/>
    <w:rsid w:val="007804F9"/>
    <w:rsid w:val="007822EC"/>
    <w:rsid w:val="007834C3"/>
    <w:rsid w:val="00797633"/>
    <w:rsid w:val="007A43FE"/>
    <w:rsid w:val="007A4988"/>
    <w:rsid w:val="007A57AF"/>
    <w:rsid w:val="007B2B64"/>
    <w:rsid w:val="007B7F70"/>
    <w:rsid w:val="007C0553"/>
    <w:rsid w:val="007C59E7"/>
    <w:rsid w:val="007C70E4"/>
    <w:rsid w:val="007C7C6D"/>
    <w:rsid w:val="007D32E8"/>
    <w:rsid w:val="00805D8D"/>
    <w:rsid w:val="00813F93"/>
    <w:rsid w:val="0085357A"/>
    <w:rsid w:val="00862A5A"/>
    <w:rsid w:val="00870E5E"/>
    <w:rsid w:val="008764A3"/>
    <w:rsid w:val="008905DC"/>
    <w:rsid w:val="008A0FC3"/>
    <w:rsid w:val="008A74CE"/>
    <w:rsid w:val="008C21DB"/>
    <w:rsid w:val="008C47B4"/>
    <w:rsid w:val="008C5395"/>
    <w:rsid w:val="008C5DFD"/>
    <w:rsid w:val="008D2E73"/>
    <w:rsid w:val="008E0FB0"/>
    <w:rsid w:val="008E6E8B"/>
    <w:rsid w:val="00900FD3"/>
    <w:rsid w:val="00903A57"/>
    <w:rsid w:val="00914C70"/>
    <w:rsid w:val="00915E2D"/>
    <w:rsid w:val="00942FB3"/>
    <w:rsid w:val="00944851"/>
    <w:rsid w:val="0094608C"/>
    <w:rsid w:val="0097411D"/>
    <w:rsid w:val="00985C29"/>
    <w:rsid w:val="009A27EC"/>
    <w:rsid w:val="009B06BB"/>
    <w:rsid w:val="009B6A6A"/>
    <w:rsid w:val="009C405C"/>
    <w:rsid w:val="009F1CFF"/>
    <w:rsid w:val="009F22C3"/>
    <w:rsid w:val="009F6AAD"/>
    <w:rsid w:val="009F6CF4"/>
    <w:rsid w:val="00A03EAB"/>
    <w:rsid w:val="00A079BA"/>
    <w:rsid w:val="00A12C34"/>
    <w:rsid w:val="00A4195C"/>
    <w:rsid w:val="00A41EFC"/>
    <w:rsid w:val="00A65A3F"/>
    <w:rsid w:val="00A65C3F"/>
    <w:rsid w:val="00A72EE8"/>
    <w:rsid w:val="00A74E94"/>
    <w:rsid w:val="00A85908"/>
    <w:rsid w:val="00A878EA"/>
    <w:rsid w:val="00A924E1"/>
    <w:rsid w:val="00AC013E"/>
    <w:rsid w:val="00AC6DC8"/>
    <w:rsid w:val="00AD47E7"/>
    <w:rsid w:val="00AE6BA1"/>
    <w:rsid w:val="00AF10C2"/>
    <w:rsid w:val="00AF514C"/>
    <w:rsid w:val="00B11F51"/>
    <w:rsid w:val="00B15C81"/>
    <w:rsid w:val="00B175E3"/>
    <w:rsid w:val="00B22BB1"/>
    <w:rsid w:val="00B31645"/>
    <w:rsid w:val="00B731CD"/>
    <w:rsid w:val="00B73C93"/>
    <w:rsid w:val="00B74E72"/>
    <w:rsid w:val="00B81E69"/>
    <w:rsid w:val="00B82D01"/>
    <w:rsid w:val="00B853C2"/>
    <w:rsid w:val="00B957B6"/>
    <w:rsid w:val="00BA3223"/>
    <w:rsid w:val="00BB7760"/>
    <w:rsid w:val="00BC0D4D"/>
    <w:rsid w:val="00BF2ACE"/>
    <w:rsid w:val="00BF7801"/>
    <w:rsid w:val="00C06B2D"/>
    <w:rsid w:val="00C157B0"/>
    <w:rsid w:val="00C158C8"/>
    <w:rsid w:val="00C20796"/>
    <w:rsid w:val="00C2103F"/>
    <w:rsid w:val="00C235DB"/>
    <w:rsid w:val="00C23E65"/>
    <w:rsid w:val="00C31645"/>
    <w:rsid w:val="00C34170"/>
    <w:rsid w:val="00C37981"/>
    <w:rsid w:val="00C400B2"/>
    <w:rsid w:val="00C47191"/>
    <w:rsid w:val="00C50A17"/>
    <w:rsid w:val="00C67F97"/>
    <w:rsid w:val="00C708A0"/>
    <w:rsid w:val="00C87B5A"/>
    <w:rsid w:val="00CA2AED"/>
    <w:rsid w:val="00CA3B1B"/>
    <w:rsid w:val="00CB1B88"/>
    <w:rsid w:val="00CC649C"/>
    <w:rsid w:val="00CD18E6"/>
    <w:rsid w:val="00CE33F0"/>
    <w:rsid w:val="00CE6222"/>
    <w:rsid w:val="00CF2961"/>
    <w:rsid w:val="00D228FA"/>
    <w:rsid w:val="00D25BF9"/>
    <w:rsid w:val="00D366EF"/>
    <w:rsid w:val="00D406E5"/>
    <w:rsid w:val="00D43D82"/>
    <w:rsid w:val="00D555CD"/>
    <w:rsid w:val="00D6221F"/>
    <w:rsid w:val="00D6354C"/>
    <w:rsid w:val="00D72383"/>
    <w:rsid w:val="00D8593B"/>
    <w:rsid w:val="00D91CDB"/>
    <w:rsid w:val="00DA79C7"/>
    <w:rsid w:val="00DB7D67"/>
    <w:rsid w:val="00DC1CF4"/>
    <w:rsid w:val="00DC5588"/>
    <w:rsid w:val="00DD214B"/>
    <w:rsid w:val="00DD7029"/>
    <w:rsid w:val="00DF1FF7"/>
    <w:rsid w:val="00DF5DAA"/>
    <w:rsid w:val="00DF622A"/>
    <w:rsid w:val="00E0660E"/>
    <w:rsid w:val="00E1083D"/>
    <w:rsid w:val="00E10BCD"/>
    <w:rsid w:val="00E121B5"/>
    <w:rsid w:val="00E213BC"/>
    <w:rsid w:val="00E92976"/>
    <w:rsid w:val="00EE1D95"/>
    <w:rsid w:val="00EF34E2"/>
    <w:rsid w:val="00EF5D50"/>
    <w:rsid w:val="00F013CD"/>
    <w:rsid w:val="00F119F6"/>
    <w:rsid w:val="00F26029"/>
    <w:rsid w:val="00F35C0C"/>
    <w:rsid w:val="00F52A2A"/>
    <w:rsid w:val="00F714B6"/>
    <w:rsid w:val="00F73472"/>
    <w:rsid w:val="00F766E2"/>
    <w:rsid w:val="00F90A1B"/>
    <w:rsid w:val="00F96552"/>
    <w:rsid w:val="00FE52AD"/>
    <w:rsid w:val="00FF324F"/>
    <w:rsid w:val="030579AB"/>
    <w:rsid w:val="062986E2"/>
    <w:rsid w:val="064C644C"/>
    <w:rsid w:val="07201E42"/>
    <w:rsid w:val="11D472DC"/>
    <w:rsid w:val="1368FCFF"/>
    <w:rsid w:val="1F51C89A"/>
    <w:rsid w:val="1F8BB3B4"/>
    <w:rsid w:val="25884591"/>
    <w:rsid w:val="2BA2062D"/>
    <w:rsid w:val="329D22F8"/>
    <w:rsid w:val="3FEFCA09"/>
    <w:rsid w:val="45C59D81"/>
    <w:rsid w:val="4C800E4B"/>
    <w:rsid w:val="4CC3F7DA"/>
    <w:rsid w:val="51C1C8E8"/>
    <w:rsid w:val="56BAF510"/>
    <w:rsid w:val="57F87D62"/>
    <w:rsid w:val="5B442EC6"/>
    <w:rsid w:val="60D6AF0C"/>
    <w:rsid w:val="64E1C514"/>
    <w:rsid w:val="67F6372E"/>
    <w:rsid w:val="69DE2311"/>
    <w:rsid w:val="6EDDDB1A"/>
    <w:rsid w:val="6FF8021C"/>
    <w:rsid w:val="7008DED1"/>
    <w:rsid w:val="732FC1FD"/>
    <w:rsid w:val="73E64A07"/>
    <w:rsid w:val="7A2BD1EB"/>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1D23"/>
  <w15:docId w15:val="{5B113290-5704-0745-AC79-9AADA43B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AF7"/>
    <w:rPr>
      <w:rFonts w:ascii="Calibri" w:eastAsiaTheme="minorEastAsia" w:hAnsi="Calibri"/>
      <w:kern w:val="0"/>
    </w:rPr>
  </w:style>
  <w:style w:type="paragraph" w:styleId="Ttulo1">
    <w:name w:val="heading 1"/>
    <w:basedOn w:val="Normal"/>
    <w:next w:val="Normal"/>
    <w:link w:val="Ttulo1Car"/>
    <w:uiPriority w:val="9"/>
    <w:qFormat/>
    <w:rsid w:val="00C923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923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9239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9239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9239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9239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239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239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239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C Car"/>
    <w:basedOn w:val="Fuentedeprrafopredeter"/>
    <w:link w:val="Textonotapie"/>
    <w:uiPriority w:val="99"/>
    <w:qFormat/>
    <w:rsid w:val="00266AF7"/>
    <w:rPr>
      <w:rFonts w:ascii="Times New Roman" w:eastAsiaTheme="minorEastAsia" w:hAnsi="Times New Roman" w:cs="Times New Roman"/>
      <w:kern w:val="0"/>
      <w:sz w:val="20"/>
      <w:szCs w:val="20"/>
      <w:lang w:val="es-ES"/>
    </w:rPr>
  </w:style>
  <w:style w:type="character" w:customStyle="1" w:styleId="PrrafodelistaCar">
    <w:name w:val="Párrafo de lista Car"/>
    <w:aliases w:val="Colorful List - Accent 11 Car,Ha Car,List Paragraph1 Car,lp1 Car,Lista vistosa - Énfasis 11 Car,List Paragraph2 Car,List1 Car,titulo 3 Car,Bullets Car,Párrafo de lista2 Car,Cuadrícula clara - Énfasis 31 Car,Dot pt Car"/>
    <w:basedOn w:val="Fuentedeprrafopredeter"/>
    <w:link w:val="Prrafodelista"/>
    <w:uiPriority w:val="34"/>
    <w:qFormat/>
    <w:rsid w:val="00C87B5A"/>
    <w:rPr>
      <w:rFonts w:ascii="Times New Roman" w:eastAsia="Calibri" w:hAnsi="Times New Roman" w:cs="Times New Roman"/>
      <w:kern w:val="0"/>
      <w:sz w:val="28"/>
      <w:szCs w:val="28"/>
      <w:shd w:val="clear" w:color="auto" w:fill="FFFFFF"/>
      <w:lang w:val="es-US" w:eastAsia="es-ES"/>
    </w:rPr>
  </w:style>
  <w:style w:type="character" w:customStyle="1" w:styleId="FundamentojurdicoCar">
    <w:name w:val="Fundamento jurídico Car"/>
    <w:basedOn w:val="Fuentedeprrafopredeter"/>
    <w:link w:val="Fundamentojurdico"/>
    <w:qFormat/>
    <w:rsid w:val="00266AF7"/>
    <w:rPr>
      <w:rFonts w:ascii="Times New Roman" w:eastAsia="Calibri" w:hAnsi="Times New Roman" w:cs="Times New Roman"/>
      <w:kern w:val="0"/>
      <w:sz w:val="28"/>
      <w:szCs w:val="28"/>
      <w:lang w:val="es-ES"/>
    </w:rPr>
  </w:style>
  <w:style w:type="character" w:customStyle="1" w:styleId="EncabezadoCar">
    <w:name w:val="Encabezado Car"/>
    <w:basedOn w:val="Fuentedeprrafopredeter"/>
    <w:link w:val="Encabezado"/>
    <w:uiPriority w:val="99"/>
    <w:qFormat/>
    <w:rsid w:val="00266AF7"/>
    <w:rPr>
      <w:rFonts w:eastAsiaTheme="minorEastAsia"/>
      <w:kern w:val="0"/>
      <w:lang w:val="es-CO"/>
    </w:rPr>
  </w:style>
  <w:style w:type="character" w:customStyle="1" w:styleId="PiedepginaCar">
    <w:name w:val="Pie de página Car"/>
    <w:basedOn w:val="Fuentedeprrafopredeter"/>
    <w:link w:val="Piedepgina"/>
    <w:uiPriority w:val="99"/>
    <w:qFormat/>
    <w:rsid w:val="00266AF7"/>
    <w:rPr>
      <w:rFonts w:eastAsiaTheme="minorEastAsia"/>
      <w:kern w:val="0"/>
      <w:lang w:val="es-CO"/>
    </w:rPr>
  </w:style>
  <w:style w:type="character" w:customStyle="1" w:styleId="Caracteresdenotaalpie">
    <w:name w:val="Caracteres de nota al pie"/>
    <w:basedOn w:val="Fuentedeprrafopredeter"/>
    <w:link w:val="4GChar"/>
    <w:uiPriority w:val="99"/>
    <w:unhideWhenUsed/>
    <w:qFormat/>
    <w:rsid w:val="00266AF7"/>
    <w:rPr>
      <w:vertAlign w:val="superscript"/>
    </w:rPr>
  </w:style>
  <w:style w:type="character" w:customStyle="1" w:styleId="Ancladenotaalpie">
    <w:name w:val="Ancla de nota al pie"/>
    <w:rPr>
      <w:vertAlign w:val="superscript"/>
    </w:rPr>
  </w:style>
  <w:style w:type="character" w:customStyle="1" w:styleId="EnlacedeInternet">
    <w:name w:val="Enlace de Internet"/>
    <w:basedOn w:val="Fuentedeprrafopredeter"/>
    <w:uiPriority w:val="99"/>
    <w:unhideWhenUsed/>
    <w:rsid w:val="00E04401"/>
    <w:rPr>
      <w:color w:val="0563C1" w:themeColor="hyperlink"/>
      <w:u w:val="single"/>
    </w:rPr>
  </w:style>
  <w:style w:type="character" w:styleId="Refdecomentario">
    <w:name w:val="annotation reference"/>
    <w:basedOn w:val="Fuentedeprrafopredeter"/>
    <w:uiPriority w:val="99"/>
    <w:semiHidden/>
    <w:unhideWhenUsed/>
    <w:qFormat/>
    <w:rsid w:val="005A556F"/>
    <w:rPr>
      <w:sz w:val="16"/>
      <w:szCs w:val="16"/>
    </w:rPr>
  </w:style>
  <w:style w:type="character" w:customStyle="1" w:styleId="TextocomentarioCar">
    <w:name w:val="Texto comentario Car"/>
    <w:basedOn w:val="Fuentedeprrafopredeter"/>
    <w:link w:val="Textocomentario"/>
    <w:uiPriority w:val="99"/>
    <w:qFormat/>
    <w:rsid w:val="005A556F"/>
    <w:rPr>
      <w:rFonts w:eastAsiaTheme="minorEastAsia"/>
      <w:kern w:val="0"/>
      <w:sz w:val="20"/>
      <w:szCs w:val="20"/>
    </w:rPr>
  </w:style>
  <w:style w:type="character" w:customStyle="1" w:styleId="AsuntodelcomentarioCar">
    <w:name w:val="Asunto del comentario Car"/>
    <w:basedOn w:val="TextocomentarioCar"/>
    <w:link w:val="Asuntodelcomentario"/>
    <w:uiPriority w:val="99"/>
    <w:semiHidden/>
    <w:qFormat/>
    <w:rsid w:val="005A556F"/>
    <w:rPr>
      <w:rFonts w:eastAsiaTheme="minorEastAsia"/>
      <w:b/>
      <w:bCs/>
      <w:kern w:val="0"/>
      <w:sz w:val="20"/>
      <w:szCs w:val="20"/>
    </w:rPr>
  </w:style>
  <w:style w:type="character" w:customStyle="1" w:styleId="baj">
    <w:name w:val="b_aj"/>
    <w:basedOn w:val="Fuentedeprrafopredeter"/>
    <w:qFormat/>
    <w:rsid w:val="004716E5"/>
  </w:style>
  <w:style w:type="character" w:customStyle="1" w:styleId="TextodegloboCar">
    <w:name w:val="Texto de globo Car"/>
    <w:basedOn w:val="Fuentedeprrafopredeter"/>
    <w:link w:val="Textodeglobo"/>
    <w:uiPriority w:val="99"/>
    <w:semiHidden/>
    <w:qFormat/>
    <w:rsid w:val="0025051F"/>
    <w:rPr>
      <w:rFonts w:ascii="Segoe UI" w:eastAsiaTheme="minorEastAsia" w:hAnsi="Segoe UI" w:cs="Segoe UI"/>
      <w:kern w:val="0"/>
      <w:sz w:val="18"/>
      <w:szCs w:val="18"/>
    </w:rPr>
  </w:style>
  <w:style w:type="character" w:customStyle="1" w:styleId="Mencinsinresolver1">
    <w:name w:val="Mención sin resolver1"/>
    <w:basedOn w:val="Fuentedeprrafopredeter"/>
    <w:uiPriority w:val="99"/>
    <w:semiHidden/>
    <w:unhideWhenUsed/>
    <w:qFormat/>
    <w:rsid w:val="00816AA2"/>
    <w:rPr>
      <w:color w:val="605E5C"/>
      <w:shd w:val="clear" w:color="auto" w:fill="E1DFDD"/>
    </w:rPr>
  </w:style>
  <w:style w:type="character" w:customStyle="1" w:styleId="eop">
    <w:name w:val="eop"/>
    <w:basedOn w:val="Fuentedeprrafopredeter"/>
    <w:qFormat/>
    <w:rsid w:val="00FA0341"/>
  </w:style>
  <w:style w:type="character" w:customStyle="1" w:styleId="normaltextrun">
    <w:name w:val="normaltextrun"/>
    <w:basedOn w:val="Fuentedeprrafopredeter"/>
    <w:qFormat/>
    <w:rsid w:val="00FA0341"/>
  </w:style>
  <w:style w:type="character" w:customStyle="1" w:styleId="superscript">
    <w:name w:val="superscript"/>
    <w:basedOn w:val="Fuentedeprrafopredeter"/>
    <w:qFormat/>
    <w:rsid w:val="00FA0341"/>
  </w:style>
  <w:style w:type="character" w:customStyle="1" w:styleId="Mencinsinresolver2">
    <w:name w:val="Mención sin resolver2"/>
    <w:basedOn w:val="Fuentedeprrafopredeter"/>
    <w:uiPriority w:val="99"/>
    <w:semiHidden/>
    <w:unhideWhenUsed/>
    <w:qFormat/>
    <w:rsid w:val="00B543FA"/>
    <w:rPr>
      <w:color w:val="605E5C"/>
      <w:shd w:val="clear" w:color="auto" w:fill="E1DFDD"/>
    </w:rPr>
  </w:style>
  <w:style w:type="character" w:customStyle="1" w:styleId="EnlacedeInternetvisitado">
    <w:name w:val="Enlace de Internet visitado"/>
    <w:basedOn w:val="Fuentedeprrafopredeter"/>
    <w:uiPriority w:val="99"/>
    <w:semiHidden/>
    <w:unhideWhenUsed/>
    <w:rsid w:val="005306E4"/>
    <w:rPr>
      <w:color w:val="954F72" w:themeColor="followedHyperlink"/>
      <w:u w:val="single"/>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link w:val="TtuloCar"/>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Prrafodelista">
    <w:name w:val="List Paragraph"/>
    <w:aliases w:val="Colorful List - Accent 11,Ha,List Paragraph1,lp1,Lista vistosa - Énfasis 11,List Paragraph2,List1,titulo 3,Bullets,Párrafo de lista2,Cuadrícula clara - Énfasis 31,Dot pt,F5 List Paragraph,No Spacing1,Ordenes numeradas,Párrafo de lista1"/>
    <w:basedOn w:val="Fundamentojurdico"/>
    <w:link w:val="PrrafodelistaCar"/>
    <w:autoRedefine/>
    <w:uiPriority w:val="34"/>
    <w:qFormat/>
    <w:rsid w:val="00C87B5A"/>
    <w:pPr>
      <w:widowControl w:val="0"/>
      <w:numPr>
        <w:numId w:val="1"/>
      </w:numPr>
      <w:shd w:val="clear" w:color="auto" w:fill="FFFFFF"/>
      <w:tabs>
        <w:tab w:val="left" w:pos="284"/>
        <w:tab w:val="left" w:pos="426"/>
      </w:tabs>
      <w:suppressAutoHyphens w:val="0"/>
      <w:ind w:left="0" w:firstLine="0"/>
    </w:pPr>
    <w:rPr>
      <w:lang w:val="es-US" w:eastAsia="es-ES"/>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texto de nota al pi,Footnote Te,FC,Ref"/>
    <w:basedOn w:val="Normal"/>
    <w:link w:val="TextonotapieCar"/>
    <w:uiPriority w:val="99"/>
    <w:unhideWhenUsed/>
    <w:qFormat/>
    <w:rsid w:val="00266AF7"/>
    <w:rPr>
      <w:rFonts w:ascii="Times New Roman" w:hAnsi="Times New Roman" w:cs="Times New Roman"/>
      <w:sz w:val="20"/>
      <w:szCs w:val="20"/>
      <w:lang w:val="es-ES"/>
    </w:rPr>
  </w:style>
  <w:style w:type="paragraph" w:customStyle="1" w:styleId="Fundamentojurdico">
    <w:name w:val="Fundamento jurídico"/>
    <w:basedOn w:val="Normal"/>
    <w:link w:val="FundamentojurdicoCar"/>
    <w:autoRedefine/>
    <w:qFormat/>
    <w:rsid w:val="00266AF7"/>
    <w:pPr>
      <w:contextualSpacing/>
      <w:jc w:val="both"/>
    </w:pPr>
    <w:rPr>
      <w:rFonts w:ascii="Times New Roman" w:eastAsia="Calibri" w:hAnsi="Times New Roman" w:cs="Times New Roman"/>
      <w:sz w:val="28"/>
      <w:szCs w:val="28"/>
      <w:lang w:val="es-E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266AF7"/>
    <w:pPr>
      <w:tabs>
        <w:tab w:val="center" w:pos="4252"/>
        <w:tab w:val="right" w:pos="8504"/>
      </w:tabs>
    </w:pPr>
  </w:style>
  <w:style w:type="paragraph" w:styleId="Piedepgina">
    <w:name w:val="footer"/>
    <w:basedOn w:val="Normal"/>
    <w:link w:val="PiedepginaCar"/>
    <w:uiPriority w:val="99"/>
    <w:unhideWhenUsed/>
    <w:rsid w:val="00266AF7"/>
    <w:pPr>
      <w:tabs>
        <w:tab w:val="center" w:pos="4252"/>
        <w:tab w:val="right" w:pos="8504"/>
      </w:tabs>
    </w:p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Caracteresdenotaalpie"/>
    <w:uiPriority w:val="99"/>
    <w:qFormat/>
    <w:rsid w:val="00266AF7"/>
    <w:pPr>
      <w:jc w:val="both"/>
    </w:pPr>
    <w:rPr>
      <w:rFonts w:eastAsiaTheme="minorHAnsi"/>
      <w:kern w:val="2"/>
      <w:vertAlign w:val="superscript"/>
    </w:rPr>
  </w:style>
  <w:style w:type="paragraph" w:styleId="Sinespaciado">
    <w:name w:val="No Spacing"/>
    <w:link w:val="SinespaciadoCar"/>
    <w:uiPriority w:val="1"/>
    <w:qFormat/>
    <w:rsid w:val="00266AF7"/>
    <w:rPr>
      <w:rFonts w:ascii="Calibri" w:eastAsia="Calibri" w:hAnsi="Calibri"/>
      <w:kern w:val="0"/>
      <w:sz w:val="22"/>
      <w:szCs w:val="22"/>
      <w:lang w:val="es-ES"/>
    </w:rPr>
  </w:style>
  <w:style w:type="paragraph" w:customStyle="1" w:styleId="Piedepagina">
    <w:name w:val="Pie de pagina"/>
    <w:basedOn w:val="Normal"/>
    <w:qFormat/>
    <w:rsid w:val="001D1B04"/>
    <w:pPr>
      <w:spacing w:after="160" w:line="240" w:lineRule="exact"/>
    </w:pPr>
    <w:rPr>
      <w:rFonts w:eastAsia="Calibri"/>
      <w:vertAlign w:val="superscript"/>
    </w:rPr>
  </w:style>
  <w:style w:type="paragraph" w:styleId="Textocomentario">
    <w:name w:val="annotation text"/>
    <w:basedOn w:val="Normal"/>
    <w:link w:val="TextocomentarioCar"/>
    <w:uiPriority w:val="99"/>
    <w:unhideWhenUsed/>
    <w:qFormat/>
    <w:rsid w:val="005A556F"/>
    <w:rPr>
      <w:sz w:val="20"/>
      <w:szCs w:val="20"/>
    </w:rPr>
  </w:style>
  <w:style w:type="paragraph" w:styleId="Asuntodelcomentario">
    <w:name w:val="annotation subject"/>
    <w:basedOn w:val="Textocomentario"/>
    <w:next w:val="Textocomentario"/>
    <w:link w:val="AsuntodelcomentarioCar"/>
    <w:uiPriority w:val="99"/>
    <w:semiHidden/>
    <w:unhideWhenUsed/>
    <w:qFormat/>
    <w:rsid w:val="005A556F"/>
    <w:rPr>
      <w:b/>
      <w:bCs/>
    </w:rPr>
  </w:style>
  <w:style w:type="paragraph" w:styleId="NormalWeb">
    <w:name w:val="Normal (Web)"/>
    <w:basedOn w:val="Normal"/>
    <w:uiPriority w:val="99"/>
    <w:unhideWhenUsed/>
    <w:qFormat/>
    <w:rsid w:val="004716E5"/>
    <w:pPr>
      <w:spacing w:beforeAutospacing="1" w:afterAutospacing="1"/>
    </w:pPr>
    <w:rPr>
      <w:rFonts w:ascii="Times New Roman" w:eastAsia="Times New Roman" w:hAnsi="Times New Roman" w:cs="Times New Roman"/>
      <w:lang w:eastAsia="es-CO"/>
    </w:rPr>
  </w:style>
  <w:style w:type="paragraph" w:customStyle="1" w:styleId="centrado">
    <w:name w:val="centrado"/>
    <w:basedOn w:val="Normal"/>
    <w:qFormat/>
    <w:rsid w:val="004716E5"/>
    <w:pPr>
      <w:spacing w:beforeAutospacing="1" w:afterAutospacing="1"/>
    </w:pPr>
    <w:rPr>
      <w:rFonts w:ascii="Times New Roman" w:eastAsia="Times New Roman" w:hAnsi="Times New Roman" w:cs="Times New Roman"/>
      <w:lang w:eastAsia="es-CO"/>
    </w:rPr>
  </w:style>
  <w:style w:type="paragraph" w:styleId="Textodeglobo">
    <w:name w:val="Balloon Text"/>
    <w:basedOn w:val="Normal"/>
    <w:link w:val="TextodegloboCar"/>
    <w:uiPriority w:val="99"/>
    <w:semiHidden/>
    <w:unhideWhenUsed/>
    <w:qFormat/>
    <w:rsid w:val="0025051F"/>
    <w:rPr>
      <w:rFonts w:ascii="Segoe UI" w:hAnsi="Segoe UI" w:cs="Segoe UI"/>
      <w:sz w:val="18"/>
      <w:szCs w:val="18"/>
    </w:rPr>
  </w:style>
  <w:style w:type="paragraph" w:styleId="Revisin">
    <w:name w:val="Revision"/>
    <w:uiPriority w:val="99"/>
    <w:semiHidden/>
    <w:qFormat/>
    <w:rsid w:val="003A2BA1"/>
    <w:rPr>
      <w:rFonts w:ascii="Calibri" w:eastAsiaTheme="minorEastAsia" w:hAnsi="Calibri"/>
      <w:kern w:val="0"/>
    </w:rPr>
  </w:style>
  <w:style w:type="paragraph" w:customStyle="1" w:styleId="paragraph">
    <w:name w:val="paragraph"/>
    <w:basedOn w:val="Normal"/>
    <w:qFormat/>
    <w:rsid w:val="00FA0341"/>
    <w:pPr>
      <w:spacing w:beforeAutospacing="1" w:afterAutospacing="1"/>
    </w:pPr>
    <w:rPr>
      <w:rFonts w:ascii="Times New Roman" w:eastAsia="Times New Roman" w:hAnsi="Times New Roman" w:cs="Times New Roman"/>
      <w:lang w:eastAsia="es-CO"/>
    </w:rPr>
  </w:style>
  <w:style w:type="paragraph" w:customStyle="1" w:styleId="Default">
    <w:name w:val="Default"/>
    <w:qFormat/>
    <w:rsid w:val="006B65A9"/>
    <w:rPr>
      <w:rFonts w:ascii="Times New Roman" w:eastAsia="Calibri" w:hAnsi="Times New Roman" w:cs="Times New Roman"/>
      <w:color w:val="000000"/>
      <w:kern w:val="0"/>
    </w:rPr>
  </w:style>
  <w:style w:type="table" w:styleId="Tablaconcuadrcula">
    <w:name w:val="Table Grid"/>
    <w:basedOn w:val="Tablanormal"/>
    <w:uiPriority w:val="39"/>
    <w:rsid w:val="00266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aliases w:val="Texto de nota al pie,referencia nota al pie,Footnotes refss,Ref. de nota al pie 2,Fago Fußnotenzeichen,Appel note de bas de page,Texto nota pie Car2,Footnote Text Char Char Char Char Char Car1,Footnote Text Char Char Char Char Car1,f"/>
    <w:basedOn w:val="Fuentedeprrafopredeter"/>
    <w:uiPriority w:val="99"/>
    <w:unhideWhenUsed/>
    <w:qFormat/>
    <w:rsid w:val="008764A3"/>
    <w:rPr>
      <w:vertAlign w:val="superscript"/>
    </w:rPr>
  </w:style>
  <w:style w:type="character" w:styleId="Hipervnculo">
    <w:name w:val="Hyperlink"/>
    <w:basedOn w:val="Fuentedeprrafopredeter"/>
    <w:uiPriority w:val="99"/>
    <w:unhideWhenUsed/>
    <w:rsid w:val="1F8BB3B4"/>
    <w:rPr>
      <w:color w:val="0563C1"/>
      <w:u w:val="single"/>
    </w:rPr>
  </w:style>
  <w:style w:type="character" w:customStyle="1" w:styleId="SinespaciadoCar">
    <w:name w:val="Sin espaciado Car"/>
    <w:link w:val="Sinespaciado"/>
    <w:uiPriority w:val="1"/>
    <w:rsid w:val="00102D29"/>
    <w:rPr>
      <w:rFonts w:ascii="Calibri" w:eastAsia="Calibri" w:hAnsi="Calibri"/>
      <w:kern w:val="0"/>
      <w:sz w:val="22"/>
      <w:szCs w:val="22"/>
      <w:lang w:val="es-ES"/>
    </w:rPr>
  </w:style>
  <w:style w:type="paragraph" w:customStyle="1" w:styleId="Estilo1">
    <w:name w:val="Estilo1"/>
    <w:basedOn w:val="Prrafodelista"/>
    <w:qFormat/>
    <w:rsid w:val="00F52A2A"/>
    <w:pPr>
      <w:widowControl/>
      <w:numPr>
        <w:numId w:val="2"/>
      </w:numPr>
      <w:tabs>
        <w:tab w:val="clear" w:pos="284"/>
        <w:tab w:val="clear" w:pos="426"/>
      </w:tabs>
      <w:spacing w:after="160" w:line="259" w:lineRule="auto"/>
      <w:ind w:left="0" w:firstLine="0"/>
    </w:pPr>
    <w:rPr>
      <w:color w:val="000000" w:themeColor="text1"/>
      <w:lang w:val="es-ES"/>
    </w:rPr>
  </w:style>
  <w:style w:type="character" w:styleId="Hipervnculovisitado">
    <w:name w:val="FollowedHyperlink"/>
    <w:basedOn w:val="Fuentedeprrafopredeter"/>
    <w:uiPriority w:val="99"/>
    <w:semiHidden/>
    <w:unhideWhenUsed/>
    <w:rsid w:val="001017CD"/>
    <w:rPr>
      <w:color w:val="954F72" w:themeColor="followedHyperlink"/>
      <w:u w:val="single"/>
    </w:rPr>
  </w:style>
  <w:style w:type="character" w:customStyle="1" w:styleId="UnresolvedMention">
    <w:name w:val="Unresolved Mention"/>
    <w:basedOn w:val="Fuentedeprrafopredeter"/>
    <w:uiPriority w:val="99"/>
    <w:semiHidden/>
    <w:unhideWhenUsed/>
    <w:rsid w:val="00344FDD"/>
    <w:rPr>
      <w:color w:val="605E5C"/>
      <w:shd w:val="clear" w:color="auto" w:fill="E1DFDD"/>
    </w:rPr>
  </w:style>
  <w:style w:type="paragraph" w:customStyle="1" w:styleId="p1">
    <w:name w:val="p1"/>
    <w:basedOn w:val="Normal"/>
    <w:rsid w:val="00CF2961"/>
    <w:pPr>
      <w:suppressAutoHyphens w:val="0"/>
    </w:pPr>
    <w:rPr>
      <w:rFonts w:ascii="Times New Roman" w:eastAsia="Times New Roman" w:hAnsi="Times New Roman" w:cs="Times New Roman"/>
      <w:color w:val="000000"/>
      <w:sz w:val="18"/>
      <w:szCs w:val="18"/>
      <w:lang w:eastAsia="es-MX"/>
    </w:rPr>
  </w:style>
  <w:style w:type="paragraph" w:customStyle="1" w:styleId="p2">
    <w:name w:val="p2"/>
    <w:basedOn w:val="Normal"/>
    <w:rsid w:val="00CF2961"/>
    <w:pPr>
      <w:suppressAutoHyphens w:val="0"/>
    </w:pPr>
    <w:rPr>
      <w:rFonts w:ascii="Times New Roman" w:eastAsia="Times New Roman" w:hAnsi="Times New Roman" w:cs="Times New Roman"/>
      <w:color w:val="000000"/>
      <w:sz w:val="17"/>
      <w:szCs w:val="17"/>
      <w:lang w:eastAsia="es-MX"/>
    </w:rPr>
  </w:style>
  <w:style w:type="character" w:customStyle="1" w:styleId="s1">
    <w:name w:val="s1"/>
    <w:basedOn w:val="Fuentedeprrafopredeter"/>
    <w:rsid w:val="00CF2961"/>
    <w:rPr>
      <w:rFonts w:ascii="Times New Roman" w:hAnsi="Times New Roman" w:cs="Times New Roman" w:hint="default"/>
      <w:sz w:val="18"/>
      <w:szCs w:val="18"/>
    </w:rPr>
  </w:style>
  <w:style w:type="character" w:customStyle="1" w:styleId="scxw229068507">
    <w:name w:val="scxw229068507"/>
    <w:basedOn w:val="Fuentedeprrafopredeter"/>
    <w:rsid w:val="004F6BDC"/>
  </w:style>
  <w:style w:type="character" w:customStyle="1" w:styleId="Ttulo1Car">
    <w:name w:val="Título 1 Car"/>
    <w:basedOn w:val="Fuentedeprrafopredeter"/>
    <w:link w:val="Ttulo1"/>
    <w:uiPriority w:val="9"/>
    <w:rsid w:val="00C9239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9239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9239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9239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9239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923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23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23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2394"/>
    <w:rPr>
      <w:rFonts w:eastAsiaTheme="majorEastAsia" w:cstheme="majorBidi"/>
      <w:color w:val="272727" w:themeColor="text1" w:themeTint="D8"/>
    </w:rPr>
  </w:style>
  <w:style w:type="character" w:customStyle="1" w:styleId="TtuloCar">
    <w:name w:val="Título Car"/>
    <w:basedOn w:val="Fuentedeprrafopredeter"/>
    <w:link w:val="Ttulo"/>
    <w:uiPriority w:val="10"/>
    <w:rsid w:val="00C923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23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23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2394"/>
    <w:pPr>
      <w:spacing w:before="160"/>
      <w:jc w:val="center"/>
    </w:pPr>
    <w:rPr>
      <w:i/>
      <w:iCs/>
      <w:color w:val="404040" w:themeColor="text1" w:themeTint="BF"/>
    </w:rPr>
  </w:style>
  <w:style w:type="character" w:customStyle="1" w:styleId="CitaCar">
    <w:name w:val="Cita Car"/>
    <w:basedOn w:val="Fuentedeprrafopredeter"/>
    <w:link w:val="Cita"/>
    <w:uiPriority w:val="29"/>
    <w:rsid w:val="00C92394"/>
    <w:rPr>
      <w:i/>
      <w:iCs/>
      <w:color w:val="404040" w:themeColor="text1" w:themeTint="BF"/>
    </w:rPr>
  </w:style>
  <w:style w:type="character" w:styleId="nfasisintenso">
    <w:name w:val="Intense Emphasis"/>
    <w:basedOn w:val="Fuentedeprrafopredeter"/>
    <w:uiPriority w:val="21"/>
    <w:qFormat/>
    <w:rsid w:val="00C92394"/>
    <w:rPr>
      <w:i/>
      <w:iCs/>
      <w:color w:val="2F5496" w:themeColor="accent1" w:themeShade="BF"/>
    </w:rPr>
  </w:style>
  <w:style w:type="paragraph" w:styleId="Citadestacada">
    <w:name w:val="Intense Quote"/>
    <w:basedOn w:val="Normal"/>
    <w:next w:val="Normal"/>
    <w:link w:val="CitadestacadaCar"/>
    <w:uiPriority w:val="30"/>
    <w:qFormat/>
    <w:rsid w:val="00C923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92394"/>
    <w:rPr>
      <w:i/>
      <w:iCs/>
      <w:color w:val="2F5496" w:themeColor="accent1" w:themeShade="BF"/>
    </w:rPr>
  </w:style>
  <w:style w:type="character" w:styleId="Referenciaintensa">
    <w:name w:val="Intense Reference"/>
    <w:basedOn w:val="Fuentedeprrafopredeter"/>
    <w:uiPriority w:val="32"/>
    <w:qFormat/>
    <w:rsid w:val="00C92394"/>
    <w:rPr>
      <w:b/>
      <w:bCs/>
      <w:smallCaps/>
      <w:color w:val="2F5496" w:themeColor="accent1" w:themeShade="BF"/>
      <w:spacing w:val="5"/>
    </w:rPr>
  </w:style>
  <w:style w:type="character" w:styleId="Nmerodepgina">
    <w:name w:val="page number"/>
    <w:basedOn w:val="Fuentedeprrafopredeter"/>
    <w:uiPriority w:val="99"/>
    <w:semiHidden/>
    <w:unhideWhenUsed/>
    <w:rsid w:val="00912BCA"/>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4519">
      <w:bodyDiv w:val="1"/>
      <w:marLeft w:val="0"/>
      <w:marRight w:val="0"/>
      <w:marTop w:val="0"/>
      <w:marBottom w:val="0"/>
      <w:divBdr>
        <w:top w:val="none" w:sz="0" w:space="0" w:color="auto"/>
        <w:left w:val="none" w:sz="0" w:space="0" w:color="auto"/>
        <w:bottom w:val="none" w:sz="0" w:space="0" w:color="auto"/>
        <w:right w:val="none" w:sz="0" w:space="0" w:color="auto"/>
      </w:divBdr>
    </w:div>
    <w:div w:id="287080441">
      <w:bodyDiv w:val="1"/>
      <w:marLeft w:val="0"/>
      <w:marRight w:val="0"/>
      <w:marTop w:val="0"/>
      <w:marBottom w:val="0"/>
      <w:divBdr>
        <w:top w:val="none" w:sz="0" w:space="0" w:color="auto"/>
        <w:left w:val="none" w:sz="0" w:space="0" w:color="auto"/>
        <w:bottom w:val="none" w:sz="0" w:space="0" w:color="auto"/>
        <w:right w:val="none" w:sz="0" w:space="0" w:color="auto"/>
      </w:divBdr>
    </w:div>
    <w:div w:id="293147678">
      <w:bodyDiv w:val="1"/>
      <w:marLeft w:val="0"/>
      <w:marRight w:val="0"/>
      <w:marTop w:val="0"/>
      <w:marBottom w:val="0"/>
      <w:divBdr>
        <w:top w:val="none" w:sz="0" w:space="0" w:color="auto"/>
        <w:left w:val="none" w:sz="0" w:space="0" w:color="auto"/>
        <w:bottom w:val="none" w:sz="0" w:space="0" w:color="auto"/>
        <w:right w:val="none" w:sz="0" w:space="0" w:color="auto"/>
      </w:divBdr>
    </w:div>
    <w:div w:id="821891722">
      <w:bodyDiv w:val="1"/>
      <w:marLeft w:val="0"/>
      <w:marRight w:val="0"/>
      <w:marTop w:val="0"/>
      <w:marBottom w:val="0"/>
      <w:divBdr>
        <w:top w:val="none" w:sz="0" w:space="0" w:color="auto"/>
        <w:left w:val="none" w:sz="0" w:space="0" w:color="auto"/>
        <w:bottom w:val="none" w:sz="0" w:space="0" w:color="auto"/>
        <w:right w:val="none" w:sz="0" w:space="0" w:color="auto"/>
      </w:divBdr>
      <w:divsChild>
        <w:div w:id="1850555620">
          <w:marLeft w:val="0"/>
          <w:marRight w:val="0"/>
          <w:marTop w:val="0"/>
          <w:marBottom w:val="0"/>
          <w:divBdr>
            <w:top w:val="none" w:sz="0" w:space="0" w:color="auto"/>
            <w:left w:val="none" w:sz="0" w:space="0" w:color="auto"/>
            <w:bottom w:val="none" w:sz="0" w:space="0" w:color="auto"/>
            <w:right w:val="none" w:sz="0" w:space="0" w:color="auto"/>
          </w:divBdr>
          <w:divsChild>
            <w:div w:id="1127818255">
              <w:marLeft w:val="0"/>
              <w:marRight w:val="0"/>
              <w:marTop w:val="0"/>
              <w:marBottom w:val="0"/>
              <w:divBdr>
                <w:top w:val="none" w:sz="0" w:space="0" w:color="auto"/>
                <w:left w:val="none" w:sz="0" w:space="0" w:color="auto"/>
                <w:bottom w:val="none" w:sz="0" w:space="0" w:color="auto"/>
                <w:right w:val="none" w:sz="0" w:space="0" w:color="auto"/>
              </w:divBdr>
              <w:divsChild>
                <w:div w:id="152454084">
                  <w:marLeft w:val="0"/>
                  <w:marRight w:val="0"/>
                  <w:marTop w:val="0"/>
                  <w:marBottom w:val="0"/>
                  <w:divBdr>
                    <w:top w:val="none" w:sz="0" w:space="0" w:color="auto"/>
                    <w:left w:val="none" w:sz="0" w:space="0" w:color="auto"/>
                    <w:bottom w:val="none" w:sz="0" w:space="0" w:color="auto"/>
                    <w:right w:val="none" w:sz="0" w:space="0" w:color="auto"/>
                  </w:divBdr>
                  <w:divsChild>
                    <w:div w:id="1242981463">
                      <w:marLeft w:val="0"/>
                      <w:marRight w:val="0"/>
                      <w:marTop w:val="0"/>
                      <w:marBottom w:val="0"/>
                      <w:divBdr>
                        <w:top w:val="none" w:sz="0" w:space="0" w:color="auto"/>
                        <w:left w:val="none" w:sz="0" w:space="0" w:color="auto"/>
                        <w:bottom w:val="none" w:sz="0" w:space="0" w:color="auto"/>
                        <w:right w:val="none" w:sz="0" w:space="0" w:color="auto"/>
                      </w:divBdr>
                      <w:divsChild>
                        <w:div w:id="167908225">
                          <w:marLeft w:val="240"/>
                          <w:marRight w:val="240"/>
                          <w:marTop w:val="240"/>
                          <w:marBottom w:val="240"/>
                          <w:divBdr>
                            <w:top w:val="none" w:sz="0" w:space="0" w:color="auto"/>
                            <w:left w:val="none" w:sz="0" w:space="0" w:color="auto"/>
                            <w:bottom w:val="none" w:sz="0" w:space="0" w:color="auto"/>
                            <w:right w:val="none" w:sz="0" w:space="0" w:color="auto"/>
                          </w:divBdr>
                          <w:divsChild>
                            <w:div w:id="1414813078">
                              <w:marLeft w:val="0"/>
                              <w:marRight w:val="0"/>
                              <w:marTop w:val="0"/>
                              <w:marBottom w:val="2160"/>
                              <w:divBdr>
                                <w:top w:val="none" w:sz="0" w:space="0" w:color="auto"/>
                                <w:left w:val="none" w:sz="0" w:space="0" w:color="auto"/>
                                <w:bottom w:val="none" w:sz="0" w:space="0" w:color="auto"/>
                                <w:right w:val="none" w:sz="0" w:space="0" w:color="auto"/>
                              </w:divBdr>
                              <w:divsChild>
                                <w:div w:id="1175193983">
                                  <w:marLeft w:val="0"/>
                                  <w:marRight w:val="0"/>
                                  <w:marTop w:val="0"/>
                                  <w:marBottom w:val="0"/>
                                  <w:divBdr>
                                    <w:top w:val="none" w:sz="0" w:space="0" w:color="auto"/>
                                    <w:left w:val="none" w:sz="0" w:space="0" w:color="auto"/>
                                    <w:bottom w:val="none" w:sz="0" w:space="0" w:color="auto"/>
                                    <w:right w:val="none" w:sz="0" w:space="0" w:color="auto"/>
                                  </w:divBdr>
                                  <w:divsChild>
                                    <w:div w:id="1660619091">
                                      <w:marLeft w:val="0"/>
                                      <w:marRight w:val="0"/>
                                      <w:marTop w:val="0"/>
                                      <w:marBottom w:val="0"/>
                                      <w:divBdr>
                                        <w:top w:val="none" w:sz="0" w:space="0" w:color="auto"/>
                                        <w:left w:val="none" w:sz="0" w:space="0" w:color="auto"/>
                                        <w:bottom w:val="none" w:sz="0" w:space="0" w:color="auto"/>
                                        <w:right w:val="none" w:sz="0" w:space="0" w:color="auto"/>
                                      </w:divBdr>
                                      <w:divsChild>
                                        <w:div w:id="865754321">
                                          <w:marLeft w:val="0"/>
                                          <w:marRight w:val="0"/>
                                          <w:marTop w:val="0"/>
                                          <w:marBottom w:val="0"/>
                                          <w:divBdr>
                                            <w:top w:val="none" w:sz="0" w:space="0" w:color="auto"/>
                                            <w:left w:val="none" w:sz="0" w:space="0" w:color="auto"/>
                                            <w:bottom w:val="none" w:sz="0" w:space="0" w:color="auto"/>
                                            <w:right w:val="none" w:sz="0" w:space="0" w:color="auto"/>
                                          </w:divBdr>
                                          <w:divsChild>
                                            <w:div w:id="500892206">
                                              <w:marLeft w:val="0"/>
                                              <w:marRight w:val="0"/>
                                              <w:marTop w:val="0"/>
                                              <w:marBottom w:val="0"/>
                                              <w:divBdr>
                                                <w:top w:val="none" w:sz="0" w:space="0" w:color="auto"/>
                                                <w:left w:val="none" w:sz="0" w:space="0" w:color="auto"/>
                                                <w:bottom w:val="none" w:sz="0" w:space="0" w:color="auto"/>
                                                <w:right w:val="none" w:sz="0" w:space="0" w:color="auto"/>
                                              </w:divBdr>
                                              <w:divsChild>
                                                <w:div w:id="1228106422">
                                                  <w:marLeft w:val="0"/>
                                                  <w:marRight w:val="0"/>
                                                  <w:marTop w:val="0"/>
                                                  <w:marBottom w:val="0"/>
                                                  <w:divBdr>
                                                    <w:top w:val="none" w:sz="0" w:space="0" w:color="auto"/>
                                                    <w:left w:val="none" w:sz="0" w:space="0" w:color="auto"/>
                                                    <w:bottom w:val="none" w:sz="0" w:space="0" w:color="auto"/>
                                                    <w:right w:val="none" w:sz="0" w:space="0" w:color="auto"/>
                                                  </w:divBdr>
                                                </w:div>
                                                <w:div w:id="2120026614">
                                                  <w:marLeft w:val="0"/>
                                                  <w:marRight w:val="0"/>
                                                  <w:marTop w:val="120"/>
                                                  <w:marBottom w:val="0"/>
                                                  <w:divBdr>
                                                    <w:top w:val="none" w:sz="0" w:space="0" w:color="auto"/>
                                                    <w:left w:val="none" w:sz="0" w:space="0" w:color="auto"/>
                                                    <w:bottom w:val="none" w:sz="0" w:space="0" w:color="auto"/>
                                                    <w:right w:val="none" w:sz="0" w:space="0" w:color="auto"/>
                                                  </w:divBdr>
                                                  <w:divsChild>
                                                    <w:div w:id="2072998527">
                                                      <w:marLeft w:val="0"/>
                                                      <w:marRight w:val="0"/>
                                                      <w:marTop w:val="0"/>
                                                      <w:marBottom w:val="0"/>
                                                      <w:divBdr>
                                                        <w:top w:val="none" w:sz="0" w:space="0" w:color="auto"/>
                                                        <w:left w:val="none" w:sz="0" w:space="0" w:color="auto"/>
                                                        <w:bottom w:val="none" w:sz="0" w:space="0" w:color="auto"/>
                                                        <w:right w:val="none" w:sz="0" w:space="0" w:color="auto"/>
                                                      </w:divBdr>
                                                      <w:divsChild>
                                                        <w:div w:id="1622614849">
                                                          <w:marLeft w:val="0"/>
                                                          <w:marRight w:val="0"/>
                                                          <w:marTop w:val="0"/>
                                                          <w:marBottom w:val="0"/>
                                                          <w:divBdr>
                                                            <w:top w:val="none" w:sz="0" w:space="0" w:color="auto"/>
                                                            <w:left w:val="none" w:sz="0" w:space="0" w:color="auto"/>
                                                            <w:bottom w:val="none" w:sz="0" w:space="0" w:color="auto"/>
                                                            <w:right w:val="none" w:sz="0" w:space="0" w:color="auto"/>
                                                          </w:divBdr>
                                                        </w:div>
                                                      </w:divsChild>
                                                    </w:div>
                                                    <w:div w:id="2560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9892910">
          <w:marLeft w:val="0"/>
          <w:marRight w:val="0"/>
          <w:marTop w:val="0"/>
          <w:marBottom w:val="0"/>
          <w:divBdr>
            <w:top w:val="none" w:sz="0" w:space="0" w:color="auto"/>
            <w:left w:val="none" w:sz="0" w:space="0" w:color="auto"/>
            <w:bottom w:val="none" w:sz="0" w:space="0" w:color="auto"/>
            <w:right w:val="none" w:sz="0" w:space="0" w:color="auto"/>
          </w:divBdr>
          <w:divsChild>
            <w:div w:id="573583891">
              <w:marLeft w:val="0"/>
              <w:marRight w:val="0"/>
              <w:marTop w:val="0"/>
              <w:marBottom w:val="0"/>
              <w:divBdr>
                <w:top w:val="none" w:sz="0" w:space="0" w:color="auto"/>
                <w:left w:val="none" w:sz="0" w:space="0" w:color="auto"/>
                <w:bottom w:val="none" w:sz="0" w:space="0" w:color="auto"/>
                <w:right w:val="none" w:sz="0" w:space="0" w:color="auto"/>
              </w:divBdr>
              <w:divsChild>
                <w:div w:id="1956060493">
                  <w:marLeft w:val="0"/>
                  <w:marRight w:val="0"/>
                  <w:marTop w:val="0"/>
                  <w:marBottom w:val="0"/>
                  <w:divBdr>
                    <w:top w:val="none" w:sz="0" w:space="0" w:color="auto"/>
                    <w:left w:val="none" w:sz="0" w:space="0" w:color="auto"/>
                    <w:bottom w:val="none" w:sz="0" w:space="0" w:color="auto"/>
                    <w:right w:val="none" w:sz="0" w:space="0" w:color="auto"/>
                  </w:divBdr>
                  <w:divsChild>
                    <w:div w:id="897401063">
                      <w:marLeft w:val="0"/>
                      <w:marRight w:val="0"/>
                      <w:marTop w:val="0"/>
                      <w:marBottom w:val="0"/>
                      <w:divBdr>
                        <w:top w:val="none" w:sz="0" w:space="0" w:color="auto"/>
                        <w:left w:val="none" w:sz="0" w:space="0" w:color="auto"/>
                        <w:bottom w:val="none" w:sz="0" w:space="0" w:color="auto"/>
                        <w:right w:val="none" w:sz="0" w:space="0" w:color="auto"/>
                      </w:divBdr>
                      <w:divsChild>
                        <w:div w:id="1079446577">
                          <w:marLeft w:val="0"/>
                          <w:marRight w:val="0"/>
                          <w:marTop w:val="0"/>
                          <w:marBottom w:val="0"/>
                          <w:divBdr>
                            <w:top w:val="single" w:sz="6" w:space="11" w:color="E7E7E7"/>
                            <w:left w:val="single" w:sz="6" w:space="9" w:color="E7E7E7"/>
                            <w:bottom w:val="single" w:sz="6" w:space="9" w:color="E7E7E7"/>
                            <w:right w:val="single" w:sz="6" w:space="9" w:color="E7E7E7"/>
                          </w:divBdr>
                          <w:divsChild>
                            <w:div w:id="454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181017">
      <w:bodyDiv w:val="1"/>
      <w:marLeft w:val="0"/>
      <w:marRight w:val="0"/>
      <w:marTop w:val="0"/>
      <w:marBottom w:val="0"/>
      <w:divBdr>
        <w:top w:val="none" w:sz="0" w:space="0" w:color="auto"/>
        <w:left w:val="none" w:sz="0" w:space="0" w:color="auto"/>
        <w:bottom w:val="none" w:sz="0" w:space="0" w:color="auto"/>
        <w:right w:val="none" w:sz="0" w:space="0" w:color="auto"/>
      </w:divBdr>
    </w:div>
    <w:div w:id="993794547">
      <w:bodyDiv w:val="1"/>
      <w:marLeft w:val="0"/>
      <w:marRight w:val="0"/>
      <w:marTop w:val="0"/>
      <w:marBottom w:val="0"/>
      <w:divBdr>
        <w:top w:val="none" w:sz="0" w:space="0" w:color="auto"/>
        <w:left w:val="none" w:sz="0" w:space="0" w:color="auto"/>
        <w:bottom w:val="none" w:sz="0" w:space="0" w:color="auto"/>
        <w:right w:val="none" w:sz="0" w:space="0" w:color="auto"/>
      </w:divBdr>
    </w:div>
    <w:div w:id="1007366124">
      <w:bodyDiv w:val="1"/>
      <w:marLeft w:val="0"/>
      <w:marRight w:val="0"/>
      <w:marTop w:val="0"/>
      <w:marBottom w:val="0"/>
      <w:divBdr>
        <w:top w:val="none" w:sz="0" w:space="0" w:color="auto"/>
        <w:left w:val="none" w:sz="0" w:space="0" w:color="auto"/>
        <w:bottom w:val="none" w:sz="0" w:space="0" w:color="auto"/>
        <w:right w:val="none" w:sz="0" w:space="0" w:color="auto"/>
      </w:divBdr>
    </w:div>
    <w:div w:id="1245607053">
      <w:bodyDiv w:val="1"/>
      <w:marLeft w:val="0"/>
      <w:marRight w:val="0"/>
      <w:marTop w:val="0"/>
      <w:marBottom w:val="0"/>
      <w:divBdr>
        <w:top w:val="none" w:sz="0" w:space="0" w:color="auto"/>
        <w:left w:val="none" w:sz="0" w:space="0" w:color="auto"/>
        <w:bottom w:val="none" w:sz="0" w:space="0" w:color="auto"/>
        <w:right w:val="none" w:sz="0" w:space="0" w:color="auto"/>
      </w:divBdr>
    </w:div>
    <w:div w:id="1250038024">
      <w:bodyDiv w:val="1"/>
      <w:marLeft w:val="0"/>
      <w:marRight w:val="0"/>
      <w:marTop w:val="0"/>
      <w:marBottom w:val="0"/>
      <w:divBdr>
        <w:top w:val="none" w:sz="0" w:space="0" w:color="auto"/>
        <w:left w:val="none" w:sz="0" w:space="0" w:color="auto"/>
        <w:bottom w:val="none" w:sz="0" w:space="0" w:color="auto"/>
        <w:right w:val="none" w:sz="0" w:space="0" w:color="auto"/>
      </w:divBdr>
    </w:div>
    <w:div w:id="1478915535">
      <w:bodyDiv w:val="1"/>
      <w:marLeft w:val="0"/>
      <w:marRight w:val="0"/>
      <w:marTop w:val="0"/>
      <w:marBottom w:val="0"/>
      <w:divBdr>
        <w:top w:val="none" w:sz="0" w:space="0" w:color="auto"/>
        <w:left w:val="none" w:sz="0" w:space="0" w:color="auto"/>
        <w:bottom w:val="none" w:sz="0" w:space="0" w:color="auto"/>
        <w:right w:val="none" w:sz="0" w:space="0" w:color="auto"/>
      </w:divBdr>
    </w:div>
    <w:div w:id="1495760086">
      <w:bodyDiv w:val="1"/>
      <w:marLeft w:val="0"/>
      <w:marRight w:val="0"/>
      <w:marTop w:val="0"/>
      <w:marBottom w:val="0"/>
      <w:divBdr>
        <w:top w:val="none" w:sz="0" w:space="0" w:color="auto"/>
        <w:left w:val="none" w:sz="0" w:space="0" w:color="auto"/>
        <w:bottom w:val="none" w:sz="0" w:space="0" w:color="auto"/>
        <w:right w:val="none" w:sz="0" w:space="0" w:color="auto"/>
      </w:divBdr>
    </w:div>
    <w:div w:id="1500459072">
      <w:bodyDiv w:val="1"/>
      <w:marLeft w:val="0"/>
      <w:marRight w:val="0"/>
      <w:marTop w:val="0"/>
      <w:marBottom w:val="0"/>
      <w:divBdr>
        <w:top w:val="none" w:sz="0" w:space="0" w:color="auto"/>
        <w:left w:val="none" w:sz="0" w:space="0" w:color="auto"/>
        <w:bottom w:val="none" w:sz="0" w:space="0" w:color="auto"/>
        <w:right w:val="none" w:sz="0" w:space="0" w:color="auto"/>
      </w:divBdr>
    </w:div>
    <w:div w:id="1656448919">
      <w:bodyDiv w:val="1"/>
      <w:marLeft w:val="0"/>
      <w:marRight w:val="0"/>
      <w:marTop w:val="0"/>
      <w:marBottom w:val="0"/>
      <w:divBdr>
        <w:top w:val="none" w:sz="0" w:space="0" w:color="auto"/>
        <w:left w:val="none" w:sz="0" w:space="0" w:color="auto"/>
        <w:bottom w:val="none" w:sz="0" w:space="0" w:color="auto"/>
        <w:right w:val="none" w:sz="0" w:space="0" w:color="auto"/>
      </w:divBdr>
    </w:div>
    <w:div w:id="1774741001">
      <w:bodyDiv w:val="1"/>
      <w:marLeft w:val="0"/>
      <w:marRight w:val="0"/>
      <w:marTop w:val="0"/>
      <w:marBottom w:val="0"/>
      <w:divBdr>
        <w:top w:val="none" w:sz="0" w:space="0" w:color="auto"/>
        <w:left w:val="none" w:sz="0" w:space="0" w:color="auto"/>
        <w:bottom w:val="none" w:sz="0" w:space="0" w:color="auto"/>
        <w:right w:val="none" w:sz="0" w:space="0" w:color="auto"/>
      </w:divBdr>
      <w:divsChild>
        <w:div w:id="1207793671">
          <w:marLeft w:val="0"/>
          <w:marRight w:val="0"/>
          <w:marTop w:val="0"/>
          <w:marBottom w:val="0"/>
          <w:divBdr>
            <w:top w:val="none" w:sz="0" w:space="0" w:color="auto"/>
            <w:left w:val="none" w:sz="0" w:space="0" w:color="auto"/>
            <w:bottom w:val="none" w:sz="0" w:space="0" w:color="auto"/>
            <w:right w:val="none" w:sz="0" w:space="0" w:color="auto"/>
          </w:divBdr>
        </w:div>
        <w:div w:id="1381856717">
          <w:marLeft w:val="0"/>
          <w:marRight w:val="0"/>
          <w:marTop w:val="0"/>
          <w:marBottom w:val="0"/>
          <w:divBdr>
            <w:top w:val="none" w:sz="0" w:space="0" w:color="auto"/>
            <w:left w:val="none" w:sz="0" w:space="0" w:color="auto"/>
            <w:bottom w:val="none" w:sz="0" w:space="0" w:color="auto"/>
            <w:right w:val="none" w:sz="0" w:space="0" w:color="auto"/>
          </w:divBdr>
        </w:div>
        <w:div w:id="1722095530">
          <w:marLeft w:val="0"/>
          <w:marRight w:val="0"/>
          <w:marTop w:val="0"/>
          <w:marBottom w:val="0"/>
          <w:divBdr>
            <w:top w:val="none" w:sz="0" w:space="0" w:color="auto"/>
            <w:left w:val="none" w:sz="0" w:space="0" w:color="auto"/>
            <w:bottom w:val="none" w:sz="0" w:space="0" w:color="auto"/>
            <w:right w:val="none" w:sz="0" w:space="0" w:color="auto"/>
          </w:divBdr>
        </w:div>
        <w:div w:id="1377588653">
          <w:marLeft w:val="0"/>
          <w:marRight w:val="0"/>
          <w:marTop w:val="0"/>
          <w:marBottom w:val="0"/>
          <w:divBdr>
            <w:top w:val="none" w:sz="0" w:space="0" w:color="auto"/>
            <w:left w:val="none" w:sz="0" w:space="0" w:color="auto"/>
            <w:bottom w:val="none" w:sz="0" w:space="0" w:color="auto"/>
            <w:right w:val="none" w:sz="0" w:space="0" w:color="auto"/>
          </w:divBdr>
        </w:div>
        <w:div w:id="1869492531">
          <w:marLeft w:val="0"/>
          <w:marRight w:val="0"/>
          <w:marTop w:val="0"/>
          <w:marBottom w:val="0"/>
          <w:divBdr>
            <w:top w:val="none" w:sz="0" w:space="0" w:color="auto"/>
            <w:left w:val="none" w:sz="0" w:space="0" w:color="auto"/>
            <w:bottom w:val="none" w:sz="0" w:space="0" w:color="auto"/>
            <w:right w:val="none" w:sz="0" w:space="0" w:color="auto"/>
          </w:divBdr>
        </w:div>
        <w:div w:id="160124882">
          <w:marLeft w:val="0"/>
          <w:marRight w:val="0"/>
          <w:marTop w:val="0"/>
          <w:marBottom w:val="0"/>
          <w:divBdr>
            <w:top w:val="none" w:sz="0" w:space="0" w:color="auto"/>
            <w:left w:val="none" w:sz="0" w:space="0" w:color="auto"/>
            <w:bottom w:val="none" w:sz="0" w:space="0" w:color="auto"/>
            <w:right w:val="none" w:sz="0" w:space="0" w:color="auto"/>
          </w:divBdr>
        </w:div>
        <w:div w:id="1491603710">
          <w:marLeft w:val="0"/>
          <w:marRight w:val="0"/>
          <w:marTop w:val="0"/>
          <w:marBottom w:val="0"/>
          <w:divBdr>
            <w:top w:val="none" w:sz="0" w:space="0" w:color="auto"/>
            <w:left w:val="none" w:sz="0" w:space="0" w:color="auto"/>
            <w:bottom w:val="none" w:sz="0" w:space="0" w:color="auto"/>
            <w:right w:val="none" w:sz="0" w:space="0" w:color="auto"/>
          </w:divBdr>
        </w:div>
        <w:div w:id="2141682050">
          <w:marLeft w:val="0"/>
          <w:marRight w:val="0"/>
          <w:marTop w:val="0"/>
          <w:marBottom w:val="0"/>
          <w:divBdr>
            <w:top w:val="none" w:sz="0" w:space="0" w:color="auto"/>
            <w:left w:val="none" w:sz="0" w:space="0" w:color="auto"/>
            <w:bottom w:val="none" w:sz="0" w:space="0" w:color="auto"/>
            <w:right w:val="none" w:sz="0" w:space="0" w:color="auto"/>
          </w:divBdr>
        </w:div>
        <w:div w:id="404768589">
          <w:marLeft w:val="0"/>
          <w:marRight w:val="0"/>
          <w:marTop w:val="0"/>
          <w:marBottom w:val="0"/>
          <w:divBdr>
            <w:top w:val="none" w:sz="0" w:space="0" w:color="auto"/>
            <w:left w:val="none" w:sz="0" w:space="0" w:color="auto"/>
            <w:bottom w:val="none" w:sz="0" w:space="0" w:color="auto"/>
            <w:right w:val="none" w:sz="0" w:space="0" w:color="auto"/>
          </w:divBdr>
        </w:div>
        <w:div w:id="2031760125">
          <w:marLeft w:val="0"/>
          <w:marRight w:val="0"/>
          <w:marTop w:val="0"/>
          <w:marBottom w:val="0"/>
          <w:divBdr>
            <w:top w:val="none" w:sz="0" w:space="0" w:color="auto"/>
            <w:left w:val="none" w:sz="0" w:space="0" w:color="auto"/>
            <w:bottom w:val="none" w:sz="0" w:space="0" w:color="auto"/>
            <w:right w:val="none" w:sz="0" w:space="0" w:color="auto"/>
          </w:divBdr>
        </w:div>
        <w:div w:id="793132525">
          <w:marLeft w:val="0"/>
          <w:marRight w:val="0"/>
          <w:marTop w:val="0"/>
          <w:marBottom w:val="0"/>
          <w:divBdr>
            <w:top w:val="none" w:sz="0" w:space="0" w:color="auto"/>
            <w:left w:val="none" w:sz="0" w:space="0" w:color="auto"/>
            <w:bottom w:val="none" w:sz="0" w:space="0" w:color="auto"/>
            <w:right w:val="none" w:sz="0" w:space="0" w:color="auto"/>
          </w:divBdr>
        </w:div>
        <w:div w:id="1019544482">
          <w:marLeft w:val="0"/>
          <w:marRight w:val="0"/>
          <w:marTop w:val="0"/>
          <w:marBottom w:val="0"/>
          <w:divBdr>
            <w:top w:val="none" w:sz="0" w:space="0" w:color="auto"/>
            <w:left w:val="none" w:sz="0" w:space="0" w:color="auto"/>
            <w:bottom w:val="none" w:sz="0" w:space="0" w:color="auto"/>
            <w:right w:val="none" w:sz="0" w:space="0" w:color="auto"/>
          </w:divBdr>
        </w:div>
        <w:div w:id="1482499296">
          <w:marLeft w:val="0"/>
          <w:marRight w:val="0"/>
          <w:marTop w:val="0"/>
          <w:marBottom w:val="0"/>
          <w:divBdr>
            <w:top w:val="none" w:sz="0" w:space="0" w:color="auto"/>
            <w:left w:val="none" w:sz="0" w:space="0" w:color="auto"/>
            <w:bottom w:val="none" w:sz="0" w:space="0" w:color="auto"/>
            <w:right w:val="none" w:sz="0" w:space="0" w:color="auto"/>
          </w:divBdr>
        </w:div>
        <w:div w:id="1159616798">
          <w:marLeft w:val="0"/>
          <w:marRight w:val="0"/>
          <w:marTop w:val="0"/>
          <w:marBottom w:val="0"/>
          <w:divBdr>
            <w:top w:val="none" w:sz="0" w:space="0" w:color="auto"/>
            <w:left w:val="none" w:sz="0" w:space="0" w:color="auto"/>
            <w:bottom w:val="none" w:sz="0" w:space="0" w:color="auto"/>
            <w:right w:val="none" w:sz="0" w:space="0" w:color="auto"/>
          </w:divBdr>
        </w:div>
      </w:divsChild>
    </w:div>
    <w:div w:id="1962104171">
      <w:bodyDiv w:val="1"/>
      <w:marLeft w:val="0"/>
      <w:marRight w:val="0"/>
      <w:marTop w:val="0"/>
      <w:marBottom w:val="0"/>
      <w:divBdr>
        <w:top w:val="none" w:sz="0" w:space="0" w:color="auto"/>
        <w:left w:val="none" w:sz="0" w:space="0" w:color="auto"/>
        <w:bottom w:val="none" w:sz="0" w:space="0" w:color="auto"/>
        <w:right w:val="none" w:sz="0" w:space="0" w:color="auto"/>
      </w:divBdr>
    </w:div>
    <w:div w:id="2118942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rteconstitucional.gov.co/relatoria/2024/c-161-24.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siicor.corteconstitucional.gov.co/controldeprocesos/archivo.php?id=91628" TargetMode="External"/><Relationship Id="rId13" Type="http://schemas.openxmlformats.org/officeDocument/2006/relationships/hyperlink" Target="https://siicor.corteconstitucional.gov.co/controldeprocesos/archivo.php?id=91834" TargetMode="External"/><Relationship Id="rId3" Type="http://schemas.openxmlformats.org/officeDocument/2006/relationships/hyperlink" Target="https://siicor.corteconstitucional.gov.co/controldeprocesos/archivo.php?id=85857" TargetMode="External"/><Relationship Id="rId7" Type="http://schemas.openxmlformats.org/officeDocument/2006/relationships/hyperlink" Target="https://siicor.corteconstitucional.gov.co/controldeprocesos/archivo.php?id=91606" TargetMode="External"/><Relationship Id="rId12" Type="http://schemas.openxmlformats.org/officeDocument/2006/relationships/hyperlink" Target="https://siicor.corteconstitucional.gov.co/controldeprocesos/archivo.php?id=91765" TargetMode="External"/><Relationship Id="rId2" Type="http://schemas.openxmlformats.org/officeDocument/2006/relationships/hyperlink" Target="https://siicor.corteconstitucional.gov.co/controldeprocesos/archivo.php?id=85837" TargetMode="External"/><Relationship Id="rId1" Type="http://schemas.openxmlformats.org/officeDocument/2006/relationships/hyperlink" Target="https://siicor.corteconstitucional.gov.co/controldeprocesos/archivo.php?id=90881" TargetMode="External"/><Relationship Id="rId6" Type="http://schemas.openxmlformats.org/officeDocument/2006/relationships/hyperlink" Target="https://siicor.corteconstitucional.gov.co/controldeprocesos/archivo.php?id=91447" TargetMode="External"/><Relationship Id="rId11" Type="http://schemas.openxmlformats.org/officeDocument/2006/relationships/hyperlink" Target="https://siicor.corteconstitucional.gov.co/controldeprocesos/archivo.php?id=91959" TargetMode="External"/><Relationship Id="rId5" Type="http://schemas.openxmlformats.org/officeDocument/2006/relationships/hyperlink" Target="https://siicor.corteconstitucional.gov.co/controldeprocesos/archivo.php?id=74819" TargetMode="External"/><Relationship Id="rId10" Type="http://schemas.openxmlformats.org/officeDocument/2006/relationships/hyperlink" Target="https://siicor.corteconstitucional.gov.co/controldeprocesos/archivo.php?id=91790" TargetMode="External"/><Relationship Id="rId4" Type="http://schemas.openxmlformats.org/officeDocument/2006/relationships/hyperlink" Target="https://siicor.corteconstitucional.gov.co/controldeprocesos/archivo.php?id=85817" TargetMode="External"/><Relationship Id="rId9" Type="http://schemas.openxmlformats.org/officeDocument/2006/relationships/hyperlink" Target="https://siicor.corteconstitucional.gov.co/controldeprocesos/archivo.php?id=91639" TargetMode="External"/><Relationship Id="rId14" Type="http://schemas.openxmlformats.org/officeDocument/2006/relationships/hyperlink" Target="https://siicor.corteconstitucional.gov.co/controldeprocesos/archivo.php?id=93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11478</Words>
  <Characters>63131</Characters>
  <Application>Microsoft Office Word</Application>
  <DocSecurity>0</DocSecurity>
  <Lines>526</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Doncel Barrera</dc:creator>
  <dc:description/>
  <cp:lastModifiedBy>Diego Fernando López Admin</cp:lastModifiedBy>
  <cp:revision>2</cp:revision>
  <dcterms:created xsi:type="dcterms:W3CDTF">2025-09-16T19:27:00Z</dcterms:created>
  <dcterms:modified xsi:type="dcterms:W3CDTF">2025-09-16T19:27:00Z</dcterms:modified>
  <dc:language>es-ES</dc:language>
</cp:coreProperties>
</file>