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783E8" w14:textId="576C1968" w:rsidR="00D27034" w:rsidRPr="00D061DF" w:rsidRDefault="00D27034" w:rsidP="003349DE">
      <w:pPr>
        <w:pStyle w:val="Encabezado"/>
        <w:snapToGrid w:val="0"/>
        <w:jc w:val="center"/>
        <w:rPr>
          <w:b/>
          <w:bCs/>
          <w:color w:val="000000" w:themeColor="text1"/>
          <w:sz w:val="28"/>
          <w:szCs w:val="28"/>
          <w:lang w:val="es-CO"/>
        </w:rPr>
      </w:pPr>
      <w:bookmarkStart w:id="0" w:name="_Hlk198538870"/>
      <w:r w:rsidRPr="00D061DF">
        <w:rPr>
          <w:b/>
          <w:bCs/>
          <w:color w:val="000000" w:themeColor="text1"/>
          <w:sz w:val="28"/>
          <w:szCs w:val="28"/>
          <w:lang w:val="es-CO"/>
        </w:rPr>
        <w:t>REPÚBLICA DE COLOMBIA</w:t>
      </w:r>
    </w:p>
    <w:p w14:paraId="4A9C3ABE" w14:textId="1D95CBD5" w:rsidR="00D27034" w:rsidRPr="00D061DF" w:rsidRDefault="003349DE" w:rsidP="003349DE">
      <w:pPr>
        <w:pStyle w:val="Encabezado"/>
        <w:snapToGrid w:val="0"/>
        <w:jc w:val="center"/>
        <w:rPr>
          <w:b/>
          <w:bCs/>
          <w:color w:val="000000" w:themeColor="text1"/>
          <w:sz w:val="28"/>
          <w:szCs w:val="28"/>
          <w:lang w:val="es-CO"/>
        </w:rPr>
      </w:pPr>
      <w:r>
        <w:rPr>
          <w:b/>
          <w:bCs/>
          <w:noProof/>
          <w:color w:val="000000" w:themeColor="text1"/>
          <w:sz w:val="28"/>
          <w:szCs w:val="28"/>
          <w:lang w:val="es-CO"/>
        </w:rPr>
        <w:drawing>
          <wp:inline distT="0" distB="0" distL="0" distR="0" wp14:anchorId="5A515B41" wp14:editId="173BA5DF">
            <wp:extent cx="855025" cy="828675"/>
            <wp:effectExtent l="0" t="0" r="2540" b="0"/>
            <wp:docPr id="2087506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5384" cy="829023"/>
                    </a:xfrm>
                    <a:prstGeom prst="rect">
                      <a:avLst/>
                    </a:prstGeom>
                    <a:noFill/>
                  </pic:spPr>
                </pic:pic>
              </a:graphicData>
            </a:graphic>
          </wp:inline>
        </w:drawing>
      </w:r>
    </w:p>
    <w:p w14:paraId="47FB4396" w14:textId="16B96EA4" w:rsidR="00D27034" w:rsidRPr="00D061DF" w:rsidRDefault="00D27034" w:rsidP="003349DE">
      <w:pPr>
        <w:pStyle w:val="Encabezado"/>
        <w:snapToGrid w:val="0"/>
        <w:jc w:val="center"/>
        <w:rPr>
          <w:b/>
          <w:bCs/>
          <w:color w:val="000000" w:themeColor="text1"/>
          <w:sz w:val="28"/>
          <w:szCs w:val="28"/>
          <w:lang w:val="es-CO"/>
        </w:rPr>
      </w:pPr>
      <w:r w:rsidRPr="00D061DF">
        <w:rPr>
          <w:b/>
          <w:bCs/>
          <w:color w:val="000000" w:themeColor="text1"/>
          <w:sz w:val="28"/>
          <w:szCs w:val="28"/>
          <w:lang w:val="es-CO"/>
        </w:rPr>
        <w:t>CORTE CONSTITUCIONAL</w:t>
      </w:r>
    </w:p>
    <w:p w14:paraId="0D5C9DD9" w14:textId="77777777" w:rsidR="00D27034" w:rsidRPr="00D061DF" w:rsidRDefault="00D27034" w:rsidP="003349DE">
      <w:pPr>
        <w:pStyle w:val="Encabezado"/>
        <w:jc w:val="center"/>
        <w:rPr>
          <w:b/>
          <w:bCs/>
          <w:color w:val="000000" w:themeColor="text1"/>
          <w:sz w:val="28"/>
          <w:szCs w:val="28"/>
          <w:lang w:val="es-CO"/>
        </w:rPr>
      </w:pPr>
      <w:r w:rsidRPr="00D061DF">
        <w:rPr>
          <w:b/>
          <w:bCs/>
          <w:color w:val="000000" w:themeColor="text1"/>
          <w:sz w:val="28"/>
          <w:szCs w:val="28"/>
          <w:lang w:val="es-CO"/>
        </w:rPr>
        <w:t>-Sala Plena-</w:t>
      </w:r>
    </w:p>
    <w:p w14:paraId="352044D5" w14:textId="77777777" w:rsidR="00D27034" w:rsidRPr="00D061DF" w:rsidRDefault="00D27034" w:rsidP="003349DE">
      <w:pPr>
        <w:ind w:left="708" w:right="51" w:hanging="708"/>
        <w:contextualSpacing/>
        <w:jc w:val="center"/>
        <w:rPr>
          <w:color w:val="000000" w:themeColor="text1"/>
          <w:sz w:val="28"/>
          <w:szCs w:val="28"/>
        </w:rPr>
      </w:pPr>
    </w:p>
    <w:p w14:paraId="31FD5F4B" w14:textId="7193C3D6" w:rsidR="00D27034" w:rsidRPr="00D061DF" w:rsidRDefault="00D27034" w:rsidP="00E067C2">
      <w:pPr>
        <w:ind w:right="51"/>
        <w:contextualSpacing/>
        <w:jc w:val="center"/>
        <w:rPr>
          <w:b/>
          <w:bCs/>
          <w:color w:val="000000" w:themeColor="text1"/>
          <w:sz w:val="28"/>
          <w:szCs w:val="28"/>
        </w:rPr>
      </w:pPr>
      <w:r w:rsidRPr="00D061DF">
        <w:rPr>
          <w:b/>
          <w:bCs/>
          <w:color w:val="000000" w:themeColor="text1"/>
          <w:sz w:val="28"/>
          <w:szCs w:val="28"/>
        </w:rPr>
        <w:t>SENTENCIA C-</w:t>
      </w:r>
      <w:r w:rsidR="004F6284">
        <w:rPr>
          <w:b/>
          <w:bCs/>
          <w:color w:val="000000" w:themeColor="text1"/>
          <w:sz w:val="28"/>
          <w:szCs w:val="28"/>
        </w:rPr>
        <w:t>225</w:t>
      </w:r>
      <w:r w:rsidRPr="00D061DF">
        <w:rPr>
          <w:b/>
          <w:bCs/>
          <w:color w:val="000000" w:themeColor="text1"/>
          <w:sz w:val="28"/>
          <w:szCs w:val="28"/>
        </w:rPr>
        <w:t xml:space="preserve"> DE 2025</w:t>
      </w:r>
    </w:p>
    <w:p w14:paraId="603D97C3" w14:textId="77777777" w:rsidR="00D27034" w:rsidRPr="00D061DF" w:rsidRDefault="00D27034" w:rsidP="00E067C2">
      <w:pPr>
        <w:ind w:right="51"/>
        <w:contextualSpacing/>
        <w:rPr>
          <w:b/>
          <w:color w:val="000000" w:themeColor="text1"/>
          <w:sz w:val="28"/>
          <w:szCs w:val="28"/>
        </w:rPr>
      </w:pPr>
    </w:p>
    <w:p w14:paraId="35F3F3AD" w14:textId="7FF17CBC" w:rsidR="00D27034" w:rsidRPr="00D061DF" w:rsidRDefault="00D27034" w:rsidP="00E067C2">
      <w:pPr>
        <w:ind w:left="3828" w:right="51"/>
        <w:contextualSpacing/>
        <w:rPr>
          <w:color w:val="000000" w:themeColor="text1"/>
          <w:sz w:val="28"/>
          <w:szCs w:val="28"/>
        </w:rPr>
      </w:pPr>
      <w:r w:rsidRPr="00D061DF">
        <w:rPr>
          <w:b/>
          <w:color w:val="000000" w:themeColor="text1"/>
          <w:sz w:val="28"/>
          <w:szCs w:val="28"/>
        </w:rPr>
        <w:t>Referencia:</w:t>
      </w:r>
      <w:r w:rsidRPr="00D061DF">
        <w:rPr>
          <w:color w:val="000000" w:themeColor="text1"/>
          <w:sz w:val="28"/>
          <w:szCs w:val="28"/>
        </w:rPr>
        <w:t xml:space="preserve"> </w:t>
      </w:r>
      <w:r w:rsidR="0071087D">
        <w:rPr>
          <w:iCs/>
          <w:color w:val="000000" w:themeColor="text1"/>
          <w:sz w:val="28"/>
          <w:szCs w:val="28"/>
        </w:rPr>
        <w:t>e</w:t>
      </w:r>
      <w:r w:rsidRPr="00D061DF">
        <w:rPr>
          <w:iCs/>
          <w:color w:val="000000" w:themeColor="text1"/>
          <w:sz w:val="28"/>
          <w:szCs w:val="28"/>
        </w:rPr>
        <w:t>xpediente D-1</w:t>
      </w:r>
      <w:r w:rsidR="00517033">
        <w:rPr>
          <w:iCs/>
          <w:color w:val="000000" w:themeColor="text1"/>
          <w:sz w:val="28"/>
          <w:szCs w:val="28"/>
        </w:rPr>
        <w:t>5594</w:t>
      </w:r>
    </w:p>
    <w:p w14:paraId="6AD7F389" w14:textId="77777777" w:rsidR="00D27034" w:rsidRPr="00D061DF" w:rsidRDefault="00D27034" w:rsidP="00E067C2">
      <w:pPr>
        <w:ind w:left="3828" w:right="51"/>
        <w:contextualSpacing/>
        <w:rPr>
          <w:iCs/>
          <w:color w:val="000000" w:themeColor="text1"/>
          <w:sz w:val="28"/>
          <w:szCs w:val="28"/>
        </w:rPr>
      </w:pPr>
    </w:p>
    <w:p w14:paraId="79A6B7BE" w14:textId="24554CC8" w:rsidR="00D27034" w:rsidRPr="00D061DF" w:rsidRDefault="00D27034" w:rsidP="00E067C2">
      <w:pPr>
        <w:ind w:left="3828" w:right="51"/>
        <w:contextualSpacing/>
        <w:jc w:val="both"/>
        <w:rPr>
          <w:iCs/>
          <w:color w:val="000000" w:themeColor="text1"/>
          <w:sz w:val="28"/>
          <w:szCs w:val="28"/>
        </w:rPr>
      </w:pPr>
      <w:r w:rsidRPr="00D061DF">
        <w:rPr>
          <w:b/>
          <w:bCs/>
          <w:iCs/>
          <w:color w:val="000000" w:themeColor="text1"/>
          <w:sz w:val="28"/>
          <w:szCs w:val="28"/>
        </w:rPr>
        <w:t>Asunto:</w:t>
      </w:r>
      <w:r w:rsidRPr="00D061DF">
        <w:rPr>
          <w:iCs/>
          <w:color w:val="000000" w:themeColor="text1"/>
          <w:sz w:val="28"/>
          <w:szCs w:val="28"/>
        </w:rPr>
        <w:t xml:space="preserve"> demanda de inconstitucionalidad contra el </w:t>
      </w:r>
      <w:r w:rsidR="00517033">
        <w:rPr>
          <w:iCs/>
          <w:color w:val="000000" w:themeColor="text1"/>
          <w:sz w:val="28"/>
          <w:szCs w:val="28"/>
        </w:rPr>
        <w:t xml:space="preserve">artículo </w:t>
      </w:r>
      <w:r w:rsidR="002661DE">
        <w:rPr>
          <w:iCs/>
          <w:color w:val="000000" w:themeColor="text1"/>
          <w:sz w:val="28"/>
          <w:szCs w:val="28"/>
        </w:rPr>
        <w:t>el artículo 63 de</w:t>
      </w:r>
      <w:r w:rsidR="0056616C">
        <w:rPr>
          <w:iCs/>
          <w:color w:val="000000" w:themeColor="text1"/>
          <w:sz w:val="28"/>
          <w:szCs w:val="28"/>
        </w:rPr>
        <w:t xml:space="preserve"> la Ley 599 de 2000 “</w:t>
      </w:r>
      <w:r w:rsidR="00D019D3">
        <w:rPr>
          <w:i/>
          <w:color w:val="000000" w:themeColor="text1"/>
          <w:sz w:val="28"/>
          <w:szCs w:val="28"/>
        </w:rPr>
        <w:t>p</w:t>
      </w:r>
      <w:r w:rsidR="0056616C">
        <w:rPr>
          <w:i/>
          <w:color w:val="000000" w:themeColor="text1"/>
          <w:sz w:val="28"/>
          <w:szCs w:val="28"/>
        </w:rPr>
        <w:t xml:space="preserve">or la cual se </w:t>
      </w:r>
      <w:r w:rsidR="007F2569">
        <w:rPr>
          <w:i/>
          <w:color w:val="000000" w:themeColor="text1"/>
          <w:sz w:val="28"/>
          <w:szCs w:val="28"/>
        </w:rPr>
        <w:t>expide el Código Penal</w:t>
      </w:r>
      <w:r w:rsidR="0056616C">
        <w:rPr>
          <w:iCs/>
          <w:color w:val="000000" w:themeColor="text1"/>
          <w:sz w:val="28"/>
          <w:szCs w:val="28"/>
        </w:rPr>
        <w:t>”</w:t>
      </w:r>
      <w:r w:rsidR="002661DE">
        <w:rPr>
          <w:iCs/>
          <w:color w:val="000000" w:themeColor="text1"/>
          <w:sz w:val="28"/>
          <w:szCs w:val="28"/>
        </w:rPr>
        <w:t xml:space="preserve"> y el artículo </w:t>
      </w:r>
      <w:r w:rsidR="00517033">
        <w:rPr>
          <w:iCs/>
          <w:color w:val="000000" w:themeColor="text1"/>
          <w:sz w:val="28"/>
          <w:szCs w:val="28"/>
        </w:rPr>
        <w:t xml:space="preserve">177 </w:t>
      </w:r>
      <w:r w:rsidR="007F2569">
        <w:rPr>
          <w:iCs/>
          <w:color w:val="000000" w:themeColor="text1"/>
          <w:sz w:val="28"/>
          <w:szCs w:val="28"/>
        </w:rPr>
        <w:t>de la Ley 906 de 2004 “</w:t>
      </w:r>
      <w:r w:rsidR="00EE324F">
        <w:rPr>
          <w:i/>
          <w:color w:val="000000" w:themeColor="text1"/>
          <w:sz w:val="28"/>
          <w:szCs w:val="28"/>
        </w:rPr>
        <w:t>por la cual se expide el Código de Procedimiento Penal</w:t>
      </w:r>
      <w:r w:rsidR="007F2569">
        <w:rPr>
          <w:iCs/>
          <w:color w:val="000000" w:themeColor="text1"/>
          <w:sz w:val="28"/>
          <w:szCs w:val="28"/>
        </w:rPr>
        <w:t>”</w:t>
      </w:r>
    </w:p>
    <w:p w14:paraId="0BE3E04C" w14:textId="77777777" w:rsidR="00D27034" w:rsidRPr="00D061DF" w:rsidRDefault="00D27034" w:rsidP="00E067C2">
      <w:pPr>
        <w:ind w:left="3828" w:right="51"/>
        <w:contextualSpacing/>
        <w:rPr>
          <w:iCs/>
          <w:color w:val="000000" w:themeColor="text1"/>
          <w:sz w:val="28"/>
          <w:szCs w:val="28"/>
        </w:rPr>
      </w:pPr>
    </w:p>
    <w:p w14:paraId="40208938" w14:textId="0885533B" w:rsidR="00D27034" w:rsidRPr="00D061DF" w:rsidRDefault="00D27034" w:rsidP="00E067C2">
      <w:pPr>
        <w:ind w:left="3828" w:right="51"/>
        <w:contextualSpacing/>
        <w:rPr>
          <w:iCs/>
          <w:color w:val="000000" w:themeColor="text1"/>
          <w:sz w:val="28"/>
          <w:szCs w:val="28"/>
        </w:rPr>
      </w:pPr>
      <w:r w:rsidRPr="00D061DF">
        <w:rPr>
          <w:b/>
          <w:bCs/>
          <w:iCs/>
          <w:color w:val="000000" w:themeColor="text1"/>
          <w:sz w:val="28"/>
          <w:szCs w:val="28"/>
        </w:rPr>
        <w:t>Demandante:</w:t>
      </w:r>
      <w:r w:rsidRPr="00D061DF">
        <w:rPr>
          <w:iCs/>
          <w:color w:val="000000" w:themeColor="text1"/>
          <w:sz w:val="28"/>
          <w:szCs w:val="28"/>
        </w:rPr>
        <w:t xml:space="preserve"> </w:t>
      </w:r>
      <w:bookmarkStart w:id="1" w:name="_Hlk166569469"/>
      <w:r w:rsidR="00517033">
        <w:rPr>
          <w:iCs/>
          <w:color w:val="000000" w:themeColor="text1"/>
          <w:sz w:val="28"/>
          <w:szCs w:val="28"/>
        </w:rPr>
        <w:t>Felipe Chica Duque</w:t>
      </w:r>
    </w:p>
    <w:bookmarkEnd w:id="1"/>
    <w:p w14:paraId="3B3CF95E" w14:textId="77777777" w:rsidR="00D27034" w:rsidRPr="00D061DF" w:rsidRDefault="00D27034" w:rsidP="00E067C2">
      <w:pPr>
        <w:ind w:right="51"/>
        <w:contextualSpacing/>
        <w:rPr>
          <w:b/>
          <w:color w:val="000000" w:themeColor="text1"/>
          <w:sz w:val="28"/>
          <w:szCs w:val="28"/>
        </w:rPr>
      </w:pPr>
    </w:p>
    <w:p w14:paraId="2D3764B0" w14:textId="77777777" w:rsidR="00D27034" w:rsidRPr="00D061DF" w:rsidRDefault="00D27034" w:rsidP="00E067C2">
      <w:pPr>
        <w:ind w:left="3828" w:right="51"/>
        <w:contextualSpacing/>
        <w:rPr>
          <w:color w:val="000000" w:themeColor="text1"/>
          <w:sz w:val="28"/>
          <w:szCs w:val="28"/>
        </w:rPr>
      </w:pPr>
      <w:r w:rsidRPr="00D061DF">
        <w:rPr>
          <w:b/>
          <w:color w:val="000000" w:themeColor="text1"/>
          <w:sz w:val="28"/>
          <w:szCs w:val="28"/>
        </w:rPr>
        <w:t>Magistrado Ponente:</w:t>
      </w:r>
    </w:p>
    <w:p w14:paraId="411E9019" w14:textId="77777777" w:rsidR="00D27034" w:rsidRPr="00D061DF" w:rsidRDefault="00D27034" w:rsidP="00E067C2">
      <w:pPr>
        <w:ind w:right="51"/>
        <w:contextualSpacing/>
        <w:rPr>
          <w:color w:val="000000" w:themeColor="text1"/>
          <w:sz w:val="28"/>
          <w:szCs w:val="28"/>
        </w:rPr>
      </w:pPr>
      <w:r w:rsidRPr="00D061DF">
        <w:rPr>
          <w:color w:val="000000" w:themeColor="text1"/>
          <w:sz w:val="28"/>
          <w:szCs w:val="28"/>
        </w:rPr>
        <w:t xml:space="preserve">                                                       Miguel Polo Rosero</w:t>
      </w:r>
      <w:r w:rsidRPr="00D061DF">
        <w:rPr>
          <w:rStyle w:val="Refdenotaalpie"/>
          <w:rFonts w:eastAsia="SimSun"/>
          <w:color w:val="000000" w:themeColor="text1"/>
          <w:szCs w:val="28"/>
        </w:rPr>
        <w:footnoteReference w:id="1"/>
      </w:r>
    </w:p>
    <w:p w14:paraId="4C8AF8F5" w14:textId="77777777" w:rsidR="00D27034" w:rsidRPr="00D061DF" w:rsidRDefault="00D27034" w:rsidP="00E067C2">
      <w:pPr>
        <w:ind w:right="51"/>
        <w:contextualSpacing/>
        <w:rPr>
          <w:color w:val="000000" w:themeColor="text1"/>
          <w:sz w:val="28"/>
          <w:szCs w:val="28"/>
        </w:rPr>
      </w:pPr>
    </w:p>
    <w:p w14:paraId="0A7D9BBC" w14:textId="7A6852E9" w:rsidR="00D27034" w:rsidRPr="00D061DF" w:rsidRDefault="00D27034" w:rsidP="00E067C2">
      <w:pPr>
        <w:ind w:right="51"/>
        <w:contextualSpacing/>
        <w:rPr>
          <w:color w:val="000000" w:themeColor="text1"/>
          <w:sz w:val="28"/>
          <w:szCs w:val="28"/>
        </w:rPr>
      </w:pPr>
      <w:r w:rsidRPr="00D061DF">
        <w:rPr>
          <w:color w:val="000000" w:themeColor="text1"/>
          <w:sz w:val="28"/>
          <w:szCs w:val="28"/>
        </w:rPr>
        <w:t xml:space="preserve">Bogotá D.C., </w:t>
      </w:r>
      <w:r w:rsidR="00364DCB">
        <w:rPr>
          <w:color w:val="000000" w:themeColor="text1"/>
          <w:sz w:val="28"/>
          <w:szCs w:val="28"/>
        </w:rPr>
        <w:t>cuatro</w:t>
      </w:r>
      <w:r w:rsidR="00364DCB" w:rsidRPr="00D061DF">
        <w:rPr>
          <w:color w:val="000000" w:themeColor="text1"/>
          <w:sz w:val="28"/>
          <w:szCs w:val="28"/>
        </w:rPr>
        <w:t xml:space="preserve"> </w:t>
      </w:r>
      <w:r w:rsidRPr="00D061DF">
        <w:rPr>
          <w:color w:val="000000" w:themeColor="text1"/>
          <w:sz w:val="28"/>
          <w:szCs w:val="28"/>
        </w:rPr>
        <w:t>(</w:t>
      </w:r>
      <w:r w:rsidR="00364DCB">
        <w:rPr>
          <w:color w:val="000000" w:themeColor="text1"/>
          <w:sz w:val="28"/>
          <w:szCs w:val="28"/>
        </w:rPr>
        <w:t>4</w:t>
      </w:r>
      <w:r w:rsidRPr="00D061DF">
        <w:rPr>
          <w:color w:val="000000" w:themeColor="text1"/>
          <w:sz w:val="28"/>
          <w:szCs w:val="28"/>
        </w:rPr>
        <w:t xml:space="preserve">) de </w:t>
      </w:r>
      <w:r w:rsidR="00364DCB">
        <w:rPr>
          <w:color w:val="000000" w:themeColor="text1"/>
          <w:sz w:val="28"/>
          <w:szCs w:val="28"/>
        </w:rPr>
        <w:t>junio</w:t>
      </w:r>
      <w:r w:rsidR="00364DCB" w:rsidRPr="00D061DF">
        <w:rPr>
          <w:color w:val="000000" w:themeColor="text1"/>
          <w:sz w:val="28"/>
          <w:szCs w:val="28"/>
        </w:rPr>
        <w:t xml:space="preserve"> </w:t>
      </w:r>
      <w:r w:rsidRPr="00D061DF">
        <w:rPr>
          <w:color w:val="000000" w:themeColor="text1"/>
          <w:sz w:val="28"/>
          <w:szCs w:val="28"/>
        </w:rPr>
        <w:t>de dos mil veinticinco (2025)</w:t>
      </w:r>
    </w:p>
    <w:p w14:paraId="0FCC2EC7" w14:textId="77777777" w:rsidR="00D27034" w:rsidRPr="00D061DF" w:rsidRDefault="00D27034" w:rsidP="00E067C2">
      <w:pPr>
        <w:ind w:right="51"/>
        <w:contextualSpacing/>
        <w:rPr>
          <w:color w:val="000000" w:themeColor="text1"/>
          <w:sz w:val="28"/>
          <w:szCs w:val="28"/>
        </w:rPr>
      </w:pPr>
    </w:p>
    <w:p w14:paraId="272B339A" w14:textId="0F41B6F3" w:rsidR="00D27034" w:rsidRPr="00D061DF" w:rsidRDefault="00D27034" w:rsidP="00E067C2">
      <w:pPr>
        <w:ind w:right="51"/>
        <w:contextualSpacing/>
        <w:jc w:val="both"/>
        <w:rPr>
          <w:color w:val="000000" w:themeColor="text1"/>
          <w:sz w:val="28"/>
          <w:szCs w:val="28"/>
        </w:rPr>
      </w:pPr>
      <w:r w:rsidRPr="00D061DF">
        <w:rPr>
          <w:color w:val="000000" w:themeColor="text1"/>
          <w:sz w:val="28"/>
          <w:szCs w:val="28"/>
        </w:rPr>
        <w:t xml:space="preserve">La Sala Plena de la Corte Constitucional, en ejercicio de sus atribuciones </w:t>
      </w:r>
      <w:r w:rsidR="00680FAA" w:rsidRPr="00D061DF">
        <w:rPr>
          <w:color w:val="000000" w:themeColor="text1"/>
          <w:sz w:val="28"/>
          <w:szCs w:val="28"/>
        </w:rPr>
        <w:t xml:space="preserve">legales y </w:t>
      </w:r>
      <w:r w:rsidRPr="00D061DF">
        <w:rPr>
          <w:color w:val="000000" w:themeColor="text1"/>
          <w:sz w:val="28"/>
          <w:szCs w:val="28"/>
        </w:rPr>
        <w:t xml:space="preserve">constitucionales, específicamente las previstas en el artículo 241 de la Constitución y en el Decreto Ley 2067 de 1991, profiere la siguiente providencia, con fundamento en </w:t>
      </w:r>
      <w:r w:rsidR="00165FA8">
        <w:rPr>
          <w:color w:val="000000" w:themeColor="text1"/>
          <w:sz w:val="28"/>
          <w:szCs w:val="28"/>
        </w:rPr>
        <w:t>los siguientes</w:t>
      </w:r>
      <w:r w:rsidRPr="00D061DF">
        <w:rPr>
          <w:color w:val="000000" w:themeColor="text1"/>
          <w:sz w:val="28"/>
          <w:szCs w:val="28"/>
        </w:rPr>
        <w:t>:</w:t>
      </w:r>
    </w:p>
    <w:p w14:paraId="15DCE3C2" w14:textId="77777777" w:rsidR="00680FAA" w:rsidRPr="00D061DF" w:rsidRDefault="00680FAA" w:rsidP="00E067C2">
      <w:pPr>
        <w:ind w:right="51"/>
        <w:contextualSpacing/>
        <w:jc w:val="both"/>
        <w:rPr>
          <w:color w:val="000000" w:themeColor="text1"/>
          <w:sz w:val="28"/>
          <w:szCs w:val="28"/>
        </w:rPr>
      </w:pPr>
    </w:p>
    <w:p w14:paraId="7EE6D577" w14:textId="77777777" w:rsidR="00D27034" w:rsidRPr="00D061DF" w:rsidRDefault="00D27034" w:rsidP="00E067C2">
      <w:pPr>
        <w:numPr>
          <w:ilvl w:val="0"/>
          <w:numId w:val="12"/>
        </w:numPr>
        <w:ind w:left="0" w:right="51" w:firstLine="0"/>
        <w:contextualSpacing/>
        <w:jc w:val="center"/>
        <w:rPr>
          <w:b/>
          <w:bCs/>
          <w:color w:val="000000" w:themeColor="text1"/>
          <w:sz w:val="28"/>
          <w:szCs w:val="28"/>
        </w:rPr>
      </w:pPr>
      <w:r w:rsidRPr="00D061DF">
        <w:rPr>
          <w:b/>
          <w:bCs/>
          <w:color w:val="000000" w:themeColor="text1"/>
          <w:sz w:val="28"/>
          <w:szCs w:val="28"/>
        </w:rPr>
        <w:t>ANTECEDENTES</w:t>
      </w:r>
    </w:p>
    <w:p w14:paraId="78982858" w14:textId="77777777" w:rsidR="00D27034" w:rsidRPr="00D061DF" w:rsidRDefault="00D27034" w:rsidP="00E067C2">
      <w:pPr>
        <w:ind w:right="51"/>
        <w:contextualSpacing/>
        <w:jc w:val="both"/>
        <w:rPr>
          <w:color w:val="000000" w:themeColor="text1"/>
          <w:sz w:val="28"/>
          <w:szCs w:val="28"/>
        </w:rPr>
      </w:pPr>
    </w:p>
    <w:p w14:paraId="0050AA63" w14:textId="7D397B67" w:rsidR="00D27034" w:rsidRPr="00D061DF" w:rsidRDefault="00D27034" w:rsidP="00E067C2">
      <w:pPr>
        <w:ind w:right="51"/>
        <w:contextualSpacing/>
        <w:jc w:val="both"/>
        <w:rPr>
          <w:bCs/>
          <w:color w:val="000000" w:themeColor="text1"/>
          <w:sz w:val="28"/>
          <w:szCs w:val="28"/>
        </w:rPr>
      </w:pPr>
      <w:r w:rsidRPr="00D061DF">
        <w:rPr>
          <w:bCs/>
          <w:color w:val="000000" w:themeColor="text1"/>
          <w:sz w:val="28"/>
          <w:szCs w:val="28"/>
        </w:rPr>
        <w:t xml:space="preserve">En este acápite la Corte realizará una síntesis de esta sentencia, luego de lo cual hará una presentación de los hechos relevantes, la norma demandada, los argumentos planteados por el accionante, las intervenciones formuladas en el término dispuesto para ello y el concepto </w:t>
      </w:r>
      <w:r w:rsidR="00CA4195" w:rsidRPr="00D061DF">
        <w:rPr>
          <w:bCs/>
          <w:color w:val="000000" w:themeColor="text1"/>
          <w:sz w:val="28"/>
          <w:szCs w:val="28"/>
        </w:rPr>
        <w:t>rendido</w:t>
      </w:r>
      <w:r w:rsidRPr="00D061DF">
        <w:rPr>
          <w:bCs/>
          <w:color w:val="000000" w:themeColor="text1"/>
          <w:sz w:val="28"/>
          <w:szCs w:val="28"/>
        </w:rPr>
        <w:t xml:space="preserve"> por </w:t>
      </w:r>
      <w:r w:rsidR="00792E47">
        <w:rPr>
          <w:bCs/>
          <w:color w:val="000000" w:themeColor="text1"/>
          <w:sz w:val="28"/>
          <w:szCs w:val="28"/>
        </w:rPr>
        <w:t>el Viceprocurador</w:t>
      </w:r>
      <w:r w:rsidRPr="00D061DF">
        <w:rPr>
          <w:bCs/>
          <w:color w:val="000000" w:themeColor="text1"/>
          <w:sz w:val="28"/>
          <w:szCs w:val="28"/>
        </w:rPr>
        <w:t xml:space="preserve"> General de la Nación.</w:t>
      </w:r>
    </w:p>
    <w:p w14:paraId="31A55987" w14:textId="77777777" w:rsidR="00D27034" w:rsidRPr="00D061DF" w:rsidRDefault="00D27034" w:rsidP="00E067C2">
      <w:pPr>
        <w:ind w:right="51"/>
        <w:contextualSpacing/>
        <w:jc w:val="both"/>
        <w:rPr>
          <w:bCs/>
          <w:color w:val="000000" w:themeColor="text1"/>
          <w:sz w:val="28"/>
          <w:szCs w:val="28"/>
        </w:rPr>
      </w:pPr>
    </w:p>
    <w:p w14:paraId="2F68676A" w14:textId="77777777" w:rsidR="00D27034" w:rsidRPr="00D061DF" w:rsidRDefault="00D27034" w:rsidP="00E067C2">
      <w:pPr>
        <w:numPr>
          <w:ilvl w:val="1"/>
          <w:numId w:val="12"/>
        </w:numPr>
        <w:ind w:left="1276" w:right="51" w:hanging="567"/>
        <w:contextualSpacing/>
        <w:jc w:val="both"/>
        <w:rPr>
          <w:b/>
          <w:bCs/>
          <w:color w:val="000000" w:themeColor="text1"/>
          <w:sz w:val="28"/>
          <w:szCs w:val="28"/>
        </w:rPr>
      </w:pPr>
      <w:r w:rsidRPr="00D061DF">
        <w:rPr>
          <w:b/>
          <w:bCs/>
          <w:color w:val="000000" w:themeColor="text1"/>
          <w:sz w:val="28"/>
          <w:szCs w:val="28"/>
        </w:rPr>
        <w:t>Síntesis de la decisión</w:t>
      </w:r>
    </w:p>
    <w:p w14:paraId="5354076D" w14:textId="77777777" w:rsidR="00D27034" w:rsidRPr="00D061DF" w:rsidRDefault="00D27034" w:rsidP="00E067C2">
      <w:pPr>
        <w:ind w:right="51"/>
        <w:contextualSpacing/>
        <w:jc w:val="both"/>
        <w:rPr>
          <w:b/>
          <w:bCs/>
          <w:color w:val="000000" w:themeColor="text1"/>
          <w:sz w:val="28"/>
          <w:szCs w:val="28"/>
        </w:rPr>
      </w:pPr>
    </w:p>
    <w:p w14:paraId="6CFA5A1F" w14:textId="68538C25" w:rsidR="00C83719" w:rsidRPr="00C83719" w:rsidRDefault="00151F6A" w:rsidP="00E067C2">
      <w:pPr>
        <w:pStyle w:val="Textoindependiente"/>
        <w:widowControl w:val="0"/>
        <w:numPr>
          <w:ilvl w:val="0"/>
          <w:numId w:val="30"/>
        </w:numPr>
        <w:tabs>
          <w:tab w:val="left" w:pos="567"/>
        </w:tabs>
        <w:autoSpaceDE w:val="0"/>
        <w:autoSpaceDN w:val="0"/>
        <w:spacing w:after="0"/>
        <w:ind w:left="0" w:right="49" w:firstLine="0"/>
        <w:jc w:val="both"/>
        <w:rPr>
          <w:color w:val="000000" w:themeColor="text1"/>
          <w:sz w:val="28"/>
          <w:szCs w:val="28"/>
          <w:lang w:val="es-ES_tradnl"/>
        </w:rPr>
      </w:pPr>
      <w:r w:rsidRPr="00BE5FED">
        <w:rPr>
          <w:bCs/>
          <w:color w:val="000000" w:themeColor="text1"/>
          <w:sz w:val="28"/>
          <w:szCs w:val="28"/>
          <w:lang w:val="es-CO"/>
        </w:rPr>
        <w:t xml:space="preserve">La Sala Plena de la Corte </w:t>
      </w:r>
      <w:r w:rsidR="00C83719">
        <w:rPr>
          <w:bCs/>
          <w:color w:val="000000" w:themeColor="text1"/>
          <w:sz w:val="28"/>
          <w:szCs w:val="28"/>
          <w:lang w:val="es-CO"/>
        </w:rPr>
        <w:t>conoció de</w:t>
      </w:r>
      <w:r w:rsidRPr="00BE5FED">
        <w:rPr>
          <w:bCs/>
          <w:color w:val="000000" w:themeColor="text1"/>
          <w:sz w:val="28"/>
          <w:szCs w:val="28"/>
          <w:lang w:val="es-CO"/>
        </w:rPr>
        <w:t xml:space="preserve"> una demanda formulada contra </w:t>
      </w:r>
      <w:r w:rsidR="0016189B">
        <w:rPr>
          <w:bCs/>
          <w:color w:val="000000" w:themeColor="text1"/>
          <w:sz w:val="28"/>
          <w:szCs w:val="28"/>
          <w:lang w:val="es-CO"/>
        </w:rPr>
        <w:t xml:space="preserve">los artículos </w:t>
      </w:r>
      <w:r w:rsidR="00740DD3">
        <w:rPr>
          <w:bCs/>
          <w:color w:val="000000" w:themeColor="text1"/>
          <w:sz w:val="28"/>
          <w:szCs w:val="28"/>
          <w:lang w:val="es-CO"/>
        </w:rPr>
        <w:t>63 del Código Penal</w:t>
      </w:r>
      <w:r w:rsidR="00D6758D">
        <w:rPr>
          <w:bCs/>
          <w:color w:val="000000" w:themeColor="text1"/>
          <w:sz w:val="28"/>
          <w:szCs w:val="28"/>
          <w:lang w:val="es-CO"/>
        </w:rPr>
        <w:t xml:space="preserve"> (CP)</w:t>
      </w:r>
      <w:r w:rsidR="00740DD3">
        <w:rPr>
          <w:bCs/>
          <w:color w:val="000000" w:themeColor="text1"/>
          <w:sz w:val="28"/>
          <w:szCs w:val="28"/>
          <w:lang w:val="es-CO"/>
        </w:rPr>
        <w:t xml:space="preserve"> y 177 del Código de Procedimiento Penal</w:t>
      </w:r>
      <w:r w:rsidR="00D6758D">
        <w:rPr>
          <w:bCs/>
          <w:color w:val="000000" w:themeColor="text1"/>
          <w:sz w:val="28"/>
          <w:szCs w:val="28"/>
          <w:lang w:val="es-CO"/>
        </w:rPr>
        <w:t xml:space="preserve"> (CPP)</w:t>
      </w:r>
      <w:r w:rsidRPr="00BE5FED">
        <w:rPr>
          <w:bCs/>
          <w:color w:val="000000" w:themeColor="text1"/>
          <w:sz w:val="28"/>
          <w:szCs w:val="28"/>
          <w:lang w:val="es-CO"/>
        </w:rPr>
        <w:t xml:space="preserve">. El </w:t>
      </w:r>
      <w:r w:rsidR="00C83719">
        <w:rPr>
          <w:bCs/>
          <w:color w:val="000000" w:themeColor="text1"/>
          <w:sz w:val="28"/>
          <w:szCs w:val="28"/>
          <w:lang w:val="es-CO"/>
        </w:rPr>
        <w:t>demandante</w:t>
      </w:r>
      <w:r w:rsidRPr="00BE5FED">
        <w:rPr>
          <w:bCs/>
          <w:color w:val="000000" w:themeColor="text1"/>
          <w:sz w:val="28"/>
          <w:szCs w:val="28"/>
          <w:lang w:val="es-CO"/>
        </w:rPr>
        <w:t xml:space="preserve"> </w:t>
      </w:r>
      <w:r w:rsidR="00C83719">
        <w:rPr>
          <w:bCs/>
          <w:color w:val="000000" w:themeColor="text1"/>
          <w:sz w:val="28"/>
          <w:szCs w:val="28"/>
          <w:lang w:val="es-CO"/>
        </w:rPr>
        <w:t xml:space="preserve">sostuvo </w:t>
      </w:r>
      <w:r w:rsidRPr="00BE5FED">
        <w:rPr>
          <w:bCs/>
          <w:color w:val="000000" w:themeColor="text1"/>
          <w:sz w:val="28"/>
          <w:szCs w:val="28"/>
          <w:lang w:val="es-CO"/>
        </w:rPr>
        <w:t>que</w:t>
      </w:r>
      <w:r w:rsidR="00C83719">
        <w:rPr>
          <w:bCs/>
          <w:color w:val="000000" w:themeColor="text1"/>
          <w:sz w:val="28"/>
          <w:szCs w:val="28"/>
          <w:lang w:val="es-CO"/>
        </w:rPr>
        <w:t xml:space="preserve"> </w:t>
      </w:r>
      <w:r w:rsidR="00C83719" w:rsidRPr="00C83719">
        <w:rPr>
          <w:color w:val="000000" w:themeColor="text1"/>
          <w:sz w:val="28"/>
          <w:szCs w:val="28"/>
          <w:lang w:val="es-ES_tradnl"/>
        </w:rPr>
        <w:t xml:space="preserve">la interpretación que de ambas disposiciones hace la Sala de Casación Penal de la Corte Suprema de Justicia vulnera los artículos 2 y 29 de la Constitución Política, el artículo 8.2 de la Convención Americana de Derechos Humanos y el artículo 14.2 del Pacto Internacional de Derechos Civiles y Políticos, pues </w:t>
      </w:r>
      <w:r w:rsidR="00C83719">
        <w:rPr>
          <w:color w:val="000000" w:themeColor="text1"/>
          <w:sz w:val="28"/>
          <w:szCs w:val="28"/>
          <w:lang w:val="es-ES_tradnl"/>
        </w:rPr>
        <w:t>desconoce</w:t>
      </w:r>
      <w:r w:rsidR="00C83719" w:rsidRPr="00C83719">
        <w:rPr>
          <w:color w:val="000000" w:themeColor="text1"/>
          <w:sz w:val="28"/>
          <w:szCs w:val="28"/>
          <w:lang w:val="es-ES_tradnl"/>
        </w:rPr>
        <w:t xml:space="preserve"> (i) el principio de presunción de inocencia y (</w:t>
      </w:r>
      <w:proofErr w:type="spellStart"/>
      <w:r w:rsidR="00C83719" w:rsidRPr="00C83719">
        <w:rPr>
          <w:color w:val="000000" w:themeColor="text1"/>
          <w:sz w:val="28"/>
          <w:szCs w:val="28"/>
          <w:lang w:val="es-ES_tradnl"/>
        </w:rPr>
        <w:t>ii</w:t>
      </w:r>
      <w:proofErr w:type="spellEnd"/>
      <w:r w:rsidR="00C83719" w:rsidRPr="00C83719">
        <w:rPr>
          <w:color w:val="000000" w:themeColor="text1"/>
          <w:sz w:val="28"/>
          <w:szCs w:val="28"/>
          <w:lang w:val="es-ES_tradnl"/>
        </w:rPr>
        <w:t xml:space="preserve">) el debido proceso y </w:t>
      </w:r>
      <w:r w:rsidR="00C83719" w:rsidRPr="00C83719">
        <w:rPr>
          <w:color w:val="000000" w:themeColor="text1"/>
          <w:sz w:val="28"/>
          <w:szCs w:val="28"/>
          <w:lang w:val="es-ES_tradnl"/>
        </w:rPr>
        <w:lastRenderedPageBreak/>
        <w:t>la vigencia de un orden justo.</w:t>
      </w:r>
    </w:p>
    <w:p w14:paraId="04C77477" w14:textId="77777777" w:rsidR="00C83719" w:rsidRPr="00740DD3" w:rsidRDefault="00C83719" w:rsidP="00E067C2">
      <w:pPr>
        <w:pStyle w:val="Textoindependiente"/>
        <w:widowControl w:val="0"/>
        <w:tabs>
          <w:tab w:val="left" w:pos="567"/>
        </w:tabs>
        <w:autoSpaceDE w:val="0"/>
        <w:autoSpaceDN w:val="0"/>
        <w:spacing w:after="0"/>
        <w:ind w:right="49"/>
        <w:jc w:val="both"/>
        <w:rPr>
          <w:color w:val="000000" w:themeColor="text1"/>
          <w:sz w:val="28"/>
          <w:szCs w:val="28"/>
          <w:lang w:val="es-CO"/>
        </w:rPr>
      </w:pPr>
    </w:p>
    <w:p w14:paraId="6C864D17" w14:textId="77777777" w:rsidR="006A168B" w:rsidRPr="00AA1A6F" w:rsidRDefault="007D7E5B" w:rsidP="00E067C2">
      <w:pPr>
        <w:pStyle w:val="Textoindependiente"/>
        <w:widowControl w:val="0"/>
        <w:numPr>
          <w:ilvl w:val="0"/>
          <w:numId w:val="30"/>
        </w:numPr>
        <w:tabs>
          <w:tab w:val="left" w:pos="567"/>
        </w:tabs>
        <w:autoSpaceDE w:val="0"/>
        <w:autoSpaceDN w:val="0"/>
        <w:spacing w:after="0"/>
        <w:ind w:left="0" w:right="49" w:firstLine="0"/>
        <w:jc w:val="both"/>
        <w:rPr>
          <w:bCs/>
          <w:color w:val="000000" w:themeColor="text1"/>
          <w:sz w:val="28"/>
          <w:szCs w:val="28"/>
          <w:lang w:val="es-CO"/>
        </w:rPr>
      </w:pPr>
      <w:r w:rsidRPr="00AA1A6F">
        <w:rPr>
          <w:bCs/>
          <w:color w:val="000000" w:themeColor="text1"/>
          <w:sz w:val="28"/>
          <w:szCs w:val="28"/>
          <w:lang w:val="es-CO"/>
        </w:rPr>
        <w:t xml:space="preserve">Previo a verificar los requisitos de admisibilidad de la demanda, la Sala </w:t>
      </w:r>
      <w:r w:rsidR="006A168B" w:rsidRPr="00AA1A6F">
        <w:rPr>
          <w:bCs/>
          <w:color w:val="000000" w:themeColor="text1"/>
          <w:sz w:val="28"/>
          <w:szCs w:val="28"/>
          <w:lang w:val="es-CO"/>
        </w:rPr>
        <w:t xml:space="preserve">Plena </w:t>
      </w:r>
      <w:r w:rsidRPr="00AA1A6F">
        <w:rPr>
          <w:bCs/>
          <w:color w:val="000000" w:themeColor="text1"/>
          <w:sz w:val="28"/>
          <w:szCs w:val="28"/>
          <w:lang w:val="es-CO"/>
        </w:rPr>
        <w:t xml:space="preserve">consideró </w:t>
      </w:r>
      <w:r w:rsidR="00581049" w:rsidRPr="00AA1A6F">
        <w:rPr>
          <w:bCs/>
          <w:color w:val="000000" w:themeColor="text1"/>
          <w:sz w:val="28"/>
          <w:szCs w:val="28"/>
          <w:lang w:val="es-CO"/>
        </w:rPr>
        <w:t xml:space="preserve">indispensable </w:t>
      </w:r>
      <w:r w:rsidRPr="00AA1A6F">
        <w:rPr>
          <w:bCs/>
          <w:color w:val="000000" w:themeColor="text1"/>
          <w:sz w:val="28"/>
          <w:szCs w:val="28"/>
          <w:lang w:val="es-ES_tradnl"/>
        </w:rPr>
        <w:t>distinguir</w:t>
      </w:r>
      <w:r w:rsidRPr="00AA1A6F">
        <w:rPr>
          <w:bCs/>
          <w:color w:val="000000" w:themeColor="text1"/>
          <w:sz w:val="28"/>
          <w:szCs w:val="28"/>
          <w:lang w:val="es-CO"/>
        </w:rPr>
        <w:t xml:space="preserve"> entre los conceptos de “</w:t>
      </w:r>
      <w:r w:rsidRPr="00AA1A6F">
        <w:rPr>
          <w:bCs/>
          <w:i/>
          <w:iCs/>
          <w:color w:val="000000" w:themeColor="text1"/>
          <w:sz w:val="28"/>
          <w:szCs w:val="28"/>
          <w:lang w:val="es-CO"/>
        </w:rPr>
        <w:t>disposición</w:t>
      </w:r>
      <w:r w:rsidRPr="00AA1A6F">
        <w:rPr>
          <w:bCs/>
          <w:color w:val="000000" w:themeColor="text1"/>
          <w:sz w:val="28"/>
          <w:szCs w:val="28"/>
          <w:lang w:val="es-CO"/>
        </w:rPr>
        <w:t>” y “</w:t>
      </w:r>
      <w:r w:rsidRPr="00AA1A6F">
        <w:rPr>
          <w:bCs/>
          <w:i/>
          <w:iCs/>
          <w:color w:val="000000" w:themeColor="text1"/>
          <w:sz w:val="28"/>
          <w:szCs w:val="28"/>
          <w:lang w:val="es-CO"/>
        </w:rPr>
        <w:t>norma</w:t>
      </w:r>
      <w:r w:rsidRPr="00AA1A6F">
        <w:rPr>
          <w:bCs/>
          <w:color w:val="000000" w:themeColor="text1"/>
          <w:sz w:val="28"/>
          <w:szCs w:val="28"/>
          <w:lang w:val="es-CO"/>
        </w:rPr>
        <w:t xml:space="preserve">”, </w:t>
      </w:r>
      <w:r w:rsidR="006A168B" w:rsidRPr="00AA1A6F">
        <w:rPr>
          <w:bCs/>
          <w:color w:val="000000" w:themeColor="text1"/>
          <w:sz w:val="28"/>
          <w:szCs w:val="28"/>
          <w:lang w:val="es-CO"/>
        </w:rPr>
        <w:t xml:space="preserve">con el </w:t>
      </w:r>
      <w:r w:rsidRPr="00AA1A6F">
        <w:rPr>
          <w:bCs/>
          <w:color w:val="000000" w:themeColor="text1"/>
          <w:sz w:val="28"/>
          <w:szCs w:val="28"/>
          <w:lang w:val="es-CO"/>
        </w:rPr>
        <w:t>fin de aclarar que</w:t>
      </w:r>
      <w:r w:rsidR="00E42298" w:rsidRPr="00AA1A6F">
        <w:rPr>
          <w:bCs/>
          <w:color w:val="000000" w:themeColor="text1"/>
          <w:sz w:val="28"/>
          <w:szCs w:val="28"/>
          <w:lang w:val="es-CO"/>
        </w:rPr>
        <w:t>,</w:t>
      </w:r>
      <w:r w:rsidRPr="00AA1A6F">
        <w:rPr>
          <w:bCs/>
          <w:color w:val="000000" w:themeColor="text1"/>
          <w:sz w:val="28"/>
          <w:szCs w:val="28"/>
          <w:lang w:val="es-CO"/>
        </w:rPr>
        <w:t xml:space="preserve"> con base en la sentencia C-325 de 202</w:t>
      </w:r>
      <w:r w:rsidR="00581049" w:rsidRPr="00AA1A6F">
        <w:rPr>
          <w:bCs/>
          <w:color w:val="000000" w:themeColor="text1"/>
          <w:sz w:val="28"/>
          <w:szCs w:val="28"/>
          <w:lang w:val="es-CO"/>
        </w:rPr>
        <w:t>1</w:t>
      </w:r>
      <w:r w:rsidR="00E42298" w:rsidRPr="00AA1A6F">
        <w:rPr>
          <w:bCs/>
          <w:color w:val="000000" w:themeColor="text1"/>
          <w:sz w:val="28"/>
          <w:szCs w:val="28"/>
          <w:lang w:val="es-CO"/>
        </w:rPr>
        <w:t>,</w:t>
      </w:r>
      <w:r w:rsidRPr="00AA1A6F">
        <w:rPr>
          <w:bCs/>
          <w:color w:val="000000" w:themeColor="text1"/>
          <w:sz w:val="28"/>
          <w:szCs w:val="28"/>
          <w:lang w:val="es-CO"/>
        </w:rPr>
        <w:t xml:space="preserve"> </w:t>
      </w:r>
      <w:r w:rsidRPr="00AA1A6F">
        <w:rPr>
          <w:bCs/>
          <w:color w:val="000000" w:themeColor="text1"/>
          <w:sz w:val="28"/>
          <w:szCs w:val="28"/>
          <w:shd w:val="clear" w:color="auto" w:fill="FFFFFF"/>
          <w:lang w:val="es-CO" w:eastAsia="es-MX"/>
        </w:rPr>
        <w:t>una disposición o enunciado jurídico corresponde al texto en que una norma es formulada</w:t>
      </w:r>
      <w:r w:rsidR="00D6758D" w:rsidRPr="00AA1A6F">
        <w:rPr>
          <w:bCs/>
          <w:color w:val="000000" w:themeColor="text1"/>
          <w:sz w:val="28"/>
          <w:szCs w:val="28"/>
          <w:shd w:val="clear" w:color="auto" w:fill="FFFFFF"/>
          <w:lang w:val="es-CO" w:eastAsia="es-MX"/>
        </w:rPr>
        <w:t>,</w:t>
      </w:r>
      <w:r w:rsidRPr="00AA1A6F">
        <w:rPr>
          <w:bCs/>
          <w:color w:val="000000" w:themeColor="text1"/>
          <w:sz w:val="28"/>
          <w:szCs w:val="28"/>
          <w:shd w:val="clear" w:color="auto" w:fill="FFFFFF"/>
          <w:lang w:val="es-CO" w:eastAsia="es-MX"/>
        </w:rPr>
        <w:t xml:space="preserve"> mientras que las normas no son los textos legales</w:t>
      </w:r>
      <w:r w:rsidR="00D6758D" w:rsidRPr="00AA1A6F">
        <w:rPr>
          <w:bCs/>
          <w:color w:val="000000" w:themeColor="text1"/>
          <w:sz w:val="28"/>
          <w:szCs w:val="28"/>
          <w:shd w:val="clear" w:color="auto" w:fill="FFFFFF"/>
          <w:lang w:val="es-CO" w:eastAsia="es-MX"/>
        </w:rPr>
        <w:t>,</w:t>
      </w:r>
      <w:r w:rsidRPr="00AA1A6F">
        <w:rPr>
          <w:bCs/>
          <w:color w:val="000000" w:themeColor="text1"/>
          <w:sz w:val="28"/>
          <w:szCs w:val="28"/>
          <w:shd w:val="clear" w:color="auto" w:fill="FFFFFF"/>
          <w:lang w:val="es-CO" w:eastAsia="es-MX"/>
        </w:rPr>
        <w:t xml:space="preserve"> sino su significado.</w:t>
      </w:r>
      <w:r w:rsidR="006A168B" w:rsidRPr="00AA1A6F">
        <w:rPr>
          <w:bCs/>
          <w:color w:val="000000" w:themeColor="text1"/>
          <w:sz w:val="28"/>
          <w:szCs w:val="28"/>
          <w:lang w:val="es-CO"/>
        </w:rPr>
        <w:t xml:space="preserve"> </w:t>
      </w:r>
    </w:p>
    <w:p w14:paraId="2B8D75BC" w14:textId="77777777" w:rsidR="006A168B" w:rsidRPr="00AA1A6F" w:rsidRDefault="006A168B" w:rsidP="00E067C2">
      <w:pPr>
        <w:pStyle w:val="Textoindependiente"/>
        <w:widowControl w:val="0"/>
        <w:tabs>
          <w:tab w:val="left" w:pos="567"/>
        </w:tabs>
        <w:autoSpaceDE w:val="0"/>
        <w:autoSpaceDN w:val="0"/>
        <w:spacing w:after="0"/>
        <w:ind w:right="49"/>
        <w:jc w:val="both"/>
        <w:rPr>
          <w:bCs/>
          <w:color w:val="000000" w:themeColor="text1"/>
          <w:sz w:val="28"/>
          <w:szCs w:val="28"/>
          <w:lang w:val="es-CO"/>
        </w:rPr>
      </w:pPr>
    </w:p>
    <w:p w14:paraId="0EC51847" w14:textId="5139BBA3" w:rsidR="006A168B" w:rsidRPr="00AA1A6F" w:rsidRDefault="006A168B" w:rsidP="00E067C2">
      <w:pPr>
        <w:pStyle w:val="Textoindependiente"/>
        <w:widowControl w:val="0"/>
        <w:numPr>
          <w:ilvl w:val="0"/>
          <w:numId w:val="30"/>
        </w:numPr>
        <w:tabs>
          <w:tab w:val="left" w:pos="567"/>
        </w:tabs>
        <w:autoSpaceDE w:val="0"/>
        <w:autoSpaceDN w:val="0"/>
        <w:spacing w:after="0"/>
        <w:ind w:left="0" w:right="49" w:firstLine="0"/>
        <w:jc w:val="both"/>
        <w:rPr>
          <w:bCs/>
          <w:color w:val="000000" w:themeColor="text1"/>
          <w:sz w:val="28"/>
          <w:szCs w:val="28"/>
          <w:lang w:val="es-CO"/>
        </w:rPr>
      </w:pPr>
      <w:r w:rsidRPr="00AA1A6F">
        <w:rPr>
          <w:bCs/>
          <w:color w:val="000000" w:themeColor="text1"/>
          <w:sz w:val="28"/>
          <w:szCs w:val="28"/>
          <w:lang w:val="es-CO"/>
        </w:rPr>
        <w:t>Al examinar la aptitud sustancial de la demanda, esta Corporación atendió a las intervenciones de la Pontificia Universidad Javeriana, la Academia Colombiana de Jurisprudencia y la Procuraduría General de la Nación</w:t>
      </w:r>
      <w:r w:rsidRPr="00AA1A6F">
        <w:rPr>
          <w:bCs/>
          <w:color w:val="000000" w:themeColor="text1"/>
          <w:sz w:val="28"/>
          <w:szCs w:val="28"/>
          <w:lang w:val="es-CO" w:eastAsia="es-CO"/>
        </w:rPr>
        <w:t xml:space="preserve"> que solicitaron que se dictara una sentencia inhibitoria, por falta de </w:t>
      </w:r>
      <w:r w:rsidRPr="00AA1A6F">
        <w:rPr>
          <w:bCs/>
          <w:i/>
          <w:iCs/>
          <w:color w:val="000000" w:themeColor="text1"/>
          <w:sz w:val="28"/>
          <w:szCs w:val="28"/>
          <w:lang w:val="es-CO" w:eastAsia="es-CO"/>
        </w:rPr>
        <w:t>certeza</w:t>
      </w:r>
      <w:r w:rsidRPr="00AA1A6F">
        <w:rPr>
          <w:bCs/>
          <w:color w:val="000000" w:themeColor="text1"/>
          <w:sz w:val="28"/>
          <w:szCs w:val="28"/>
          <w:lang w:val="es-CO" w:eastAsia="es-CO"/>
        </w:rPr>
        <w:t xml:space="preserve"> en los cargos planteados.</w:t>
      </w:r>
      <w:r w:rsidRPr="00AA1A6F">
        <w:rPr>
          <w:bCs/>
          <w:color w:val="000000" w:themeColor="text1"/>
          <w:sz w:val="28"/>
          <w:szCs w:val="28"/>
          <w:lang w:val="es-CO"/>
        </w:rPr>
        <w:t xml:space="preserve"> </w:t>
      </w:r>
    </w:p>
    <w:p w14:paraId="11D4537A" w14:textId="77777777" w:rsidR="007D7E5B" w:rsidRPr="00AA1A6F" w:rsidRDefault="007D7E5B" w:rsidP="00E067C2">
      <w:pPr>
        <w:pStyle w:val="Prrafodelista"/>
        <w:ind w:left="0"/>
        <w:rPr>
          <w:bCs/>
          <w:color w:val="000000" w:themeColor="text1"/>
          <w:sz w:val="28"/>
          <w:szCs w:val="28"/>
          <w:lang w:val="es-CO"/>
        </w:rPr>
      </w:pPr>
    </w:p>
    <w:p w14:paraId="0AFEE946" w14:textId="6B486F8B" w:rsidR="006A168B" w:rsidRPr="006A168B" w:rsidRDefault="007D7E5B" w:rsidP="00E067C2">
      <w:pPr>
        <w:pStyle w:val="Textoindependiente"/>
        <w:widowControl w:val="0"/>
        <w:numPr>
          <w:ilvl w:val="0"/>
          <w:numId w:val="30"/>
        </w:numPr>
        <w:autoSpaceDE w:val="0"/>
        <w:autoSpaceDN w:val="0"/>
        <w:spacing w:after="0"/>
        <w:ind w:left="0" w:right="49" w:firstLine="0"/>
        <w:jc w:val="both"/>
        <w:rPr>
          <w:bCs/>
          <w:color w:val="000000" w:themeColor="text1"/>
          <w:sz w:val="28"/>
          <w:szCs w:val="28"/>
          <w:lang w:val="es-CO"/>
        </w:rPr>
      </w:pPr>
      <w:r w:rsidRPr="00AA1A6F">
        <w:rPr>
          <w:bCs/>
          <w:color w:val="000000" w:themeColor="text1"/>
          <w:sz w:val="28"/>
          <w:szCs w:val="28"/>
          <w:lang w:val="es-CO"/>
        </w:rPr>
        <w:t xml:space="preserve">Así, </w:t>
      </w:r>
      <w:r w:rsidR="00581049" w:rsidRPr="00AA1A6F">
        <w:rPr>
          <w:bCs/>
          <w:color w:val="000000" w:themeColor="text1"/>
          <w:sz w:val="28"/>
          <w:szCs w:val="28"/>
          <w:lang w:val="es-CO"/>
        </w:rPr>
        <w:t xml:space="preserve">a la luz de </w:t>
      </w:r>
      <w:r w:rsidR="006A168B" w:rsidRPr="00AA1A6F">
        <w:rPr>
          <w:bCs/>
          <w:color w:val="000000" w:themeColor="text1"/>
          <w:sz w:val="28"/>
          <w:szCs w:val="28"/>
          <w:lang w:val="es-CO"/>
        </w:rPr>
        <w:t>la</w:t>
      </w:r>
      <w:r w:rsidR="00581049" w:rsidRPr="00AA1A6F">
        <w:rPr>
          <w:bCs/>
          <w:color w:val="000000" w:themeColor="text1"/>
          <w:sz w:val="28"/>
          <w:szCs w:val="28"/>
          <w:lang w:val="es-CO"/>
        </w:rPr>
        <w:t xml:space="preserve"> distinción</w:t>
      </w:r>
      <w:r w:rsidR="006A168B" w:rsidRPr="00AA1A6F">
        <w:rPr>
          <w:bCs/>
          <w:color w:val="000000" w:themeColor="text1"/>
          <w:sz w:val="28"/>
          <w:szCs w:val="28"/>
          <w:lang w:val="es-CO"/>
        </w:rPr>
        <w:t xml:space="preserve"> entre “</w:t>
      </w:r>
      <w:r w:rsidR="006A168B" w:rsidRPr="00AA1A6F">
        <w:rPr>
          <w:bCs/>
          <w:i/>
          <w:iCs/>
          <w:color w:val="000000" w:themeColor="text1"/>
          <w:sz w:val="28"/>
          <w:szCs w:val="28"/>
          <w:lang w:val="es-CO"/>
        </w:rPr>
        <w:t>disposición</w:t>
      </w:r>
      <w:r w:rsidR="006A168B" w:rsidRPr="00AA1A6F">
        <w:rPr>
          <w:bCs/>
          <w:color w:val="000000" w:themeColor="text1"/>
          <w:sz w:val="28"/>
          <w:szCs w:val="28"/>
          <w:lang w:val="es-CO"/>
        </w:rPr>
        <w:t>” y “</w:t>
      </w:r>
      <w:r w:rsidR="006A168B" w:rsidRPr="00AA1A6F">
        <w:rPr>
          <w:bCs/>
          <w:i/>
          <w:iCs/>
          <w:color w:val="000000" w:themeColor="text1"/>
          <w:sz w:val="28"/>
          <w:szCs w:val="28"/>
          <w:lang w:val="es-CO"/>
        </w:rPr>
        <w:t>norma</w:t>
      </w:r>
      <w:r w:rsidR="006A168B" w:rsidRPr="00AA1A6F">
        <w:rPr>
          <w:bCs/>
          <w:color w:val="000000" w:themeColor="text1"/>
          <w:sz w:val="28"/>
          <w:szCs w:val="28"/>
          <w:lang w:val="es-CO"/>
        </w:rPr>
        <w:t>”</w:t>
      </w:r>
      <w:r w:rsidRPr="00AA1A6F">
        <w:rPr>
          <w:bCs/>
          <w:color w:val="000000" w:themeColor="text1"/>
          <w:sz w:val="28"/>
          <w:szCs w:val="28"/>
          <w:lang w:val="es-CO"/>
        </w:rPr>
        <w:t xml:space="preserve">, la Sala determinó que el </w:t>
      </w:r>
      <w:r w:rsidR="005B47F0" w:rsidRPr="00AA1A6F">
        <w:rPr>
          <w:bCs/>
          <w:color w:val="000000" w:themeColor="text1"/>
          <w:sz w:val="28"/>
          <w:szCs w:val="28"/>
          <w:lang w:val="es-CO"/>
        </w:rPr>
        <w:t xml:space="preserve">objeto de la impugnación </w:t>
      </w:r>
      <w:r w:rsidRPr="00AA1A6F">
        <w:rPr>
          <w:bCs/>
          <w:color w:val="000000" w:themeColor="text1"/>
          <w:sz w:val="28"/>
          <w:szCs w:val="28"/>
          <w:lang w:val="es-CO"/>
        </w:rPr>
        <w:t xml:space="preserve">planteado en esta oportunidad giraba en torno a una </w:t>
      </w:r>
      <w:r w:rsidR="006A168B" w:rsidRPr="00AA1A6F">
        <w:rPr>
          <w:bCs/>
          <w:color w:val="000000" w:themeColor="text1"/>
          <w:sz w:val="28"/>
          <w:szCs w:val="28"/>
          <w:lang w:val="es-CO"/>
        </w:rPr>
        <w:t xml:space="preserve">supuesta </w:t>
      </w:r>
      <w:r w:rsidRPr="00AA1A6F">
        <w:rPr>
          <w:bCs/>
          <w:color w:val="000000" w:themeColor="text1"/>
          <w:sz w:val="28"/>
          <w:szCs w:val="28"/>
          <w:lang w:val="es-CO"/>
        </w:rPr>
        <w:t xml:space="preserve">norma jurídica, </w:t>
      </w:r>
      <w:r w:rsidR="006A168B" w:rsidRPr="00AA1A6F">
        <w:rPr>
          <w:bCs/>
          <w:color w:val="000000" w:themeColor="text1"/>
          <w:sz w:val="28"/>
          <w:szCs w:val="28"/>
          <w:lang w:val="es-CO"/>
        </w:rPr>
        <w:t>cuyo origen se encontraba en</w:t>
      </w:r>
      <w:r w:rsidRPr="00AA1A6F">
        <w:rPr>
          <w:bCs/>
          <w:color w:val="000000" w:themeColor="text1"/>
          <w:sz w:val="28"/>
          <w:szCs w:val="28"/>
          <w:lang w:val="es-CO"/>
        </w:rPr>
        <w:t xml:space="preserve"> la </w:t>
      </w:r>
      <w:r w:rsidR="006A168B" w:rsidRPr="00AA1A6F">
        <w:rPr>
          <w:bCs/>
          <w:color w:val="000000" w:themeColor="text1"/>
          <w:sz w:val="28"/>
          <w:szCs w:val="28"/>
          <w:lang w:val="es-CO"/>
        </w:rPr>
        <w:t xml:space="preserve">alegada </w:t>
      </w:r>
      <w:r w:rsidRPr="00AA1A6F">
        <w:rPr>
          <w:bCs/>
          <w:color w:val="000000" w:themeColor="text1"/>
          <w:sz w:val="28"/>
          <w:szCs w:val="28"/>
          <w:lang w:val="es-CO"/>
        </w:rPr>
        <w:t>interpretación que la Sala de Casación Penal de la Corte Suprema de Justicia</w:t>
      </w:r>
      <w:r w:rsidR="00467809" w:rsidRPr="00AA1A6F">
        <w:rPr>
          <w:bCs/>
          <w:color w:val="000000" w:themeColor="text1"/>
          <w:sz w:val="28"/>
          <w:szCs w:val="28"/>
          <w:lang w:val="es-CO"/>
        </w:rPr>
        <w:t xml:space="preserve"> y algunos tribunales superiores</w:t>
      </w:r>
      <w:r w:rsidRPr="00AA1A6F">
        <w:rPr>
          <w:bCs/>
          <w:color w:val="000000" w:themeColor="text1"/>
          <w:sz w:val="28"/>
          <w:szCs w:val="28"/>
          <w:lang w:val="es-CO"/>
        </w:rPr>
        <w:t xml:space="preserve"> </w:t>
      </w:r>
      <w:r w:rsidR="006A168B" w:rsidRPr="00AA1A6F">
        <w:rPr>
          <w:bCs/>
          <w:color w:val="000000" w:themeColor="text1"/>
          <w:sz w:val="28"/>
          <w:szCs w:val="28"/>
          <w:lang w:val="es-CO"/>
        </w:rPr>
        <w:t>han realizado</w:t>
      </w:r>
      <w:r w:rsidRPr="00AA1A6F">
        <w:rPr>
          <w:bCs/>
          <w:color w:val="000000" w:themeColor="text1"/>
          <w:sz w:val="28"/>
          <w:szCs w:val="28"/>
          <w:lang w:val="es-CO"/>
        </w:rPr>
        <w:t xml:space="preserve"> de los artículos 63 del CP y 177 del CPP. </w:t>
      </w:r>
      <w:r w:rsidR="006A168B" w:rsidRPr="00AA1A6F">
        <w:rPr>
          <w:bCs/>
          <w:color w:val="000000" w:themeColor="text1"/>
          <w:sz w:val="28"/>
          <w:szCs w:val="28"/>
          <w:lang w:val="es-CO"/>
        </w:rPr>
        <w:t xml:space="preserve">En este sentido, para el actor, estas autoridades han señalado que </w:t>
      </w:r>
      <w:r w:rsidR="006A168B" w:rsidRPr="006A168B">
        <w:rPr>
          <w:bCs/>
          <w:color w:val="000000" w:themeColor="text1"/>
          <w:sz w:val="28"/>
          <w:szCs w:val="28"/>
          <w:lang w:val="es-CO"/>
        </w:rPr>
        <w:t xml:space="preserve">el artículo 177 del CPP únicamente suspende la competencia del funcionario que profirió la decisión apelada, pero no </w:t>
      </w:r>
      <w:r w:rsidR="006A168B" w:rsidRPr="00AA1A6F">
        <w:rPr>
          <w:bCs/>
          <w:color w:val="000000" w:themeColor="text1"/>
          <w:sz w:val="28"/>
          <w:szCs w:val="28"/>
          <w:lang w:val="es-CO"/>
        </w:rPr>
        <w:t>“</w:t>
      </w:r>
      <w:r w:rsidR="006A168B" w:rsidRPr="006A168B">
        <w:rPr>
          <w:bCs/>
          <w:i/>
          <w:iCs/>
          <w:color w:val="000000" w:themeColor="text1"/>
          <w:sz w:val="28"/>
          <w:szCs w:val="28"/>
          <w:lang w:val="es-CO"/>
        </w:rPr>
        <w:t>suspende su contenido</w:t>
      </w:r>
      <w:r w:rsidR="006A168B" w:rsidRPr="00AA1A6F">
        <w:rPr>
          <w:bCs/>
          <w:color w:val="000000" w:themeColor="text1"/>
          <w:sz w:val="28"/>
          <w:szCs w:val="28"/>
          <w:lang w:val="es-CO"/>
        </w:rPr>
        <w:t>”</w:t>
      </w:r>
      <w:r w:rsidR="006A168B" w:rsidRPr="006A168B">
        <w:rPr>
          <w:bCs/>
          <w:color w:val="000000" w:themeColor="text1"/>
          <w:sz w:val="28"/>
          <w:szCs w:val="28"/>
          <w:lang w:val="es-CO"/>
        </w:rPr>
        <w:t xml:space="preserve">, de manera que se puede empezar a ejecutar. Ello tiene particular relevancia cuando la decisión es una sentencia o, por lo menos, un anuncio del sentido del fallo condenatorio de primera instancia, en casos donde no es aplicable la ejecución de la pena del artículo 63 del CP, por no cumplirse los requisitos previstos en </w:t>
      </w:r>
      <w:r w:rsidR="00C506E7">
        <w:rPr>
          <w:bCs/>
          <w:color w:val="000000" w:themeColor="text1"/>
          <w:sz w:val="28"/>
          <w:szCs w:val="28"/>
          <w:lang w:val="es-CO"/>
        </w:rPr>
        <w:t>dicha disposición.</w:t>
      </w:r>
    </w:p>
    <w:p w14:paraId="72F0A5A9" w14:textId="77777777" w:rsidR="006A168B" w:rsidRPr="00AA1A6F" w:rsidRDefault="006A168B" w:rsidP="00E067C2">
      <w:pPr>
        <w:pStyle w:val="Textoindependiente"/>
        <w:widowControl w:val="0"/>
        <w:tabs>
          <w:tab w:val="left" w:pos="567"/>
        </w:tabs>
        <w:autoSpaceDE w:val="0"/>
        <w:autoSpaceDN w:val="0"/>
        <w:spacing w:after="0"/>
        <w:ind w:right="49"/>
        <w:jc w:val="both"/>
        <w:rPr>
          <w:bCs/>
          <w:color w:val="000000" w:themeColor="text1"/>
          <w:sz w:val="28"/>
          <w:szCs w:val="28"/>
          <w:lang w:val="es-CO"/>
        </w:rPr>
      </w:pPr>
    </w:p>
    <w:p w14:paraId="1A90F7BC" w14:textId="0C417DF4" w:rsidR="007D7E5B" w:rsidRPr="00AA1A6F" w:rsidRDefault="006A168B" w:rsidP="00E067C2">
      <w:pPr>
        <w:pStyle w:val="Textoindependiente"/>
        <w:widowControl w:val="0"/>
        <w:numPr>
          <w:ilvl w:val="0"/>
          <w:numId w:val="30"/>
        </w:numPr>
        <w:tabs>
          <w:tab w:val="left" w:pos="567"/>
        </w:tabs>
        <w:autoSpaceDE w:val="0"/>
        <w:autoSpaceDN w:val="0"/>
        <w:spacing w:after="0"/>
        <w:ind w:left="0" w:right="49" w:firstLine="0"/>
        <w:jc w:val="both"/>
        <w:rPr>
          <w:bCs/>
          <w:color w:val="000000" w:themeColor="text1"/>
          <w:sz w:val="28"/>
          <w:szCs w:val="28"/>
          <w:lang w:val="es-CO"/>
        </w:rPr>
      </w:pPr>
      <w:r w:rsidRPr="00AA1A6F">
        <w:rPr>
          <w:bCs/>
          <w:color w:val="000000" w:themeColor="text1"/>
          <w:sz w:val="28"/>
          <w:szCs w:val="28"/>
          <w:lang w:val="es-CO"/>
        </w:rPr>
        <w:t xml:space="preserve">Con base en lo anterior, este Tribunal </w:t>
      </w:r>
      <w:r w:rsidR="007D7E5B" w:rsidRPr="00AA1A6F">
        <w:rPr>
          <w:bCs/>
          <w:color w:val="000000" w:themeColor="text1"/>
          <w:sz w:val="28"/>
          <w:szCs w:val="28"/>
          <w:lang w:val="es-CO"/>
        </w:rPr>
        <w:t xml:space="preserve">analizó los requisitos de procedencia señalados en el artículo 2 del </w:t>
      </w:r>
      <w:r w:rsidRPr="00AA1A6F">
        <w:rPr>
          <w:bCs/>
          <w:color w:val="000000" w:themeColor="text1"/>
          <w:sz w:val="28"/>
          <w:szCs w:val="28"/>
          <w:lang w:val="es-CO"/>
        </w:rPr>
        <w:t>D</w:t>
      </w:r>
      <w:r w:rsidR="007D7E5B" w:rsidRPr="00AA1A6F">
        <w:rPr>
          <w:bCs/>
          <w:color w:val="000000" w:themeColor="text1"/>
          <w:sz w:val="28"/>
          <w:szCs w:val="28"/>
          <w:lang w:val="es-CO"/>
        </w:rPr>
        <w:t xml:space="preserve">ecreto 2067 de 1991, </w:t>
      </w:r>
      <w:r w:rsidR="00581049" w:rsidRPr="00AA1A6F">
        <w:rPr>
          <w:bCs/>
          <w:color w:val="000000" w:themeColor="text1"/>
          <w:sz w:val="28"/>
          <w:szCs w:val="28"/>
          <w:lang w:val="es-CO"/>
        </w:rPr>
        <w:t xml:space="preserve">aplicando el estándar reforzado </w:t>
      </w:r>
      <w:r w:rsidRPr="00AA1A6F">
        <w:rPr>
          <w:bCs/>
          <w:color w:val="000000" w:themeColor="text1"/>
          <w:sz w:val="28"/>
          <w:szCs w:val="28"/>
          <w:lang w:val="es-CO"/>
        </w:rPr>
        <w:t xml:space="preserve">para los casos en que se cuestiona </w:t>
      </w:r>
      <w:r w:rsidR="00581049" w:rsidRPr="00AA1A6F">
        <w:rPr>
          <w:bCs/>
          <w:color w:val="000000" w:themeColor="text1"/>
          <w:sz w:val="28"/>
          <w:szCs w:val="28"/>
          <w:lang w:val="es-CO"/>
        </w:rPr>
        <w:t>el</w:t>
      </w:r>
      <w:r w:rsidR="007D7E5B" w:rsidRPr="00AA1A6F">
        <w:rPr>
          <w:bCs/>
          <w:color w:val="000000" w:themeColor="text1"/>
          <w:sz w:val="28"/>
          <w:szCs w:val="28"/>
          <w:lang w:val="es-CO"/>
        </w:rPr>
        <w:t xml:space="preserve"> “</w:t>
      </w:r>
      <w:r w:rsidR="007D7E5B" w:rsidRPr="00AA1A6F">
        <w:rPr>
          <w:bCs/>
          <w:i/>
          <w:iCs/>
          <w:color w:val="000000" w:themeColor="text1"/>
          <w:sz w:val="28"/>
          <w:szCs w:val="28"/>
          <w:lang w:val="es-CO"/>
        </w:rPr>
        <w:t>derecho viviente</w:t>
      </w:r>
      <w:r w:rsidR="007D7E5B" w:rsidRPr="00AA1A6F">
        <w:rPr>
          <w:bCs/>
          <w:color w:val="000000" w:themeColor="text1"/>
          <w:sz w:val="28"/>
          <w:szCs w:val="28"/>
          <w:lang w:val="es-CO"/>
        </w:rPr>
        <w:t xml:space="preserve">”, </w:t>
      </w:r>
      <w:r w:rsidR="00581049" w:rsidRPr="00AA1A6F">
        <w:rPr>
          <w:bCs/>
          <w:color w:val="000000" w:themeColor="text1"/>
          <w:sz w:val="28"/>
          <w:szCs w:val="28"/>
          <w:lang w:val="es-CO"/>
        </w:rPr>
        <w:t xml:space="preserve">que impone al ciudadano </w:t>
      </w:r>
      <w:r w:rsidR="007D7E5B" w:rsidRPr="00AA1A6F">
        <w:rPr>
          <w:bCs/>
          <w:color w:val="000000" w:themeColor="text1"/>
          <w:sz w:val="28"/>
          <w:szCs w:val="28"/>
          <w:lang w:val="es-CO"/>
        </w:rPr>
        <w:t>una carga argumentativa</w:t>
      </w:r>
      <w:r w:rsidR="003316F5" w:rsidRPr="00AA1A6F">
        <w:rPr>
          <w:bCs/>
          <w:color w:val="000000" w:themeColor="text1"/>
          <w:sz w:val="28"/>
          <w:szCs w:val="28"/>
          <w:lang w:val="es-CO"/>
        </w:rPr>
        <w:t xml:space="preserve"> más exigente </w:t>
      </w:r>
      <w:r w:rsidRPr="00AA1A6F">
        <w:rPr>
          <w:bCs/>
          <w:color w:val="000000" w:themeColor="text1"/>
          <w:sz w:val="28"/>
          <w:szCs w:val="28"/>
          <w:lang w:val="es-CO"/>
        </w:rPr>
        <w:t>para demandar</w:t>
      </w:r>
      <w:r w:rsidR="003316F5" w:rsidRPr="00AA1A6F">
        <w:rPr>
          <w:bCs/>
          <w:color w:val="000000" w:themeColor="text1"/>
          <w:sz w:val="28"/>
          <w:szCs w:val="28"/>
          <w:lang w:val="es-CO"/>
        </w:rPr>
        <w:t xml:space="preserve"> la</w:t>
      </w:r>
      <w:r w:rsidRPr="00AA1A6F">
        <w:rPr>
          <w:bCs/>
          <w:color w:val="000000" w:themeColor="text1"/>
          <w:sz w:val="28"/>
          <w:szCs w:val="28"/>
          <w:lang w:val="es-CO"/>
        </w:rPr>
        <w:t>s</w:t>
      </w:r>
      <w:r w:rsidR="003316F5" w:rsidRPr="00AA1A6F">
        <w:rPr>
          <w:bCs/>
          <w:color w:val="000000" w:themeColor="text1"/>
          <w:sz w:val="28"/>
          <w:szCs w:val="28"/>
          <w:lang w:val="es-CO"/>
        </w:rPr>
        <w:t xml:space="preserve"> norma</w:t>
      </w:r>
      <w:r w:rsidRPr="00AA1A6F">
        <w:rPr>
          <w:bCs/>
          <w:color w:val="000000" w:themeColor="text1"/>
          <w:sz w:val="28"/>
          <w:szCs w:val="28"/>
          <w:lang w:val="es-CO"/>
        </w:rPr>
        <w:t xml:space="preserve">s jurídicas derivadas de la labor interpretativa </w:t>
      </w:r>
      <w:r w:rsidR="003F2FE2" w:rsidRPr="00AA1A6F">
        <w:rPr>
          <w:bCs/>
          <w:color w:val="000000" w:themeColor="text1"/>
          <w:sz w:val="28"/>
          <w:szCs w:val="28"/>
          <w:lang w:val="es-CO"/>
        </w:rPr>
        <w:t xml:space="preserve">integradora </w:t>
      </w:r>
      <w:r w:rsidRPr="00AA1A6F">
        <w:rPr>
          <w:bCs/>
          <w:color w:val="000000" w:themeColor="text1"/>
          <w:sz w:val="28"/>
          <w:szCs w:val="28"/>
          <w:lang w:val="es-CO"/>
        </w:rPr>
        <w:t xml:space="preserve">que se cumple por </w:t>
      </w:r>
      <w:r w:rsidR="003316F5" w:rsidRPr="00AA1A6F">
        <w:rPr>
          <w:bCs/>
          <w:color w:val="000000" w:themeColor="text1"/>
          <w:sz w:val="28"/>
          <w:szCs w:val="28"/>
          <w:lang w:val="es-CO"/>
        </w:rPr>
        <w:t>los jueces</w:t>
      </w:r>
      <w:r w:rsidRPr="00AA1A6F">
        <w:rPr>
          <w:bCs/>
          <w:color w:val="000000" w:themeColor="text1"/>
          <w:sz w:val="28"/>
          <w:szCs w:val="28"/>
          <w:lang w:val="es-CO"/>
        </w:rPr>
        <w:t xml:space="preserve"> y, especialmente, por las Altas Cortes. </w:t>
      </w:r>
    </w:p>
    <w:p w14:paraId="77B1A746" w14:textId="77777777" w:rsidR="007D7E5B" w:rsidRPr="00AA1A6F" w:rsidRDefault="007D7E5B" w:rsidP="00E067C2">
      <w:pPr>
        <w:pStyle w:val="Textoindependiente"/>
        <w:widowControl w:val="0"/>
        <w:tabs>
          <w:tab w:val="left" w:pos="567"/>
        </w:tabs>
        <w:autoSpaceDE w:val="0"/>
        <w:autoSpaceDN w:val="0"/>
        <w:spacing w:after="0"/>
        <w:ind w:right="49"/>
        <w:jc w:val="both"/>
        <w:rPr>
          <w:bCs/>
          <w:color w:val="000000" w:themeColor="text1"/>
          <w:sz w:val="28"/>
          <w:szCs w:val="28"/>
          <w:lang w:val="es-CO"/>
        </w:rPr>
      </w:pPr>
    </w:p>
    <w:p w14:paraId="631BFAEA" w14:textId="6263EA84" w:rsidR="003F2FE2" w:rsidRPr="00AA1A6F" w:rsidRDefault="00151F6A" w:rsidP="00E067C2">
      <w:pPr>
        <w:pStyle w:val="Textoindependiente"/>
        <w:widowControl w:val="0"/>
        <w:numPr>
          <w:ilvl w:val="0"/>
          <w:numId w:val="30"/>
        </w:numPr>
        <w:tabs>
          <w:tab w:val="left" w:pos="567"/>
        </w:tabs>
        <w:autoSpaceDE w:val="0"/>
        <w:autoSpaceDN w:val="0"/>
        <w:spacing w:after="0"/>
        <w:ind w:left="0" w:right="49" w:firstLine="0"/>
        <w:jc w:val="both"/>
        <w:rPr>
          <w:i/>
          <w:iCs/>
          <w:color w:val="000000" w:themeColor="text1"/>
          <w:sz w:val="28"/>
          <w:szCs w:val="28"/>
          <w:u w:val="single"/>
          <w:lang w:val="es-CO" w:eastAsia="es-CO"/>
        </w:rPr>
      </w:pPr>
      <w:r w:rsidRPr="00AA1A6F">
        <w:rPr>
          <w:bCs/>
          <w:color w:val="000000" w:themeColor="text1"/>
          <w:sz w:val="28"/>
          <w:szCs w:val="28"/>
          <w:lang w:val="es-CO"/>
        </w:rPr>
        <w:t xml:space="preserve">En </w:t>
      </w:r>
      <w:r w:rsidR="0016189B" w:rsidRPr="00AA1A6F">
        <w:rPr>
          <w:bCs/>
          <w:color w:val="000000" w:themeColor="text1"/>
          <w:sz w:val="28"/>
          <w:szCs w:val="28"/>
          <w:lang w:val="es-CO"/>
        </w:rPr>
        <w:t>virtud de lo anterior</w:t>
      </w:r>
      <w:r w:rsidR="007D7E5B" w:rsidRPr="00AA1A6F">
        <w:rPr>
          <w:bCs/>
          <w:color w:val="000000" w:themeColor="text1"/>
          <w:sz w:val="28"/>
          <w:szCs w:val="28"/>
          <w:lang w:val="es-CO"/>
        </w:rPr>
        <w:t>, la Sala Plena</w:t>
      </w:r>
      <w:r w:rsidR="0016189B" w:rsidRPr="00AA1A6F">
        <w:rPr>
          <w:bCs/>
          <w:color w:val="000000" w:themeColor="text1"/>
          <w:sz w:val="28"/>
          <w:szCs w:val="28"/>
          <w:lang w:val="es-CO"/>
        </w:rPr>
        <w:t xml:space="preserve"> </w:t>
      </w:r>
      <w:r w:rsidR="006A168B" w:rsidRPr="00AA1A6F">
        <w:rPr>
          <w:bCs/>
          <w:color w:val="000000" w:themeColor="text1"/>
          <w:sz w:val="28"/>
          <w:szCs w:val="28"/>
          <w:lang w:val="es-CO"/>
        </w:rPr>
        <w:t>concluyó</w:t>
      </w:r>
      <w:r w:rsidR="0016189B" w:rsidRPr="00AA1A6F">
        <w:rPr>
          <w:bCs/>
          <w:color w:val="000000" w:themeColor="text1"/>
          <w:sz w:val="28"/>
          <w:szCs w:val="28"/>
          <w:lang w:val="es-CO"/>
        </w:rPr>
        <w:t xml:space="preserve"> que </w:t>
      </w:r>
      <w:r w:rsidR="007D7E5B" w:rsidRPr="00AA1A6F">
        <w:rPr>
          <w:bCs/>
          <w:color w:val="000000" w:themeColor="text1"/>
          <w:sz w:val="28"/>
          <w:szCs w:val="28"/>
          <w:lang w:val="es-CO"/>
        </w:rPr>
        <w:t>la demanda de la referencia no satisfizo ninguna de las mencionadas cargas</w:t>
      </w:r>
      <w:r w:rsidR="00D6758D" w:rsidRPr="00AA1A6F">
        <w:rPr>
          <w:bCs/>
          <w:color w:val="000000" w:themeColor="text1"/>
          <w:sz w:val="28"/>
          <w:szCs w:val="28"/>
          <w:lang w:val="es-CO"/>
        </w:rPr>
        <w:t>,</w:t>
      </w:r>
      <w:r w:rsidR="007D7E5B" w:rsidRPr="00AA1A6F">
        <w:rPr>
          <w:bCs/>
          <w:color w:val="000000" w:themeColor="text1"/>
          <w:sz w:val="28"/>
          <w:szCs w:val="28"/>
          <w:lang w:val="es-CO"/>
        </w:rPr>
        <w:t xml:space="preserve"> todas vez (i) no identificó con precisión el contenido normativo </w:t>
      </w:r>
      <w:r w:rsidR="0008433F">
        <w:rPr>
          <w:bCs/>
          <w:color w:val="000000" w:themeColor="text1"/>
          <w:sz w:val="28"/>
          <w:szCs w:val="28"/>
          <w:lang w:val="es-CO"/>
        </w:rPr>
        <w:t xml:space="preserve">de derecho viviente </w:t>
      </w:r>
      <w:r w:rsidR="007D7E5B" w:rsidRPr="00AA1A6F">
        <w:rPr>
          <w:bCs/>
          <w:color w:val="000000" w:themeColor="text1"/>
          <w:sz w:val="28"/>
          <w:szCs w:val="28"/>
          <w:lang w:val="es-CO"/>
        </w:rPr>
        <w:t>que se deriva directamente de las disposiciones legales censuradas</w:t>
      </w:r>
      <w:r w:rsidR="00D6758D" w:rsidRPr="00AA1A6F">
        <w:rPr>
          <w:bCs/>
          <w:color w:val="000000" w:themeColor="text1"/>
          <w:sz w:val="28"/>
          <w:szCs w:val="28"/>
          <w:lang w:val="es-CO"/>
        </w:rPr>
        <w:t>;</w:t>
      </w:r>
      <w:r w:rsidR="007D7E5B" w:rsidRPr="00AA1A6F">
        <w:rPr>
          <w:bCs/>
          <w:color w:val="000000" w:themeColor="text1"/>
          <w:sz w:val="28"/>
          <w:szCs w:val="28"/>
          <w:lang w:val="es-CO"/>
        </w:rPr>
        <w:t xml:space="preserve"> (</w:t>
      </w:r>
      <w:proofErr w:type="spellStart"/>
      <w:r w:rsidR="007D7E5B" w:rsidRPr="00AA1A6F">
        <w:rPr>
          <w:bCs/>
          <w:color w:val="000000" w:themeColor="text1"/>
          <w:sz w:val="28"/>
          <w:szCs w:val="28"/>
          <w:lang w:val="es-CO"/>
        </w:rPr>
        <w:t>ii</w:t>
      </w:r>
      <w:proofErr w:type="spellEnd"/>
      <w:r w:rsidR="007D7E5B" w:rsidRPr="00AA1A6F">
        <w:rPr>
          <w:bCs/>
          <w:color w:val="000000" w:themeColor="text1"/>
          <w:sz w:val="28"/>
          <w:szCs w:val="28"/>
          <w:lang w:val="es-CO"/>
        </w:rPr>
        <w:t xml:space="preserve">) </w:t>
      </w:r>
      <w:r w:rsidR="007D7E5B" w:rsidRPr="00AA1A6F">
        <w:rPr>
          <w:bCs/>
          <w:color w:val="000000" w:themeColor="text1"/>
          <w:sz w:val="28"/>
          <w:szCs w:val="28"/>
          <w:lang w:val="es-ES_tradnl"/>
        </w:rPr>
        <w:t>no fundamentó adecuadamente la “</w:t>
      </w:r>
      <w:r w:rsidR="007D7E5B" w:rsidRPr="00AA1A6F">
        <w:rPr>
          <w:bCs/>
          <w:i/>
          <w:iCs/>
          <w:color w:val="000000" w:themeColor="text1"/>
          <w:sz w:val="28"/>
          <w:szCs w:val="28"/>
          <w:lang w:val="es-ES_tradnl"/>
        </w:rPr>
        <w:t>norma</w:t>
      </w:r>
      <w:r w:rsidR="007D7E5B" w:rsidRPr="00AA1A6F">
        <w:rPr>
          <w:bCs/>
          <w:color w:val="000000" w:themeColor="text1"/>
          <w:sz w:val="28"/>
          <w:szCs w:val="28"/>
          <w:lang w:val="es-ES_tradnl"/>
        </w:rPr>
        <w:t xml:space="preserve">” derivada de la jurisprudencia de la Sala de Casación Penal de la Corte Suprema de Justicia, a partir de una proposición jurídica real y verificable que constituyera una verdadera interpretación </w:t>
      </w:r>
      <w:r w:rsidR="003F2FE2" w:rsidRPr="00AA1A6F">
        <w:rPr>
          <w:bCs/>
          <w:color w:val="000000" w:themeColor="text1"/>
          <w:sz w:val="28"/>
          <w:szCs w:val="28"/>
          <w:lang w:val="es-ES_tradnl"/>
        </w:rPr>
        <w:t>integradora de origen judicial</w:t>
      </w:r>
      <w:r w:rsidR="007D7E5B" w:rsidRPr="00AA1A6F">
        <w:rPr>
          <w:bCs/>
          <w:color w:val="000000" w:themeColor="text1"/>
          <w:sz w:val="28"/>
          <w:szCs w:val="28"/>
          <w:lang w:val="es-ES_tradnl"/>
        </w:rPr>
        <w:t>; (</w:t>
      </w:r>
      <w:proofErr w:type="spellStart"/>
      <w:r w:rsidR="007D7E5B" w:rsidRPr="00AA1A6F">
        <w:rPr>
          <w:bCs/>
          <w:color w:val="000000" w:themeColor="text1"/>
          <w:sz w:val="28"/>
          <w:szCs w:val="28"/>
          <w:lang w:val="es-ES_tradnl"/>
        </w:rPr>
        <w:t>iii</w:t>
      </w:r>
      <w:proofErr w:type="spellEnd"/>
      <w:r w:rsidR="007D7E5B" w:rsidRPr="00AA1A6F">
        <w:rPr>
          <w:bCs/>
          <w:color w:val="000000" w:themeColor="text1"/>
          <w:sz w:val="28"/>
          <w:szCs w:val="28"/>
          <w:lang w:val="es-ES_tradnl"/>
        </w:rPr>
        <w:t xml:space="preserve">) </w:t>
      </w:r>
      <w:r w:rsidR="00C83719" w:rsidRPr="00AA1A6F">
        <w:rPr>
          <w:color w:val="000000" w:themeColor="text1"/>
          <w:sz w:val="28"/>
          <w:szCs w:val="28"/>
          <w:lang w:val="es-ES_tradnl"/>
        </w:rPr>
        <w:t xml:space="preserve">no centró sus razones de inconstitucionalidad en el contenido normativo concreto definido por </w:t>
      </w:r>
      <w:r w:rsidR="00D6758D" w:rsidRPr="00AA1A6F">
        <w:rPr>
          <w:color w:val="000000" w:themeColor="text1"/>
          <w:sz w:val="28"/>
          <w:szCs w:val="28"/>
          <w:lang w:val="es-ES_tradnl"/>
        </w:rPr>
        <w:t xml:space="preserve">la </w:t>
      </w:r>
      <w:r w:rsidR="003F2FE2" w:rsidRPr="00AA1A6F">
        <w:rPr>
          <w:color w:val="000000" w:themeColor="text1"/>
          <w:sz w:val="28"/>
          <w:szCs w:val="28"/>
          <w:lang w:val="es-ES_tradnl"/>
        </w:rPr>
        <w:t>“</w:t>
      </w:r>
      <w:r w:rsidR="00C83719" w:rsidRPr="00AA1A6F">
        <w:rPr>
          <w:i/>
          <w:iCs/>
          <w:color w:val="000000" w:themeColor="text1"/>
          <w:sz w:val="28"/>
          <w:szCs w:val="28"/>
          <w:lang w:val="es-ES_tradnl"/>
        </w:rPr>
        <w:t>norma judicial reprochada</w:t>
      </w:r>
      <w:r w:rsidR="003F2FE2" w:rsidRPr="00AA1A6F">
        <w:rPr>
          <w:color w:val="000000" w:themeColor="text1"/>
          <w:sz w:val="28"/>
          <w:szCs w:val="28"/>
          <w:lang w:val="es-ES_tradnl"/>
        </w:rPr>
        <w:t>”</w:t>
      </w:r>
      <w:r w:rsidR="00D6758D" w:rsidRPr="00AA1A6F">
        <w:rPr>
          <w:color w:val="000000" w:themeColor="text1"/>
          <w:sz w:val="28"/>
          <w:szCs w:val="28"/>
          <w:lang w:val="es-ES_tradnl"/>
        </w:rPr>
        <w:t>;</w:t>
      </w:r>
      <w:r w:rsidR="00C83719" w:rsidRPr="00AA1A6F">
        <w:rPr>
          <w:color w:val="000000" w:themeColor="text1"/>
          <w:sz w:val="28"/>
          <w:szCs w:val="28"/>
          <w:lang w:val="es-ES_tradnl"/>
        </w:rPr>
        <w:t xml:space="preserve"> (</w:t>
      </w:r>
      <w:proofErr w:type="spellStart"/>
      <w:r w:rsidR="00C83719" w:rsidRPr="00AA1A6F">
        <w:rPr>
          <w:color w:val="000000" w:themeColor="text1"/>
          <w:sz w:val="28"/>
          <w:szCs w:val="28"/>
          <w:lang w:val="es-ES_tradnl"/>
        </w:rPr>
        <w:t>iv</w:t>
      </w:r>
      <w:proofErr w:type="spellEnd"/>
      <w:r w:rsidR="00C83719" w:rsidRPr="00AA1A6F">
        <w:rPr>
          <w:color w:val="000000" w:themeColor="text1"/>
          <w:sz w:val="28"/>
          <w:szCs w:val="28"/>
          <w:lang w:val="es-ES_tradnl"/>
        </w:rPr>
        <w:t>) se limitó a cuestionar meras discusiones hermenéuticas y de alcance legal, sin exponer verdaderos problemas de relevancia constitucional</w:t>
      </w:r>
      <w:r w:rsidR="00D6758D" w:rsidRPr="00AA1A6F">
        <w:rPr>
          <w:color w:val="000000" w:themeColor="text1"/>
          <w:sz w:val="28"/>
          <w:szCs w:val="28"/>
          <w:lang w:val="es-ES_tradnl"/>
        </w:rPr>
        <w:t>,</w:t>
      </w:r>
      <w:r w:rsidR="00C83719" w:rsidRPr="00AA1A6F">
        <w:rPr>
          <w:color w:val="000000" w:themeColor="text1"/>
          <w:sz w:val="28"/>
          <w:szCs w:val="28"/>
          <w:lang w:val="es-ES_tradnl"/>
        </w:rPr>
        <w:t xml:space="preserve"> y (v) </w:t>
      </w:r>
      <w:r w:rsidR="00C83719" w:rsidRPr="00AA1A6F">
        <w:rPr>
          <w:color w:val="000000" w:themeColor="text1"/>
          <w:sz w:val="28"/>
          <w:szCs w:val="28"/>
          <w:shd w:val="clear" w:color="auto" w:fill="FFFFFF"/>
          <w:lang w:val="es-ES_tradnl"/>
        </w:rPr>
        <w:t>los argumentos expuestos no logra</w:t>
      </w:r>
      <w:r w:rsidR="00900F6B" w:rsidRPr="00AA1A6F">
        <w:rPr>
          <w:color w:val="000000" w:themeColor="text1"/>
          <w:sz w:val="28"/>
          <w:szCs w:val="28"/>
          <w:shd w:val="clear" w:color="auto" w:fill="FFFFFF"/>
          <w:lang w:val="es-ES_tradnl"/>
        </w:rPr>
        <w:t>ro</w:t>
      </w:r>
      <w:r w:rsidR="00C83719" w:rsidRPr="00AA1A6F">
        <w:rPr>
          <w:color w:val="000000" w:themeColor="text1"/>
          <w:sz w:val="28"/>
          <w:szCs w:val="28"/>
          <w:shd w:val="clear" w:color="auto" w:fill="FFFFFF"/>
          <w:lang w:val="es-ES_tradnl"/>
        </w:rPr>
        <w:t xml:space="preserve">n suscitar una duda mínima sobre la inconstitucionalidad </w:t>
      </w:r>
      <w:r w:rsidR="003F2FE2" w:rsidRPr="00AA1A6F">
        <w:rPr>
          <w:color w:val="000000" w:themeColor="text1"/>
          <w:sz w:val="28"/>
          <w:szCs w:val="28"/>
          <w:shd w:val="clear" w:color="auto" w:fill="FFFFFF"/>
          <w:lang w:val="es-ES_tradnl"/>
        </w:rPr>
        <w:t>invocada</w:t>
      </w:r>
      <w:r w:rsidR="00C83719" w:rsidRPr="00AA1A6F">
        <w:rPr>
          <w:color w:val="000000" w:themeColor="text1"/>
          <w:sz w:val="28"/>
          <w:szCs w:val="28"/>
          <w:shd w:val="clear" w:color="auto" w:fill="FFFFFF"/>
          <w:lang w:val="es-ES_tradnl"/>
        </w:rPr>
        <w:t xml:space="preserve">. </w:t>
      </w:r>
    </w:p>
    <w:p w14:paraId="4375CFBB" w14:textId="77777777" w:rsidR="003F2FE2" w:rsidRPr="00AA1A6F" w:rsidRDefault="003F2FE2" w:rsidP="00E067C2">
      <w:pPr>
        <w:pStyle w:val="Prrafodelista"/>
        <w:rPr>
          <w:color w:val="000000" w:themeColor="text1"/>
          <w:sz w:val="28"/>
          <w:szCs w:val="28"/>
          <w:shd w:val="clear" w:color="auto" w:fill="FFFFFF"/>
          <w:lang w:val="es-ES_tradnl"/>
        </w:rPr>
      </w:pPr>
    </w:p>
    <w:p w14:paraId="4797CFA9" w14:textId="56DFCF2E" w:rsidR="009E331B" w:rsidRPr="00AA1A6F" w:rsidRDefault="00C83719" w:rsidP="00E067C2">
      <w:pPr>
        <w:pStyle w:val="Textoindependiente"/>
        <w:widowControl w:val="0"/>
        <w:numPr>
          <w:ilvl w:val="0"/>
          <w:numId w:val="30"/>
        </w:numPr>
        <w:tabs>
          <w:tab w:val="left" w:pos="567"/>
        </w:tabs>
        <w:autoSpaceDE w:val="0"/>
        <w:autoSpaceDN w:val="0"/>
        <w:spacing w:after="0"/>
        <w:ind w:left="0" w:right="49" w:firstLine="0"/>
        <w:jc w:val="both"/>
        <w:rPr>
          <w:i/>
          <w:iCs/>
          <w:color w:val="000000" w:themeColor="text1"/>
          <w:sz w:val="28"/>
          <w:szCs w:val="28"/>
          <w:u w:val="single"/>
          <w:lang w:val="es-CO" w:eastAsia="es-CO"/>
        </w:rPr>
      </w:pPr>
      <w:r w:rsidRPr="00AA1A6F">
        <w:rPr>
          <w:color w:val="000000" w:themeColor="text1"/>
          <w:sz w:val="28"/>
          <w:szCs w:val="28"/>
          <w:shd w:val="clear" w:color="auto" w:fill="FFFFFF"/>
          <w:lang w:val="es-ES_tradnl"/>
        </w:rPr>
        <w:t>En consecuencia, la Sala Plena de la Corte profirió una decisión inhibitoria.</w:t>
      </w:r>
    </w:p>
    <w:p w14:paraId="3E1B3E36" w14:textId="77777777" w:rsidR="003F2FE2" w:rsidRPr="00EC2190" w:rsidRDefault="003F2FE2" w:rsidP="00E067C2">
      <w:pPr>
        <w:jc w:val="both"/>
        <w:rPr>
          <w:color w:val="000000" w:themeColor="text1"/>
          <w:sz w:val="28"/>
          <w:szCs w:val="28"/>
          <w:highlight w:val="yellow"/>
        </w:rPr>
      </w:pPr>
    </w:p>
    <w:p w14:paraId="58A05E2A" w14:textId="739C0FF6" w:rsidR="008D62CF" w:rsidRPr="00AA1A6F" w:rsidRDefault="008D62CF" w:rsidP="00E067C2">
      <w:pPr>
        <w:pStyle w:val="Prrafodelista"/>
        <w:numPr>
          <w:ilvl w:val="1"/>
          <w:numId w:val="12"/>
        </w:numPr>
        <w:ind w:left="1276" w:right="51" w:hanging="709"/>
        <w:jc w:val="both"/>
        <w:rPr>
          <w:b/>
          <w:bCs/>
          <w:color w:val="000000" w:themeColor="text1"/>
          <w:sz w:val="28"/>
          <w:szCs w:val="28"/>
          <w:lang w:val="es-CO"/>
        </w:rPr>
      </w:pPr>
      <w:r w:rsidRPr="00AA1A6F">
        <w:rPr>
          <w:b/>
          <w:bCs/>
          <w:color w:val="000000" w:themeColor="text1"/>
          <w:sz w:val="28"/>
          <w:szCs w:val="28"/>
          <w:lang w:val="es-CO"/>
        </w:rPr>
        <w:t>Hechos relevantes</w:t>
      </w:r>
    </w:p>
    <w:p w14:paraId="46742F9E" w14:textId="77777777" w:rsidR="008D62CF" w:rsidRPr="00AA1A6F" w:rsidRDefault="008D62CF" w:rsidP="00E067C2">
      <w:pPr>
        <w:jc w:val="both"/>
        <w:rPr>
          <w:color w:val="000000" w:themeColor="text1"/>
          <w:sz w:val="28"/>
          <w:szCs w:val="28"/>
        </w:rPr>
      </w:pPr>
    </w:p>
    <w:p w14:paraId="6032E3A4" w14:textId="07DC29BC" w:rsidR="00E1612D" w:rsidRPr="00AA1A6F"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AA1A6F">
        <w:rPr>
          <w:color w:val="000000" w:themeColor="text1"/>
          <w:sz w:val="28"/>
          <w:szCs w:val="28"/>
          <w:lang w:val="es-CO"/>
        </w:rPr>
        <w:t xml:space="preserve">El </w:t>
      </w:r>
      <w:r w:rsidR="0016189B" w:rsidRPr="00AA1A6F">
        <w:rPr>
          <w:color w:val="000000" w:themeColor="text1"/>
          <w:sz w:val="28"/>
          <w:szCs w:val="28"/>
          <w:lang w:val="es-CO"/>
        </w:rPr>
        <w:t>7</w:t>
      </w:r>
      <w:r w:rsidRPr="00AA1A6F">
        <w:rPr>
          <w:color w:val="000000" w:themeColor="text1"/>
          <w:sz w:val="28"/>
          <w:szCs w:val="28"/>
          <w:lang w:val="es-CO"/>
        </w:rPr>
        <w:t xml:space="preserve"> de </w:t>
      </w:r>
      <w:r w:rsidR="0016189B" w:rsidRPr="00AA1A6F">
        <w:rPr>
          <w:color w:val="000000" w:themeColor="text1"/>
          <w:sz w:val="28"/>
          <w:szCs w:val="28"/>
          <w:lang w:val="es-CO"/>
        </w:rPr>
        <w:t>noviembre</w:t>
      </w:r>
      <w:r w:rsidRPr="00AA1A6F">
        <w:rPr>
          <w:color w:val="000000" w:themeColor="text1"/>
          <w:sz w:val="28"/>
          <w:szCs w:val="28"/>
          <w:lang w:val="es-CO"/>
        </w:rPr>
        <w:t xml:space="preserve"> de 202</w:t>
      </w:r>
      <w:r w:rsidR="0016189B" w:rsidRPr="00AA1A6F">
        <w:rPr>
          <w:color w:val="000000" w:themeColor="text1"/>
          <w:sz w:val="28"/>
          <w:szCs w:val="28"/>
          <w:lang w:val="es-CO"/>
        </w:rPr>
        <w:t>3</w:t>
      </w:r>
      <w:r w:rsidRPr="00AA1A6F">
        <w:rPr>
          <w:color w:val="000000" w:themeColor="text1"/>
          <w:sz w:val="28"/>
          <w:szCs w:val="28"/>
          <w:lang w:val="es-CO"/>
        </w:rPr>
        <w:t xml:space="preserve">, en ejercicio de la acción pública prevista en los artículos 40.6, 241 y 242 de la Constitución, el ciudadano </w:t>
      </w:r>
      <w:r w:rsidR="0016189B" w:rsidRPr="00AA1A6F">
        <w:rPr>
          <w:color w:val="000000" w:themeColor="text1"/>
          <w:sz w:val="28"/>
          <w:szCs w:val="28"/>
          <w:lang w:val="es-CO"/>
        </w:rPr>
        <w:t xml:space="preserve">Felipe Chica Duque </w:t>
      </w:r>
      <w:r w:rsidRPr="00AA1A6F">
        <w:rPr>
          <w:color w:val="000000" w:themeColor="text1"/>
          <w:sz w:val="28"/>
          <w:szCs w:val="28"/>
          <w:lang w:val="es-CO"/>
        </w:rPr>
        <w:t>presentó demanda de inconstitucionalidad en contra</w:t>
      </w:r>
      <w:r w:rsidR="0016189B" w:rsidRPr="00AA1A6F">
        <w:rPr>
          <w:color w:val="000000" w:themeColor="text1"/>
          <w:sz w:val="28"/>
          <w:szCs w:val="28"/>
          <w:lang w:val="es-CO"/>
        </w:rPr>
        <w:t xml:space="preserve"> de los artículos </w:t>
      </w:r>
      <w:r w:rsidR="002661DE" w:rsidRPr="00AA1A6F">
        <w:rPr>
          <w:color w:val="000000" w:themeColor="text1"/>
          <w:sz w:val="28"/>
          <w:szCs w:val="28"/>
          <w:lang w:val="es-CO"/>
        </w:rPr>
        <w:t>63 de la Ley 599 de 2000</w:t>
      </w:r>
      <w:r w:rsidR="00900F6B" w:rsidRPr="00AA1A6F">
        <w:rPr>
          <w:color w:val="000000" w:themeColor="text1"/>
          <w:sz w:val="28"/>
          <w:szCs w:val="28"/>
          <w:lang w:val="es-CO"/>
        </w:rPr>
        <w:t xml:space="preserve"> “</w:t>
      </w:r>
      <w:r w:rsidR="00900F6B" w:rsidRPr="00AA1A6F">
        <w:rPr>
          <w:i/>
          <w:iCs/>
          <w:color w:val="000000" w:themeColor="text1"/>
          <w:sz w:val="28"/>
          <w:szCs w:val="28"/>
          <w:lang w:val="es-CO"/>
        </w:rPr>
        <w:t>por la cual se expide el Código Penal</w:t>
      </w:r>
      <w:r w:rsidR="00900F6B" w:rsidRPr="00AA1A6F">
        <w:rPr>
          <w:color w:val="000000" w:themeColor="text1"/>
          <w:sz w:val="28"/>
          <w:szCs w:val="28"/>
          <w:lang w:val="es-CO"/>
        </w:rPr>
        <w:t>”</w:t>
      </w:r>
      <w:r w:rsidR="002661DE" w:rsidRPr="00AA1A6F">
        <w:rPr>
          <w:color w:val="000000" w:themeColor="text1"/>
          <w:sz w:val="28"/>
          <w:szCs w:val="28"/>
          <w:lang w:val="es-CO"/>
        </w:rPr>
        <w:t xml:space="preserve"> </w:t>
      </w:r>
      <w:bookmarkStart w:id="3" w:name="_Hlk425968"/>
      <w:r w:rsidR="007A4E2B" w:rsidRPr="007A4E2B">
        <w:rPr>
          <w:color w:val="000000" w:themeColor="text1"/>
          <w:sz w:val="28"/>
          <w:szCs w:val="28"/>
          <w:lang w:val="es-CO"/>
        </w:rPr>
        <w:t>–</w:t>
      </w:r>
      <w:bookmarkEnd w:id="3"/>
      <w:r w:rsidR="00A52885" w:rsidRPr="00AA1A6F">
        <w:rPr>
          <w:color w:val="000000" w:themeColor="text1"/>
          <w:sz w:val="28"/>
          <w:szCs w:val="28"/>
          <w:lang w:val="es-CO"/>
        </w:rPr>
        <w:t>en adelante CP</w:t>
      </w:r>
      <w:r w:rsidR="007A4E2B" w:rsidRPr="007A4E2B">
        <w:rPr>
          <w:color w:val="000000" w:themeColor="text1"/>
          <w:sz w:val="28"/>
          <w:szCs w:val="28"/>
          <w:lang w:val="es-CO"/>
        </w:rPr>
        <w:t>–</w:t>
      </w:r>
      <w:r w:rsidR="00A52885" w:rsidRPr="00AA1A6F">
        <w:rPr>
          <w:color w:val="000000" w:themeColor="text1"/>
          <w:sz w:val="28"/>
          <w:szCs w:val="28"/>
          <w:lang w:val="es-CO"/>
        </w:rPr>
        <w:t xml:space="preserve"> </w:t>
      </w:r>
      <w:r w:rsidR="002661DE" w:rsidRPr="00AA1A6F">
        <w:rPr>
          <w:color w:val="000000" w:themeColor="text1"/>
          <w:sz w:val="28"/>
          <w:szCs w:val="28"/>
          <w:lang w:val="es-CO"/>
        </w:rPr>
        <w:t xml:space="preserve">y </w:t>
      </w:r>
      <w:r w:rsidR="0016189B" w:rsidRPr="00AA1A6F">
        <w:rPr>
          <w:color w:val="000000" w:themeColor="text1"/>
          <w:sz w:val="28"/>
          <w:szCs w:val="28"/>
          <w:lang w:val="es-CO"/>
        </w:rPr>
        <w:t>177 de la Ley 906 de 2004</w:t>
      </w:r>
      <w:r w:rsidR="00A52885" w:rsidRPr="00AA1A6F">
        <w:rPr>
          <w:color w:val="000000" w:themeColor="text1"/>
          <w:sz w:val="28"/>
          <w:szCs w:val="28"/>
          <w:lang w:val="es-CO"/>
        </w:rPr>
        <w:t xml:space="preserve"> </w:t>
      </w:r>
      <w:r w:rsidR="00900F6B" w:rsidRPr="00AA1A6F">
        <w:rPr>
          <w:color w:val="000000" w:themeColor="text1"/>
          <w:sz w:val="28"/>
          <w:szCs w:val="28"/>
          <w:lang w:val="es-CO"/>
        </w:rPr>
        <w:t>“</w:t>
      </w:r>
      <w:r w:rsidR="00900F6B" w:rsidRPr="00AA1A6F">
        <w:rPr>
          <w:i/>
          <w:iCs/>
          <w:color w:val="000000" w:themeColor="text1"/>
          <w:sz w:val="28"/>
          <w:szCs w:val="28"/>
          <w:lang w:val="es-CO"/>
        </w:rPr>
        <w:t>por la cual se expide el Código de Procedimiento Penal</w:t>
      </w:r>
      <w:r w:rsidR="00900F6B" w:rsidRPr="00AA1A6F">
        <w:rPr>
          <w:color w:val="000000" w:themeColor="text1"/>
          <w:sz w:val="28"/>
          <w:szCs w:val="28"/>
          <w:lang w:val="es-CO"/>
        </w:rPr>
        <w:t>”</w:t>
      </w:r>
      <w:r w:rsidR="007A4E2B">
        <w:rPr>
          <w:color w:val="000000" w:themeColor="text1"/>
          <w:sz w:val="28"/>
          <w:szCs w:val="28"/>
          <w:lang w:val="es-CO"/>
        </w:rPr>
        <w:t xml:space="preserve"> </w:t>
      </w:r>
      <w:r w:rsidR="007A4E2B" w:rsidRPr="007A4E2B">
        <w:rPr>
          <w:color w:val="000000" w:themeColor="text1"/>
          <w:sz w:val="28"/>
          <w:szCs w:val="28"/>
          <w:lang w:val="es-CO"/>
        </w:rPr>
        <w:t>–</w:t>
      </w:r>
      <w:r w:rsidR="00A52885" w:rsidRPr="00AA1A6F">
        <w:rPr>
          <w:color w:val="000000" w:themeColor="text1"/>
          <w:sz w:val="28"/>
          <w:szCs w:val="28"/>
          <w:lang w:val="es-CO"/>
        </w:rPr>
        <w:t>en adelante CPP</w:t>
      </w:r>
      <w:r w:rsidR="007A4E2B" w:rsidRPr="007A4E2B">
        <w:rPr>
          <w:color w:val="000000" w:themeColor="text1"/>
          <w:sz w:val="28"/>
          <w:szCs w:val="28"/>
          <w:lang w:val="es-CO"/>
        </w:rPr>
        <w:t>–</w:t>
      </w:r>
      <w:r w:rsidR="008F32C5" w:rsidRPr="00AA1A6F">
        <w:rPr>
          <w:color w:val="000000" w:themeColor="text1"/>
          <w:sz w:val="28"/>
          <w:szCs w:val="28"/>
          <w:lang w:val="es-CO"/>
        </w:rPr>
        <w:t>,</w:t>
      </w:r>
      <w:r w:rsidRPr="00AA1A6F">
        <w:rPr>
          <w:color w:val="000000" w:themeColor="text1"/>
          <w:sz w:val="28"/>
          <w:szCs w:val="28"/>
          <w:lang w:val="es-CO"/>
        </w:rPr>
        <w:t xml:space="preserve"> por el presunto desconocimiento de los artículos</w:t>
      </w:r>
      <w:r w:rsidR="001750EF" w:rsidRPr="00AA1A6F">
        <w:rPr>
          <w:color w:val="000000" w:themeColor="text1"/>
          <w:sz w:val="28"/>
          <w:szCs w:val="28"/>
          <w:lang w:val="es-CO"/>
        </w:rPr>
        <w:t xml:space="preserve"> </w:t>
      </w:r>
      <w:r w:rsidR="006A37F7" w:rsidRPr="00AA1A6F">
        <w:rPr>
          <w:color w:val="000000" w:themeColor="text1"/>
          <w:sz w:val="28"/>
          <w:szCs w:val="28"/>
          <w:lang w:val="es-CO"/>
        </w:rPr>
        <w:t xml:space="preserve">2 y </w:t>
      </w:r>
      <w:r w:rsidR="001750EF" w:rsidRPr="00AA1A6F">
        <w:rPr>
          <w:color w:val="000000" w:themeColor="text1"/>
          <w:sz w:val="28"/>
          <w:szCs w:val="28"/>
          <w:lang w:val="es-CO"/>
        </w:rPr>
        <w:t>29</w:t>
      </w:r>
      <w:r w:rsidR="006A37F7" w:rsidRPr="00AA1A6F">
        <w:rPr>
          <w:color w:val="000000" w:themeColor="text1"/>
          <w:sz w:val="28"/>
          <w:szCs w:val="28"/>
          <w:lang w:val="es-CO"/>
        </w:rPr>
        <w:t xml:space="preserve"> de la Constitución, 8.2 de la Convención Americana de Derechos Humanos</w:t>
      </w:r>
      <w:r w:rsidR="00AA1A6F">
        <w:rPr>
          <w:color w:val="000000" w:themeColor="text1"/>
          <w:sz w:val="28"/>
          <w:szCs w:val="28"/>
          <w:lang w:val="es-CO"/>
        </w:rPr>
        <w:t xml:space="preserve"> </w:t>
      </w:r>
      <w:r w:rsidR="007A4E2B" w:rsidRPr="007A4E2B">
        <w:rPr>
          <w:color w:val="000000" w:themeColor="text1"/>
          <w:sz w:val="28"/>
          <w:szCs w:val="28"/>
          <w:lang w:val="es-CO"/>
        </w:rPr>
        <w:t>–</w:t>
      </w:r>
      <w:r w:rsidR="00AA1A6F">
        <w:rPr>
          <w:color w:val="000000" w:themeColor="text1"/>
          <w:sz w:val="28"/>
          <w:szCs w:val="28"/>
          <w:lang w:val="es-CO"/>
        </w:rPr>
        <w:t>en adelante CADH</w:t>
      </w:r>
      <w:r w:rsidR="007A4E2B" w:rsidRPr="007A4E2B">
        <w:rPr>
          <w:color w:val="000000" w:themeColor="text1"/>
          <w:sz w:val="28"/>
          <w:szCs w:val="28"/>
          <w:lang w:val="es-CO"/>
        </w:rPr>
        <w:t>–</w:t>
      </w:r>
      <w:r w:rsidR="007A4E2B">
        <w:rPr>
          <w:color w:val="000000" w:themeColor="text1"/>
          <w:sz w:val="28"/>
          <w:szCs w:val="28"/>
          <w:lang w:val="es-CO"/>
        </w:rPr>
        <w:t xml:space="preserve"> </w:t>
      </w:r>
      <w:r w:rsidR="006A37F7" w:rsidRPr="00AA1A6F">
        <w:rPr>
          <w:color w:val="000000" w:themeColor="text1"/>
          <w:sz w:val="28"/>
          <w:szCs w:val="28"/>
          <w:lang w:val="es-CO"/>
        </w:rPr>
        <w:t xml:space="preserve">y 14.2 del Pacto Internacional de Derechos Civiles y </w:t>
      </w:r>
      <w:r w:rsidR="00641080" w:rsidRPr="00AA1A6F">
        <w:rPr>
          <w:color w:val="000000" w:themeColor="text1"/>
          <w:sz w:val="28"/>
          <w:szCs w:val="28"/>
          <w:lang w:val="es-CO"/>
        </w:rPr>
        <w:t>P</w:t>
      </w:r>
      <w:r w:rsidR="006A37F7" w:rsidRPr="00AA1A6F">
        <w:rPr>
          <w:color w:val="000000" w:themeColor="text1"/>
          <w:sz w:val="28"/>
          <w:szCs w:val="28"/>
          <w:lang w:val="es-CO"/>
        </w:rPr>
        <w:t>olíticos</w:t>
      </w:r>
      <w:r w:rsidR="00AA1A6F">
        <w:rPr>
          <w:color w:val="000000" w:themeColor="text1"/>
          <w:sz w:val="28"/>
          <w:szCs w:val="28"/>
          <w:lang w:val="es-CO"/>
        </w:rPr>
        <w:t xml:space="preserve"> </w:t>
      </w:r>
      <w:r w:rsidR="007A4E2B" w:rsidRPr="007A4E2B">
        <w:rPr>
          <w:color w:val="000000" w:themeColor="text1"/>
          <w:sz w:val="28"/>
          <w:szCs w:val="28"/>
          <w:lang w:val="es-CO"/>
        </w:rPr>
        <w:t>–</w:t>
      </w:r>
      <w:r w:rsidR="00AA1A6F">
        <w:rPr>
          <w:color w:val="000000" w:themeColor="text1"/>
          <w:sz w:val="28"/>
          <w:szCs w:val="28"/>
          <w:lang w:val="es-CO"/>
        </w:rPr>
        <w:t>en adelante PIDCP</w:t>
      </w:r>
      <w:r w:rsidR="007A4E2B" w:rsidRPr="007A4E2B">
        <w:rPr>
          <w:color w:val="000000" w:themeColor="text1"/>
          <w:sz w:val="28"/>
          <w:szCs w:val="28"/>
          <w:lang w:val="es-CO"/>
        </w:rPr>
        <w:t>–</w:t>
      </w:r>
      <w:r w:rsidRPr="00AA1A6F">
        <w:rPr>
          <w:color w:val="000000" w:themeColor="text1"/>
          <w:sz w:val="28"/>
          <w:szCs w:val="28"/>
          <w:lang w:val="es-CO"/>
        </w:rPr>
        <w:t>.</w:t>
      </w:r>
      <w:r w:rsidR="006A37F7" w:rsidRPr="00AA1A6F">
        <w:rPr>
          <w:color w:val="000000" w:themeColor="text1"/>
          <w:sz w:val="28"/>
          <w:szCs w:val="28"/>
          <w:lang w:val="es-CO"/>
        </w:rPr>
        <w:t xml:space="preserve"> </w:t>
      </w:r>
      <w:r w:rsidR="00E54195" w:rsidRPr="00AA1A6F">
        <w:rPr>
          <w:color w:val="000000" w:themeColor="text1"/>
          <w:sz w:val="28"/>
          <w:szCs w:val="28"/>
          <w:lang w:val="es-CO"/>
        </w:rPr>
        <w:t xml:space="preserve">Para el efecto, en la demanda se presentaron dos cargos: el primero relativo </w:t>
      </w:r>
      <w:r w:rsidR="00AA1A6F">
        <w:rPr>
          <w:color w:val="000000" w:themeColor="text1"/>
          <w:sz w:val="28"/>
          <w:szCs w:val="28"/>
          <w:lang w:val="es-CO"/>
        </w:rPr>
        <w:t>a la violación</w:t>
      </w:r>
      <w:r w:rsidR="00E54195" w:rsidRPr="00AA1A6F">
        <w:rPr>
          <w:color w:val="000000" w:themeColor="text1"/>
          <w:sz w:val="28"/>
          <w:szCs w:val="28"/>
          <w:lang w:val="es-CO"/>
        </w:rPr>
        <w:t xml:space="preserve"> </w:t>
      </w:r>
      <w:r w:rsidR="007A4E2B">
        <w:rPr>
          <w:color w:val="000000" w:themeColor="text1"/>
          <w:sz w:val="28"/>
          <w:szCs w:val="28"/>
          <w:lang w:val="es-CO"/>
        </w:rPr>
        <w:t xml:space="preserve">del principio de presunción de </w:t>
      </w:r>
      <w:r w:rsidR="00E54195" w:rsidRPr="00AA1A6F">
        <w:rPr>
          <w:color w:val="000000" w:themeColor="text1"/>
          <w:sz w:val="28"/>
          <w:szCs w:val="28"/>
          <w:lang w:val="es-CO"/>
        </w:rPr>
        <w:t>inocencia y</w:t>
      </w:r>
      <w:r w:rsidR="00AA1A6F">
        <w:rPr>
          <w:color w:val="000000" w:themeColor="text1"/>
          <w:sz w:val="28"/>
          <w:szCs w:val="28"/>
          <w:lang w:val="es-CO"/>
        </w:rPr>
        <w:t>,</w:t>
      </w:r>
      <w:r w:rsidR="00E54195" w:rsidRPr="00AA1A6F">
        <w:rPr>
          <w:color w:val="000000" w:themeColor="text1"/>
          <w:sz w:val="28"/>
          <w:szCs w:val="28"/>
          <w:lang w:val="es-CO"/>
        </w:rPr>
        <w:t xml:space="preserve"> el segundo, </w:t>
      </w:r>
      <w:r w:rsidR="007A4E2B">
        <w:rPr>
          <w:color w:val="000000" w:themeColor="text1"/>
          <w:sz w:val="28"/>
          <w:szCs w:val="28"/>
          <w:lang w:val="es-CO"/>
        </w:rPr>
        <w:t>referente a la vulneración</w:t>
      </w:r>
      <w:r w:rsidR="00E54195" w:rsidRPr="00AA1A6F">
        <w:rPr>
          <w:color w:val="000000" w:themeColor="text1"/>
          <w:sz w:val="28"/>
          <w:szCs w:val="28"/>
          <w:lang w:val="es-CO"/>
        </w:rPr>
        <w:t xml:space="preserve"> del debido proceso y la vigencia del orden justo.</w:t>
      </w:r>
    </w:p>
    <w:p w14:paraId="3D264CF8" w14:textId="77777777" w:rsidR="00E1612D" w:rsidRPr="007A4E2B" w:rsidRDefault="00E1612D"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6D714D61" w14:textId="06C61CCC" w:rsidR="0020773F" w:rsidRPr="007A4E2B" w:rsidRDefault="0020773F"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7A4E2B">
        <w:rPr>
          <w:color w:val="000000" w:themeColor="text1"/>
          <w:sz w:val="28"/>
          <w:szCs w:val="28"/>
          <w:lang w:val="es-CO"/>
        </w:rPr>
        <w:t xml:space="preserve">El 6 de diciembre de 2023 </w:t>
      </w:r>
      <w:r w:rsidR="00DE0A1E" w:rsidRPr="007A4E2B">
        <w:rPr>
          <w:color w:val="000000" w:themeColor="text1"/>
          <w:sz w:val="28"/>
          <w:szCs w:val="28"/>
          <w:lang w:val="es-CO"/>
        </w:rPr>
        <w:t>se inadmitió la demanda</w:t>
      </w:r>
      <w:r w:rsidR="007A4E2B" w:rsidRPr="007A4E2B">
        <w:rPr>
          <w:color w:val="000000" w:themeColor="text1"/>
          <w:sz w:val="28"/>
          <w:szCs w:val="28"/>
          <w:lang w:val="es-CO"/>
        </w:rPr>
        <w:t>,</w:t>
      </w:r>
      <w:r w:rsidR="00DE0A1E" w:rsidRPr="007A4E2B">
        <w:rPr>
          <w:color w:val="000000" w:themeColor="text1"/>
          <w:sz w:val="28"/>
          <w:szCs w:val="28"/>
          <w:lang w:val="es-CO"/>
        </w:rPr>
        <w:t xml:space="preserve"> al considerar que</w:t>
      </w:r>
      <w:r w:rsidR="00B92FB6">
        <w:rPr>
          <w:color w:val="000000" w:themeColor="text1"/>
          <w:sz w:val="28"/>
          <w:szCs w:val="28"/>
          <w:lang w:val="es-CO"/>
        </w:rPr>
        <w:t xml:space="preserve"> </w:t>
      </w:r>
      <w:r w:rsidR="00B92FB6" w:rsidRPr="00B92FB6">
        <w:rPr>
          <w:color w:val="000000" w:themeColor="text1"/>
          <w:sz w:val="28"/>
          <w:szCs w:val="28"/>
          <w:lang w:val="es-CO"/>
        </w:rPr>
        <w:t>–</w:t>
      </w:r>
      <w:r w:rsidR="00B92FB6">
        <w:rPr>
          <w:color w:val="000000" w:themeColor="text1"/>
          <w:sz w:val="28"/>
          <w:szCs w:val="28"/>
          <w:lang w:val="es-CO"/>
        </w:rPr>
        <w:t>con base en lo alegado</w:t>
      </w:r>
      <w:r w:rsidR="00B92FB6" w:rsidRPr="00B92FB6">
        <w:rPr>
          <w:rFonts w:eastAsiaTheme="minorHAnsi"/>
          <w:sz w:val="28"/>
          <w:szCs w:val="28"/>
          <w:lang w:val="es-CO"/>
        </w:rPr>
        <w:t xml:space="preserve"> </w:t>
      </w:r>
      <w:r w:rsidR="00B92FB6" w:rsidRPr="00B92FB6">
        <w:rPr>
          <w:color w:val="000000" w:themeColor="text1"/>
          <w:sz w:val="28"/>
          <w:szCs w:val="28"/>
          <w:lang w:val="es-CO"/>
        </w:rPr>
        <w:t>–</w:t>
      </w:r>
      <w:r w:rsidR="00DE0A1E" w:rsidRPr="007A4E2B">
        <w:rPr>
          <w:color w:val="000000" w:themeColor="text1"/>
          <w:sz w:val="28"/>
          <w:szCs w:val="28"/>
          <w:lang w:val="es-CO"/>
        </w:rPr>
        <w:t xml:space="preserve"> se debía integrar la unidad normativa con </w:t>
      </w:r>
      <w:r w:rsidR="006623FA" w:rsidRPr="007A4E2B">
        <w:rPr>
          <w:color w:val="000000" w:themeColor="text1"/>
          <w:sz w:val="28"/>
          <w:szCs w:val="28"/>
          <w:lang w:val="es-CO"/>
        </w:rPr>
        <w:t xml:space="preserve">el artículo </w:t>
      </w:r>
      <w:r w:rsidR="00DE0A1E" w:rsidRPr="007A4E2B">
        <w:rPr>
          <w:color w:val="000000" w:themeColor="text1"/>
          <w:sz w:val="28"/>
          <w:szCs w:val="28"/>
          <w:lang w:val="es-CO"/>
        </w:rPr>
        <w:t>450 del</w:t>
      </w:r>
      <w:r w:rsidR="00A47BBA" w:rsidRPr="007A4E2B">
        <w:rPr>
          <w:color w:val="000000" w:themeColor="text1"/>
          <w:sz w:val="28"/>
          <w:szCs w:val="28"/>
          <w:lang w:val="es-CO"/>
        </w:rPr>
        <w:t xml:space="preserve"> CPP</w:t>
      </w:r>
      <w:r w:rsidR="00362988" w:rsidRPr="007A4E2B">
        <w:rPr>
          <w:color w:val="000000" w:themeColor="text1"/>
          <w:sz w:val="28"/>
          <w:szCs w:val="28"/>
          <w:lang w:val="es-CO"/>
        </w:rPr>
        <w:t xml:space="preserve"> y </w:t>
      </w:r>
      <w:r w:rsidR="00A47BBA" w:rsidRPr="007A4E2B">
        <w:rPr>
          <w:color w:val="000000" w:themeColor="text1"/>
          <w:sz w:val="28"/>
          <w:szCs w:val="28"/>
          <w:lang w:val="es-CO"/>
        </w:rPr>
        <w:t xml:space="preserve">verificar </w:t>
      </w:r>
      <w:r w:rsidR="00066E23" w:rsidRPr="007A4E2B">
        <w:rPr>
          <w:color w:val="000000" w:themeColor="text1"/>
          <w:sz w:val="28"/>
          <w:szCs w:val="28"/>
          <w:lang w:val="es-CO"/>
        </w:rPr>
        <w:t>la no</w:t>
      </w:r>
      <w:r w:rsidR="00A47BBA" w:rsidRPr="007A4E2B">
        <w:rPr>
          <w:color w:val="000000" w:themeColor="text1"/>
          <w:sz w:val="28"/>
          <w:szCs w:val="28"/>
          <w:lang w:val="es-CO"/>
        </w:rPr>
        <w:t xml:space="preserve"> configur</w:t>
      </w:r>
      <w:r w:rsidR="00066E23" w:rsidRPr="007A4E2B">
        <w:rPr>
          <w:color w:val="000000" w:themeColor="text1"/>
          <w:sz w:val="28"/>
          <w:szCs w:val="28"/>
          <w:lang w:val="es-CO"/>
        </w:rPr>
        <w:t>ación</w:t>
      </w:r>
      <w:r w:rsidR="00A47BBA" w:rsidRPr="007A4E2B">
        <w:rPr>
          <w:color w:val="000000" w:themeColor="text1"/>
          <w:sz w:val="28"/>
          <w:szCs w:val="28"/>
          <w:lang w:val="es-CO"/>
        </w:rPr>
        <w:t xml:space="preserve"> </w:t>
      </w:r>
      <w:r w:rsidR="00066E23" w:rsidRPr="007A4E2B">
        <w:rPr>
          <w:color w:val="000000" w:themeColor="text1"/>
          <w:sz w:val="28"/>
          <w:szCs w:val="28"/>
          <w:lang w:val="es-CO"/>
        </w:rPr>
        <w:t>d</w:t>
      </w:r>
      <w:r w:rsidR="00A47BBA" w:rsidRPr="007A4E2B">
        <w:rPr>
          <w:color w:val="000000" w:themeColor="text1"/>
          <w:sz w:val="28"/>
          <w:szCs w:val="28"/>
          <w:lang w:val="es-CO"/>
        </w:rPr>
        <w:t>el fenómeno de la cosa juzgada respecto de la sentencia C-342 de 2017</w:t>
      </w:r>
      <w:r w:rsidR="00DE0A1E" w:rsidRPr="007A4E2B">
        <w:rPr>
          <w:color w:val="000000" w:themeColor="text1"/>
          <w:sz w:val="28"/>
          <w:szCs w:val="28"/>
          <w:lang w:val="es-CO"/>
        </w:rPr>
        <w:t xml:space="preserve">. Además, se precisó que </w:t>
      </w:r>
      <w:r w:rsidR="007A4E2B">
        <w:rPr>
          <w:color w:val="000000" w:themeColor="text1"/>
          <w:sz w:val="28"/>
          <w:szCs w:val="28"/>
          <w:lang w:val="es-CO"/>
        </w:rPr>
        <w:t>la acusación realizada</w:t>
      </w:r>
      <w:r w:rsidR="00DE0A1E" w:rsidRPr="007A4E2B">
        <w:rPr>
          <w:color w:val="000000" w:themeColor="text1"/>
          <w:sz w:val="28"/>
          <w:szCs w:val="28"/>
          <w:lang w:val="es-CO"/>
        </w:rPr>
        <w:t xml:space="preserve"> </w:t>
      </w:r>
      <w:r w:rsidR="00362988" w:rsidRPr="007A4E2B">
        <w:rPr>
          <w:color w:val="000000" w:themeColor="text1"/>
          <w:sz w:val="28"/>
          <w:szCs w:val="28"/>
          <w:lang w:val="es-CO"/>
        </w:rPr>
        <w:t xml:space="preserve">(i) </w:t>
      </w:r>
      <w:r w:rsidR="00956BF5" w:rsidRPr="007A4E2B">
        <w:rPr>
          <w:color w:val="000000" w:themeColor="text1"/>
          <w:sz w:val="28"/>
          <w:szCs w:val="28"/>
          <w:lang w:val="es-CO"/>
        </w:rPr>
        <w:t xml:space="preserve">carecía de </w:t>
      </w:r>
      <w:r w:rsidR="00DE0A1E" w:rsidRPr="00B92FB6">
        <w:rPr>
          <w:i/>
          <w:iCs/>
          <w:color w:val="000000" w:themeColor="text1"/>
          <w:sz w:val="28"/>
          <w:szCs w:val="28"/>
          <w:lang w:val="es-CO"/>
        </w:rPr>
        <w:t>claridad</w:t>
      </w:r>
      <w:r w:rsidR="00A47BBA" w:rsidRPr="007A4E2B">
        <w:rPr>
          <w:color w:val="000000" w:themeColor="text1"/>
          <w:sz w:val="28"/>
          <w:szCs w:val="28"/>
          <w:lang w:val="es-CO"/>
        </w:rPr>
        <w:t xml:space="preserve"> sobre la inclusión o no del análisis del mencionado artículo</w:t>
      </w:r>
      <w:r w:rsidR="00D6758D" w:rsidRPr="007A4E2B">
        <w:rPr>
          <w:color w:val="000000" w:themeColor="text1"/>
          <w:sz w:val="28"/>
          <w:szCs w:val="28"/>
          <w:lang w:val="es-CO"/>
        </w:rPr>
        <w:t>;</w:t>
      </w:r>
      <w:r w:rsidR="00A47BBA" w:rsidRPr="007A4E2B">
        <w:rPr>
          <w:color w:val="000000" w:themeColor="text1"/>
          <w:sz w:val="28"/>
          <w:szCs w:val="28"/>
          <w:lang w:val="es-CO"/>
        </w:rPr>
        <w:t xml:space="preserve"> </w:t>
      </w:r>
      <w:r w:rsidR="00362988" w:rsidRPr="007A4E2B">
        <w:rPr>
          <w:color w:val="000000" w:themeColor="text1"/>
          <w:sz w:val="28"/>
          <w:szCs w:val="28"/>
          <w:lang w:val="es-CO"/>
        </w:rPr>
        <w:t>(</w:t>
      </w:r>
      <w:proofErr w:type="spellStart"/>
      <w:r w:rsidR="00362988" w:rsidRPr="007A4E2B">
        <w:rPr>
          <w:color w:val="000000" w:themeColor="text1"/>
          <w:sz w:val="28"/>
          <w:szCs w:val="28"/>
          <w:lang w:val="es-CO"/>
        </w:rPr>
        <w:t>ii</w:t>
      </w:r>
      <w:proofErr w:type="spellEnd"/>
      <w:r w:rsidR="00362988" w:rsidRPr="007A4E2B">
        <w:rPr>
          <w:color w:val="000000" w:themeColor="text1"/>
          <w:sz w:val="28"/>
          <w:szCs w:val="28"/>
          <w:lang w:val="es-CO"/>
        </w:rPr>
        <w:t xml:space="preserve">) </w:t>
      </w:r>
      <w:r w:rsidR="00B92FB6">
        <w:rPr>
          <w:color w:val="000000" w:themeColor="text1"/>
          <w:sz w:val="28"/>
          <w:szCs w:val="28"/>
          <w:lang w:val="es-CO"/>
        </w:rPr>
        <w:t xml:space="preserve">se </w:t>
      </w:r>
      <w:r w:rsidR="00A47BBA" w:rsidRPr="007A4E2B">
        <w:rPr>
          <w:color w:val="000000" w:themeColor="text1"/>
          <w:sz w:val="28"/>
          <w:szCs w:val="28"/>
          <w:lang w:val="es-CO"/>
        </w:rPr>
        <w:t xml:space="preserve">incumplió con la carga de </w:t>
      </w:r>
      <w:r w:rsidR="00A47BBA" w:rsidRPr="00B92FB6">
        <w:rPr>
          <w:i/>
          <w:iCs/>
          <w:color w:val="000000" w:themeColor="text1"/>
          <w:sz w:val="28"/>
          <w:szCs w:val="28"/>
          <w:lang w:val="es-CO"/>
        </w:rPr>
        <w:t>certeza</w:t>
      </w:r>
      <w:r w:rsidR="00D6758D" w:rsidRPr="007A4E2B">
        <w:rPr>
          <w:color w:val="000000" w:themeColor="text1"/>
          <w:sz w:val="28"/>
          <w:szCs w:val="28"/>
          <w:lang w:val="es-CO"/>
        </w:rPr>
        <w:t>,</w:t>
      </w:r>
      <w:r w:rsidR="00A47BBA" w:rsidRPr="007A4E2B">
        <w:rPr>
          <w:color w:val="000000" w:themeColor="text1"/>
          <w:sz w:val="28"/>
          <w:szCs w:val="28"/>
          <w:lang w:val="es-CO"/>
        </w:rPr>
        <w:t xml:space="preserve"> dado que </w:t>
      </w:r>
      <w:r w:rsidR="00362988" w:rsidRPr="007A4E2B">
        <w:rPr>
          <w:color w:val="000000" w:themeColor="text1"/>
          <w:sz w:val="28"/>
          <w:szCs w:val="28"/>
          <w:lang w:val="es-CO"/>
        </w:rPr>
        <w:t>los diversos pronunciamientos en los que se apoyó el primer cargo se fundan en el artículo 450 del CPP; (</w:t>
      </w:r>
      <w:proofErr w:type="spellStart"/>
      <w:r w:rsidR="00362988" w:rsidRPr="007A4E2B">
        <w:rPr>
          <w:color w:val="000000" w:themeColor="text1"/>
          <w:sz w:val="28"/>
          <w:szCs w:val="28"/>
          <w:lang w:val="es-CO"/>
        </w:rPr>
        <w:t>iii</w:t>
      </w:r>
      <w:proofErr w:type="spellEnd"/>
      <w:r w:rsidR="00362988" w:rsidRPr="007A4E2B">
        <w:rPr>
          <w:color w:val="000000" w:themeColor="text1"/>
          <w:sz w:val="28"/>
          <w:szCs w:val="28"/>
          <w:lang w:val="es-CO"/>
        </w:rPr>
        <w:t xml:space="preserve">) no </w:t>
      </w:r>
      <w:r w:rsidR="00B92FB6">
        <w:rPr>
          <w:color w:val="000000" w:themeColor="text1"/>
          <w:sz w:val="28"/>
          <w:szCs w:val="28"/>
          <w:lang w:val="es-CO"/>
        </w:rPr>
        <w:t xml:space="preserve">se </w:t>
      </w:r>
      <w:r w:rsidR="00362988" w:rsidRPr="007A4E2B">
        <w:rPr>
          <w:color w:val="000000" w:themeColor="text1"/>
          <w:sz w:val="28"/>
          <w:szCs w:val="28"/>
          <w:lang w:val="es-CO"/>
        </w:rPr>
        <w:t xml:space="preserve">logró demostrar de qué modo las interpretaciones </w:t>
      </w:r>
      <w:r w:rsidR="00B92FB6">
        <w:rPr>
          <w:color w:val="000000" w:themeColor="text1"/>
          <w:sz w:val="28"/>
          <w:szCs w:val="28"/>
          <w:lang w:val="es-CO"/>
        </w:rPr>
        <w:t xml:space="preserve">realizadas </w:t>
      </w:r>
      <w:r w:rsidR="00B92FB6" w:rsidRPr="007A4E2B">
        <w:rPr>
          <w:color w:val="000000" w:themeColor="text1"/>
          <w:sz w:val="28"/>
          <w:szCs w:val="28"/>
          <w:lang w:val="es-CO"/>
        </w:rPr>
        <w:t>result</w:t>
      </w:r>
      <w:r w:rsidR="00B92FB6">
        <w:rPr>
          <w:color w:val="000000" w:themeColor="text1"/>
          <w:sz w:val="28"/>
          <w:szCs w:val="28"/>
          <w:lang w:val="es-CO"/>
        </w:rPr>
        <w:t>ab</w:t>
      </w:r>
      <w:r w:rsidR="00B92FB6" w:rsidRPr="007A4E2B">
        <w:rPr>
          <w:color w:val="000000" w:themeColor="text1"/>
          <w:sz w:val="28"/>
          <w:szCs w:val="28"/>
          <w:lang w:val="es-CO"/>
        </w:rPr>
        <w:t>an</w:t>
      </w:r>
      <w:r w:rsidR="00362988" w:rsidRPr="007A4E2B">
        <w:rPr>
          <w:color w:val="000000" w:themeColor="text1"/>
          <w:sz w:val="28"/>
          <w:szCs w:val="28"/>
          <w:lang w:val="es-CO"/>
        </w:rPr>
        <w:t xml:space="preserve"> incompatibles con la Constitución, razón por la cual tampoco se acreditó la carga de </w:t>
      </w:r>
      <w:r w:rsidR="00362988" w:rsidRPr="00B92FB6">
        <w:rPr>
          <w:i/>
          <w:iCs/>
          <w:color w:val="000000" w:themeColor="text1"/>
          <w:sz w:val="28"/>
          <w:szCs w:val="28"/>
          <w:lang w:val="es-CO"/>
        </w:rPr>
        <w:t>especificidad</w:t>
      </w:r>
      <w:r w:rsidR="00362988" w:rsidRPr="007A4E2B">
        <w:rPr>
          <w:color w:val="000000" w:themeColor="text1"/>
          <w:sz w:val="28"/>
          <w:szCs w:val="28"/>
          <w:lang w:val="es-CO"/>
        </w:rPr>
        <w:t xml:space="preserve"> y</w:t>
      </w:r>
      <w:r w:rsidR="00D6758D" w:rsidRPr="007A4E2B">
        <w:rPr>
          <w:color w:val="000000" w:themeColor="text1"/>
          <w:sz w:val="28"/>
          <w:szCs w:val="28"/>
          <w:lang w:val="es-CO"/>
        </w:rPr>
        <w:t>,</w:t>
      </w:r>
      <w:r w:rsidR="00362988" w:rsidRPr="007A4E2B">
        <w:rPr>
          <w:color w:val="000000" w:themeColor="text1"/>
          <w:sz w:val="28"/>
          <w:szCs w:val="28"/>
          <w:lang w:val="es-CO"/>
        </w:rPr>
        <w:t xml:space="preserve"> en general, (</w:t>
      </w:r>
      <w:proofErr w:type="spellStart"/>
      <w:r w:rsidR="00362988" w:rsidRPr="007A4E2B">
        <w:rPr>
          <w:color w:val="000000" w:themeColor="text1"/>
          <w:sz w:val="28"/>
          <w:szCs w:val="28"/>
          <w:lang w:val="es-CO"/>
        </w:rPr>
        <w:t>iv</w:t>
      </w:r>
      <w:proofErr w:type="spellEnd"/>
      <w:r w:rsidR="00362988" w:rsidRPr="007A4E2B">
        <w:rPr>
          <w:color w:val="000000" w:themeColor="text1"/>
          <w:sz w:val="28"/>
          <w:szCs w:val="28"/>
          <w:lang w:val="es-CO"/>
        </w:rPr>
        <w:t xml:space="preserve">) no </w:t>
      </w:r>
      <w:r w:rsidR="00B92FB6">
        <w:rPr>
          <w:color w:val="000000" w:themeColor="text1"/>
          <w:sz w:val="28"/>
          <w:szCs w:val="28"/>
          <w:lang w:val="es-CO"/>
        </w:rPr>
        <w:t xml:space="preserve">se </w:t>
      </w:r>
      <w:r w:rsidR="00362988" w:rsidRPr="007A4E2B">
        <w:rPr>
          <w:color w:val="000000" w:themeColor="text1"/>
          <w:sz w:val="28"/>
          <w:szCs w:val="28"/>
          <w:lang w:val="es-CO"/>
        </w:rPr>
        <w:t xml:space="preserve">brindó </w:t>
      </w:r>
      <w:r w:rsidR="00B92FB6">
        <w:rPr>
          <w:color w:val="000000" w:themeColor="text1"/>
          <w:sz w:val="28"/>
          <w:szCs w:val="28"/>
          <w:lang w:val="es-CO"/>
        </w:rPr>
        <w:t>motivos</w:t>
      </w:r>
      <w:r w:rsidR="00B92FB6" w:rsidRPr="007A4E2B">
        <w:rPr>
          <w:color w:val="000000" w:themeColor="text1"/>
          <w:sz w:val="28"/>
          <w:szCs w:val="28"/>
          <w:lang w:val="es-CO"/>
        </w:rPr>
        <w:t xml:space="preserve"> </w:t>
      </w:r>
      <w:r w:rsidR="00362988" w:rsidRPr="007A4E2B">
        <w:rPr>
          <w:color w:val="000000" w:themeColor="text1"/>
          <w:sz w:val="28"/>
          <w:szCs w:val="28"/>
          <w:lang w:val="es-CO"/>
        </w:rPr>
        <w:t xml:space="preserve">para adelantar el juicio de constitucionalidad, por lo que también se incumplió con la carga de </w:t>
      </w:r>
      <w:r w:rsidR="00F710ED" w:rsidRPr="00B92FB6">
        <w:rPr>
          <w:i/>
          <w:iCs/>
          <w:color w:val="000000" w:themeColor="text1"/>
          <w:sz w:val="28"/>
          <w:szCs w:val="28"/>
          <w:lang w:val="es-CO"/>
        </w:rPr>
        <w:t>suficiencia</w:t>
      </w:r>
      <w:r w:rsidR="00F710ED" w:rsidRPr="007A4E2B">
        <w:rPr>
          <w:color w:val="000000" w:themeColor="text1"/>
          <w:sz w:val="28"/>
          <w:szCs w:val="28"/>
          <w:lang w:val="es-CO"/>
        </w:rPr>
        <w:t>.</w:t>
      </w:r>
    </w:p>
    <w:p w14:paraId="2EB27388" w14:textId="77777777" w:rsidR="0020773F" w:rsidRPr="00B92FB6" w:rsidRDefault="0020773F" w:rsidP="00E067C2">
      <w:pPr>
        <w:pStyle w:val="Prrafodelista"/>
        <w:jc w:val="both"/>
        <w:rPr>
          <w:color w:val="000000" w:themeColor="text1"/>
          <w:sz w:val="28"/>
          <w:szCs w:val="28"/>
          <w:lang w:val="es-CO"/>
        </w:rPr>
      </w:pPr>
    </w:p>
    <w:p w14:paraId="2DC68B3D" w14:textId="5C5AC394" w:rsidR="00F710ED" w:rsidRPr="00B92FB6" w:rsidRDefault="00F710ED"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92FB6">
        <w:rPr>
          <w:color w:val="000000" w:themeColor="text1"/>
          <w:sz w:val="28"/>
          <w:szCs w:val="28"/>
          <w:lang w:val="es-CO"/>
        </w:rPr>
        <w:t xml:space="preserve">El 14 de diciembre de 2023, el ciudadano presentó escrito de corrección de la demanda. Sin embargo, </w:t>
      </w:r>
      <w:r w:rsidR="00B92FB6">
        <w:rPr>
          <w:color w:val="000000" w:themeColor="text1"/>
          <w:sz w:val="28"/>
          <w:szCs w:val="28"/>
          <w:lang w:val="es-CO"/>
        </w:rPr>
        <w:t xml:space="preserve">en </w:t>
      </w:r>
      <w:r w:rsidRPr="00B92FB6">
        <w:rPr>
          <w:color w:val="000000" w:themeColor="text1"/>
          <w:sz w:val="28"/>
          <w:szCs w:val="28"/>
          <w:lang w:val="es-CO"/>
        </w:rPr>
        <w:t xml:space="preserve">auto del </w:t>
      </w:r>
      <w:r w:rsidR="00066E23" w:rsidRPr="00B92FB6">
        <w:rPr>
          <w:color w:val="000000" w:themeColor="text1"/>
          <w:sz w:val="28"/>
          <w:szCs w:val="28"/>
          <w:lang w:val="es-CO"/>
        </w:rPr>
        <w:t>19 de diciembre de 2023</w:t>
      </w:r>
      <w:r w:rsidR="00B92FB6">
        <w:rPr>
          <w:color w:val="000000" w:themeColor="text1"/>
          <w:sz w:val="28"/>
          <w:szCs w:val="28"/>
          <w:lang w:val="es-CO"/>
        </w:rPr>
        <w:t>,</w:t>
      </w:r>
      <w:r w:rsidR="00066E23" w:rsidRPr="00B92FB6">
        <w:rPr>
          <w:color w:val="000000" w:themeColor="text1"/>
          <w:sz w:val="28"/>
          <w:szCs w:val="28"/>
          <w:lang w:val="es-CO"/>
        </w:rPr>
        <w:t xml:space="preserve"> se rechazó la </w:t>
      </w:r>
      <w:r w:rsidR="00B92FB6">
        <w:rPr>
          <w:color w:val="000000" w:themeColor="text1"/>
          <w:sz w:val="28"/>
          <w:szCs w:val="28"/>
          <w:lang w:val="es-CO"/>
        </w:rPr>
        <w:t>acusación,</w:t>
      </w:r>
      <w:r w:rsidR="00066E23" w:rsidRPr="00B92FB6">
        <w:rPr>
          <w:color w:val="000000" w:themeColor="text1"/>
          <w:sz w:val="28"/>
          <w:szCs w:val="28"/>
          <w:lang w:val="es-CO"/>
        </w:rPr>
        <w:t xml:space="preserve"> al estimarse que el </w:t>
      </w:r>
      <w:r w:rsidR="006623FA" w:rsidRPr="00B92FB6">
        <w:rPr>
          <w:color w:val="000000" w:themeColor="text1"/>
          <w:sz w:val="28"/>
          <w:szCs w:val="28"/>
          <w:lang w:val="es-CO"/>
        </w:rPr>
        <w:t>ciudadano</w:t>
      </w:r>
      <w:r w:rsidR="00066E23" w:rsidRPr="00B92FB6">
        <w:rPr>
          <w:color w:val="000000" w:themeColor="text1"/>
          <w:sz w:val="28"/>
          <w:szCs w:val="28"/>
          <w:lang w:val="es-CO"/>
        </w:rPr>
        <w:t xml:space="preserve"> mantuvo las mismas normas demandadas</w:t>
      </w:r>
      <w:r w:rsidR="006623FA" w:rsidRPr="00B92FB6">
        <w:rPr>
          <w:color w:val="000000" w:themeColor="text1"/>
          <w:sz w:val="28"/>
          <w:szCs w:val="28"/>
          <w:lang w:val="es-CO"/>
        </w:rPr>
        <w:t>. Si bien</w:t>
      </w:r>
      <w:r w:rsidR="009C4123" w:rsidRPr="00B92FB6">
        <w:rPr>
          <w:color w:val="000000" w:themeColor="text1"/>
          <w:sz w:val="28"/>
          <w:szCs w:val="28"/>
          <w:lang w:val="es-CO"/>
        </w:rPr>
        <w:t xml:space="preserve"> en el escrito de corrección se abordó lo atinente a la ausencia de cosa juzgada y se aludió al argumento de</w:t>
      </w:r>
      <w:r w:rsidR="0043121B" w:rsidRPr="00B92FB6">
        <w:rPr>
          <w:color w:val="000000" w:themeColor="text1"/>
          <w:sz w:val="28"/>
          <w:szCs w:val="28"/>
          <w:lang w:val="es-CO"/>
        </w:rPr>
        <w:t>l derecho</w:t>
      </w:r>
      <w:r w:rsidR="009C4123" w:rsidRPr="00B92FB6">
        <w:rPr>
          <w:color w:val="000000" w:themeColor="text1"/>
          <w:sz w:val="28"/>
          <w:szCs w:val="28"/>
          <w:lang w:val="es-CO"/>
        </w:rPr>
        <w:t xml:space="preserve"> viviente, el despacho </w:t>
      </w:r>
      <w:r w:rsidR="00384114" w:rsidRPr="00B92FB6">
        <w:rPr>
          <w:color w:val="000000" w:themeColor="text1"/>
          <w:sz w:val="28"/>
          <w:szCs w:val="28"/>
          <w:lang w:val="es-CO"/>
        </w:rPr>
        <w:t>sustanciador</w:t>
      </w:r>
      <w:r w:rsidR="009C4123" w:rsidRPr="00B92FB6">
        <w:rPr>
          <w:color w:val="000000" w:themeColor="text1"/>
          <w:sz w:val="28"/>
          <w:szCs w:val="28"/>
          <w:lang w:val="es-CO"/>
        </w:rPr>
        <w:t xml:space="preserve"> consideró que esos planteamientos no bastaban para corregir las falencias señaladas en el auto </w:t>
      </w:r>
      <w:proofErr w:type="spellStart"/>
      <w:r w:rsidR="009C4123" w:rsidRPr="00B92FB6">
        <w:rPr>
          <w:color w:val="000000" w:themeColor="text1"/>
          <w:sz w:val="28"/>
          <w:szCs w:val="28"/>
          <w:lang w:val="es-CO"/>
        </w:rPr>
        <w:t>inadmisorio</w:t>
      </w:r>
      <w:proofErr w:type="spellEnd"/>
      <w:r w:rsidR="00D6758D" w:rsidRPr="00B92FB6">
        <w:rPr>
          <w:color w:val="000000" w:themeColor="text1"/>
          <w:sz w:val="28"/>
          <w:szCs w:val="28"/>
          <w:lang w:val="es-CO"/>
        </w:rPr>
        <w:t>,</w:t>
      </w:r>
      <w:r w:rsidR="009C4123" w:rsidRPr="00B92FB6">
        <w:rPr>
          <w:color w:val="000000" w:themeColor="text1"/>
          <w:sz w:val="28"/>
          <w:szCs w:val="28"/>
          <w:lang w:val="es-CO"/>
        </w:rPr>
        <w:t xml:space="preserve"> pues no se incorporó la disposición normativa expresamente señalada como necesaria para atender el requerimiento de forma.</w:t>
      </w:r>
    </w:p>
    <w:p w14:paraId="34D86D6A" w14:textId="77777777" w:rsidR="00F710ED" w:rsidRPr="00B92FB6" w:rsidRDefault="00F710ED" w:rsidP="00E067C2">
      <w:pPr>
        <w:pStyle w:val="Prrafodelista"/>
        <w:rPr>
          <w:color w:val="000000" w:themeColor="text1"/>
          <w:sz w:val="28"/>
          <w:szCs w:val="28"/>
          <w:lang w:val="es-CO"/>
        </w:rPr>
      </w:pPr>
    </w:p>
    <w:p w14:paraId="17DC170D" w14:textId="011360EE" w:rsidR="009C4123" w:rsidRPr="00B92FB6" w:rsidRDefault="009C4123"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92FB6">
        <w:rPr>
          <w:color w:val="000000" w:themeColor="text1"/>
          <w:sz w:val="28"/>
          <w:szCs w:val="28"/>
          <w:lang w:val="es-CO"/>
        </w:rPr>
        <w:t xml:space="preserve">El 17 de enero de 2024, el demandante presentó recurso de súplica en contra de la anterior decisión, el cual fue resuelto por la Sala Plena </w:t>
      </w:r>
      <w:r w:rsidR="004F6284" w:rsidRPr="00B92FB6">
        <w:rPr>
          <w:color w:val="000000" w:themeColor="text1"/>
          <w:sz w:val="28"/>
          <w:szCs w:val="28"/>
          <w:lang w:val="es-CO"/>
        </w:rPr>
        <w:t>mediante auto 260 d</w:t>
      </w:r>
      <w:r w:rsidRPr="00B92FB6">
        <w:rPr>
          <w:color w:val="000000" w:themeColor="text1"/>
          <w:sz w:val="28"/>
          <w:szCs w:val="28"/>
          <w:lang w:val="es-CO"/>
        </w:rPr>
        <w:t>el 14 de febrero de ese año</w:t>
      </w:r>
      <w:r w:rsidR="00D6758D" w:rsidRPr="00B92FB6">
        <w:rPr>
          <w:color w:val="000000" w:themeColor="text1"/>
          <w:sz w:val="28"/>
          <w:szCs w:val="28"/>
          <w:lang w:val="es-CO"/>
        </w:rPr>
        <w:t>,</w:t>
      </w:r>
      <w:r w:rsidRPr="00B92FB6">
        <w:rPr>
          <w:color w:val="000000" w:themeColor="text1"/>
          <w:sz w:val="28"/>
          <w:szCs w:val="28"/>
          <w:lang w:val="es-CO"/>
        </w:rPr>
        <w:t xml:space="preserve"> en el sentido de </w:t>
      </w:r>
      <w:r w:rsidR="0043121B" w:rsidRPr="00B92FB6">
        <w:rPr>
          <w:color w:val="000000" w:themeColor="text1"/>
          <w:sz w:val="28"/>
          <w:szCs w:val="28"/>
          <w:lang w:val="es-CO"/>
        </w:rPr>
        <w:t>revocar el auto que rechazó la demanda</w:t>
      </w:r>
      <w:r w:rsidR="00D6758D" w:rsidRPr="00B92FB6">
        <w:rPr>
          <w:color w:val="000000" w:themeColor="text1"/>
          <w:sz w:val="28"/>
          <w:szCs w:val="28"/>
          <w:lang w:val="es-CO"/>
        </w:rPr>
        <w:t>.</w:t>
      </w:r>
      <w:r w:rsidR="0043121B" w:rsidRPr="00B92FB6">
        <w:rPr>
          <w:color w:val="000000" w:themeColor="text1"/>
          <w:sz w:val="28"/>
          <w:szCs w:val="28"/>
          <w:lang w:val="es-CO"/>
        </w:rPr>
        <w:t xml:space="preserve"> </w:t>
      </w:r>
      <w:r w:rsidR="00D6758D" w:rsidRPr="00B92FB6">
        <w:rPr>
          <w:color w:val="000000" w:themeColor="text1"/>
          <w:sz w:val="28"/>
          <w:szCs w:val="28"/>
          <w:lang w:val="es-CO"/>
        </w:rPr>
        <w:t>E</w:t>
      </w:r>
      <w:r w:rsidR="0043121B" w:rsidRPr="00B92FB6">
        <w:rPr>
          <w:color w:val="000000" w:themeColor="text1"/>
          <w:sz w:val="28"/>
          <w:szCs w:val="28"/>
          <w:lang w:val="es-CO"/>
        </w:rPr>
        <w:t>n su lugar, remitió el expediente al magistrado sustanciador para que continuara con el trámite de admisibilidad</w:t>
      </w:r>
      <w:r w:rsidR="00D6758D" w:rsidRPr="00B92FB6">
        <w:rPr>
          <w:color w:val="000000" w:themeColor="text1"/>
          <w:sz w:val="28"/>
          <w:szCs w:val="28"/>
          <w:lang w:val="es-CO"/>
        </w:rPr>
        <w:t>,</w:t>
      </w:r>
      <w:r w:rsidR="0043121B" w:rsidRPr="00B92FB6">
        <w:rPr>
          <w:color w:val="000000" w:themeColor="text1"/>
          <w:sz w:val="28"/>
          <w:szCs w:val="28"/>
          <w:lang w:val="es-CO"/>
        </w:rPr>
        <w:t xml:space="preserve"> al considerar que el auto de rechazo exigió indebidamente al demandante ampliar el objeto de</w:t>
      </w:r>
      <w:r w:rsidR="00B92FB6">
        <w:rPr>
          <w:color w:val="000000" w:themeColor="text1"/>
          <w:sz w:val="28"/>
          <w:szCs w:val="28"/>
          <w:lang w:val="es-CO"/>
        </w:rPr>
        <w:t xml:space="preserve"> </w:t>
      </w:r>
      <w:r w:rsidR="0043121B" w:rsidRPr="00B92FB6">
        <w:rPr>
          <w:color w:val="000000" w:themeColor="text1"/>
          <w:sz w:val="28"/>
          <w:szCs w:val="28"/>
          <w:lang w:val="es-CO"/>
        </w:rPr>
        <w:t>censura y</w:t>
      </w:r>
      <w:r w:rsidR="00D6758D" w:rsidRPr="00B92FB6">
        <w:rPr>
          <w:color w:val="000000" w:themeColor="text1"/>
          <w:sz w:val="28"/>
          <w:szCs w:val="28"/>
          <w:lang w:val="es-CO"/>
        </w:rPr>
        <w:t>,</w:t>
      </w:r>
      <w:r w:rsidR="0043121B" w:rsidRPr="00B92FB6">
        <w:rPr>
          <w:color w:val="000000" w:themeColor="text1"/>
          <w:sz w:val="28"/>
          <w:szCs w:val="28"/>
          <w:lang w:val="es-CO"/>
        </w:rPr>
        <w:t xml:space="preserve"> por </w:t>
      </w:r>
      <w:r w:rsidR="00B92FB6">
        <w:rPr>
          <w:color w:val="000000" w:themeColor="text1"/>
          <w:sz w:val="28"/>
          <w:szCs w:val="28"/>
          <w:lang w:val="es-CO"/>
        </w:rPr>
        <w:t xml:space="preserve">lo </w:t>
      </w:r>
      <w:r w:rsidR="0043121B" w:rsidRPr="00B92FB6">
        <w:rPr>
          <w:color w:val="000000" w:themeColor="text1"/>
          <w:sz w:val="28"/>
          <w:szCs w:val="28"/>
          <w:lang w:val="es-CO"/>
        </w:rPr>
        <w:t>tanto, lo obligó a valorar la cosa juzgada de una disposición que no se encontraba demandada. Sin embargo, en dicha providencia</w:t>
      </w:r>
      <w:r w:rsidR="00D6758D" w:rsidRPr="00B92FB6">
        <w:rPr>
          <w:color w:val="000000" w:themeColor="text1"/>
          <w:sz w:val="28"/>
          <w:szCs w:val="28"/>
          <w:lang w:val="es-CO"/>
        </w:rPr>
        <w:t>,</w:t>
      </w:r>
      <w:r w:rsidR="0043121B" w:rsidRPr="00B92FB6">
        <w:rPr>
          <w:color w:val="000000" w:themeColor="text1"/>
          <w:sz w:val="28"/>
          <w:szCs w:val="28"/>
          <w:lang w:val="es-CO"/>
        </w:rPr>
        <w:t xml:space="preserve"> </w:t>
      </w:r>
      <w:r w:rsidR="00384114" w:rsidRPr="00B92FB6">
        <w:rPr>
          <w:color w:val="000000" w:themeColor="text1"/>
          <w:sz w:val="28"/>
          <w:szCs w:val="28"/>
          <w:lang w:val="es-CO"/>
        </w:rPr>
        <w:t xml:space="preserve">la Sala Plena </w:t>
      </w:r>
      <w:r w:rsidR="0043121B" w:rsidRPr="00B92FB6">
        <w:rPr>
          <w:color w:val="000000" w:themeColor="text1"/>
          <w:sz w:val="28"/>
          <w:szCs w:val="28"/>
          <w:lang w:val="es-CO"/>
        </w:rPr>
        <w:t xml:space="preserve">aclaró que </w:t>
      </w:r>
      <w:r w:rsidR="00384114" w:rsidRPr="00B92FB6">
        <w:rPr>
          <w:color w:val="000000" w:themeColor="text1"/>
          <w:sz w:val="28"/>
          <w:szCs w:val="28"/>
          <w:lang w:val="es-CO"/>
        </w:rPr>
        <w:t>esa decisión no implicaba que los argumentos expuestos por el demandante cumplieran con la carga argumentativa suficiente para admitir la demanda.</w:t>
      </w:r>
    </w:p>
    <w:p w14:paraId="716D1248" w14:textId="77777777" w:rsidR="009C4123" w:rsidRPr="00B92FB6" w:rsidRDefault="009C4123" w:rsidP="00E067C2">
      <w:pPr>
        <w:pStyle w:val="Prrafodelista"/>
        <w:rPr>
          <w:color w:val="000000" w:themeColor="text1"/>
          <w:sz w:val="28"/>
          <w:szCs w:val="28"/>
          <w:lang w:val="es-CO"/>
        </w:rPr>
      </w:pPr>
    </w:p>
    <w:p w14:paraId="626C7481" w14:textId="465D830D" w:rsidR="008D62CF" w:rsidRPr="00B92FB6" w:rsidRDefault="0038411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92FB6">
        <w:rPr>
          <w:color w:val="000000" w:themeColor="text1"/>
          <w:sz w:val="28"/>
          <w:szCs w:val="28"/>
          <w:lang w:val="es-CO"/>
        </w:rPr>
        <w:t xml:space="preserve">El 23 de abril de 2024, </w:t>
      </w:r>
      <w:r w:rsidR="004F6284" w:rsidRPr="00B92FB6">
        <w:rPr>
          <w:color w:val="000000" w:themeColor="text1"/>
          <w:sz w:val="28"/>
          <w:szCs w:val="28"/>
          <w:lang w:val="es-CO"/>
        </w:rPr>
        <w:t xml:space="preserve">el magistrado sustanciador decidió dar cumplimiento a lo dispuesto en el auto 260 de 2024 y admitió </w:t>
      </w:r>
      <w:r w:rsidR="00B92FB6">
        <w:rPr>
          <w:color w:val="000000" w:themeColor="text1"/>
          <w:sz w:val="28"/>
          <w:szCs w:val="28"/>
          <w:lang w:val="es-CO"/>
        </w:rPr>
        <w:t xml:space="preserve">los </w:t>
      </w:r>
      <w:r w:rsidR="004F6284" w:rsidRPr="00B92FB6">
        <w:rPr>
          <w:color w:val="000000" w:themeColor="text1"/>
          <w:sz w:val="28"/>
          <w:szCs w:val="28"/>
          <w:lang w:val="es-CO"/>
        </w:rPr>
        <w:t xml:space="preserve">dos cargos </w:t>
      </w:r>
      <w:r w:rsidR="00B92FB6">
        <w:rPr>
          <w:color w:val="000000" w:themeColor="text1"/>
          <w:sz w:val="28"/>
          <w:szCs w:val="28"/>
          <w:lang w:val="es-CO"/>
        </w:rPr>
        <w:t>formulados</w:t>
      </w:r>
      <w:r w:rsidR="00D27034" w:rsidRPr="00B92FB6">
        <w:rPr>
          <w:color w:val="000000" w:themeColor="text1"/>
          <w:sz w:val="28"/>
          <w:szCs w:val="28"/>
          <w:lang w:val="es-CO"/>
        </w:rPr>
        <w:t xml:space="preserve">. En </w:t>
      </w:r>
      <w:r w:rsidR="002325A9" w:rsidRPr="00B92FB6">
        <w:rPr>
          <w:color w:val="000000" w:themeColor="text1"/>
          <w:sz w:val="28"/>
          <w:szCs w:val="28"/>
          <w:lang w:val="es-CO"/>
        </w:rPr>
        <w:t>esta providencia</w:t>
      </w:r>
      <w:r w:rsidR="00D27034" w:rsidRPr="00B92FB6">
        <w:rPr>
          <w:color w:val="000000" w:themeColor="text1"/>
          <w:sz w:val="28"/>
          <w:szCs w:val="28"/>
          <w:lang w:val="es-CO"/>
        </w:rPr>
        <w:t xml:space="preserve">, el magistrado sustanciador ordenó (i) comunicar la admisión de la demanda </w:t>
      </w:r>
      <w:r w:rsidR="004F6284" w:rsidRPr="00B92FB6">
        <w:rPr>
          <w:color w:val="000000" w:themeColor="text1"/>
          <w:sz w:val="28"/>
          <w:szCs w:val="28"/>
          <w:lang w:val="es-CO"/>
        </w:rPr>
        <w:t xml:space="preserve">al presidente de la República, al </w:t>
      </w:r>
      <w:proofErr w:type="gramStart"/>
      <w:r w:rsidR="004F6284" w:rsidRPr="00B92FB6">
        <w:rPr>
          <w:color w:val="000000" w:themeColor="text1"/>
          <w:sz w:val="28"/>
          <w:szCs w:val="28"/>
          <w:lang w:val="es-CO"/>
        </w:rPr>
        <w:t>Ministro</w:t>
      </w:r>
      <w:proofErr w:type="gramEnd"/>
      <w:r w:rsidR="004F6284" w:rsidRPr="00B92FB6">
        <w:rPr>
          <w:color w:val="000000" w:themeColor="text1"/>
          <w:sz w:val="28"/>
          <w:szCs w:val="28"/>
          <w:lang w:val="es-CO"/>
        </w:rPr>
        <w:t xml:space="preserve"> de Justicia y del Derecho, al </w:t>
      </w:r>
      <w:proofErr w:type="gramStart"/>
      <w:r w:rsidR="004F6284" w:rsidRPr="00B92FB6">
        <w:rPr>
          <w:color w:val="000000" w:themeColor="text1"/>
          <w:sz w:val="28"/>
          <w:szCs w:val="28"/>
          <w:lang w:val="es-CO"/>
        </w:rPr>
        <w:lastRenderedPageBreak/>
        <w:t>Ministro</w:t>
      </w:r>
      <w:proofErr w:type="gramEnd"/>
      <w:r w:rsidR="004F6284" w:rsidRPr="00B92FB6">
        <w:rPr>
          <w:color w:val="000000" w:themeColor="text1"/>
          <w:sz w:val="28"/>
          <w:szCs w:val="28"/>
          <w:lang w:val="es-CO"/>
        </w:rPr>
        <w:t xml:space="preserve"> del Interior y a los presidentes del Senado de la República y de la Cámara de Representantes</w:t>
      </w:r>
      <w:r w:rsidR="00D27034" w:rsidRPr="00B92FB6">
        <w:rPr>
          <w:color w:val="000000" w:themeColor="text1"/>
          <w:sz w:val="28"/>
          <w:szCs w:val="28"/>
          <w:lang w:val="es-CO"/>
        </w:rPr>
        <w:t xml:space="preserve">, para que, si lo consideraban </w:t>
      </w:r>
      <w:r w:rsidR="002B6786" w:rsidRPr="00B92FB6">
        <w:rPr>
          <w:color w:val="000000" w:themeColor="text1"/>
          <w:sz w:val="28"/>
          <w:szCs w:val="28"/>
          <w:lang w:val="es-CO"/>
        </w:rPr>
        <w:t>pertinente</w:t>
      </w:r>
      <w:r w:rsidR="00D27034" w:rsidRPr="00B92FB6">
        <w:rPr>
          <w:color w:val="000000" w:themeColor="text1"/>
          <w:sz w:val="28"/>
          <w:szCs w:val="28"/>
          <w:lang w:val="es-CO"/>
        </w:rPr>
        <w:t>, presentaran las razones que justifica</w:t>
      </w:r>
      <w:r w:rsidR="007D4A91" w:rsidRPr="00B92FB6">
        <w:rPr>
          <w:color w:val="000000" w:themeColor="text1"/>
          <w:sz w:val="28"/>
          <w:szCs w:val="28"/>
          <w:lang w:val="es-CO"/>
        </w:rPr>
        <w:t>ra</w:t>
      </w:r>
      <w:r w:rsidR="00D27034" w:rsidRPr="00B92FB6">
        <w:rPr>
          <w:color w:val="000000" w:themeColor="text1"/>
          <w:sz w:val="28"/>
          <w:szCs w:val="28"/>
          <w:lang w:val="es-CO"/>
        </w:rPr>
        <w:t xml:space="preserve">n la constitucionalidad de la </w:t>
      </w:r>
      <w:r w:rsidR="002B6786" w:rsidRPr="00B92FB6">
        <w:rPr>
          <w:color w:val="000000" w:themeColor="text1"/>
          <w:sz w:val="28"/>
          <w:szCs w:val="28"/>
          <w:lang w:val="es-CO"/>
        </w:rPr>
        <w:t xml:space="preserve">norma </w:t>
      </w:r>
      <w:r w:rsidR="00D27034" w:rsidRPr="00B92FB6">
        <w:rPr>
          <w:color w:val="000000" w:themeColor="text1"/>
          <w:sz w:val="28"/>
          <w:szCs w:val="28"/>
          <w:lang w:val="es-CO"/>
        </w:rPr>
        <w:t>sometida a control</w:t>
      </w:r>
      <w:r w:rsidR="00B92FB6">
        <w:rPr>
          <w:color w:val="000000" w:themeColor="text1"/>
          <w:sz w:val="28"/>
          <w:szCs w:val="28"/>
          <w:lang w:val="es-CO"/>
        </w:rPr>
        <w:t xml:space="preserve">. A su vez, </w:t>
      </w:r>
      <w:r w:rsidR="00D27034" w:rsidRPr="00B92FB6">
        <w:rPr>
          <w:color w:val="000000" w:themeColor="text1"/>
          <w:sz w:val="28"/>
          <w:szCs w:val="28"/>
          <w:lang w:val="es-CO"/>
        </w:rPr>
        <w:t>(</w:t>
      </w:r>
      <w:proofErr w:type="spellStart"/>
      <w:r w:rsidR="00D27034" w:rsidRPr="00B92FB6">
        <w:rPr>
          <w:color w:val="000000" w:themeColor="text1"/>
          <w:sz w:val="28"/>
          <w:szCs w:val="28"/>
          <w:lang w:val="es-CO"/>
        </w:rPr>
        <w:t>ii</w:t>
      </w:r>
      <w:proofErr w:type="spellEnd"/>
      <w:r w:rsidR="00D27034" w:rsidRPr="00B92FB6">
        <w:rPr>
          <w:color w:val="000000" w:themeColor="text1"/>
          <w:sz w:val="28"/>
          <w:szCs w:val="28"/>
          <w:lang w:val="es-CO"/>
        </w:rPr>
        <w:t xml:space="preserve">) </w:t>
      </w:r>
      <w:r w:rsidR="00B92FB6">
        <w:rPr>
          <w:color w:val="000000" w:themeColor="text1"/>
          <w:sz w:val="28"/>
          <w:szCs w:val="28"/>
          <w:lang w:val="es-CO"/>
        </w:rPr>
        <w:t>dispuso</w:t>
      </w:r>
      <w:r w:rsidR="00D27034" w:rsidRPr="00B92FB6">
        <w:rPr>
          <w:color w:val="000000" w:themeColor="text1"/>
          <w:sz w:val="28"/>
          <w:szCs w:val="28"/>
          <w:lang w:val="es-CO"/>
        </w:rPr>
        <w:t xml:space="preserve"> la fijación en lista por el término de diez</w:t>
      </w:r>
      <w:r w:rsidR="00C506E7">
        <w:rPr>
          <w:color w:val="000000" w:themeColor="text1"/>
          <w:sz w:val="28"/>
          <w:szCs w:val="28"/>
          <w:lang w:val="es-CO"/>
        </w:rPr>
        <w:t xml:space="preserve"> (10)</w:t>
      </w:r>
      <w:r w:rsidR="00D27034" w:rsidRPr="00B92FB6">
        <w:rPr>
          <w:color w:val="000000" w:themeColor="text1"/>
          <w:sz w:val="28"/>
          <w:szCs w:val="28"/>
          <w:lang w:val="es-CO"/>
        </w:rPr>
        <w:t xml:space="preserve"> días; (</w:t>
      </w:r>
      <w:proofErr w:type="spellStart"/>
      <w:r w:rsidR="00D27034" w:rsidRPr="00B92FB6">
        <w:rPr>
          <w:color w:val="000000" w:themeColor="text1"/>
          <w:sz w:val="28"/>
          <w:szCs w:val="28"/>
          <w:lang w:val="es-CO"/>
        </w:rPr>
        <w:t>iii</w:t>
      </w:r>
      <w:proofErr w:type="spellEnd"/>
      <w:r w:rsidR="00D27034" w:rsidRPr="00B92FB6">
        <w:rPr>
          <w:color w:val="000000" w:themeColor="text1"/>
          <w:sz w:val="28"/>
          <w:szCs w:val="28"/>
          <w:lang w:val="es-CO"/>
        </w:rPr>
        <w:t xml:space="preserve">) </w:t>
      </w:r>
      <w:r w:rsidR="00B92FB6">
        <w:rPr>
          <w:color w:val="000000" w:themeColor="text1"/>
          <w:sz w:val="28"/>
          <w:szCs w:val="28"/>
          <w:lang w:val="es-CO"/>
        </w:rPr>
        <w:t>dio</w:t>
      </w:r>
      <w:r w:rsidR="00D27034" w:rsidRPr="00B92FB6">
        <w:rPr>
          <w:color w:val="000000" w:themeColor="text1"/>
          <w:sz w:val="28"/>
          <w:szCs w:val="28"/>
          <w:lang w:val="es-CO"/>
        </w:rPr>
        <w:t xml:space="preserve"> traslado a</w:t>
      </w:r>
      <w:r w:rsidR="009D2DBA" w:rsidRPr="00B92FB6">
        <w:rPr>
          <w:color w:val="000000" w:themeColor="text1"/>
          <w:sz w:val="28"/>
          <w:szCs w:val="28"/>
          <w:lang w:val="es-CO"/>
        </w:rPr>
        <w:t xml:space="preserve"> </w:t>
      </w:r>
      <w:r w:rsidR="00D6758D" w:rsidRPr="00B92FB6">
        <w:rPr>
          <w:color w:val="000000" w:themeColor="text1"/>
          <w:sz w:val="28"/>
          <w:szCs w:val="28"/>
          <w:lang w:val="es-CO"/>
        </w:rPr>
        <w:t>l</w:t>
      </w:r>
      <w:r w:rsidR="009D2DBA" w:rsidRPr="00B92FB6">
        <w:rPr>
          <w:color w:val="000000" w:themeColor="text1"/>
          <w:sz w:val="28"/>
          <w:szCs w:val="28"/>
          <w:lang w:val="es-CO"/>
        </w:rPr>
        <w:t>a</w:t>
      </w:r>
      <w:r w:rsidR="00D27034" w:rsidRPr="00B92FB6">
        <w:rPr>
          <w:color w:val="000000" w:themeColor="text1"/>
          <w:sz w:val="28"/>
          <w:szCs w:val="28"/>
          <w:lang w:val="es-CO"/>
        </w:rPr>
        <w:t xml:space="preserve"> </w:t>
      </w:r>
      <w:r w:rsidR="00D6758D" w:rsidRPr="00B92FB6">
        <w:rPr>
          <w:color w:val="000000" w:themeColor="text1"/>
          <w:sz w:val="28"/>
          <w:szCs w:val="28"/>
          <w:lang w:val="es-CO"/>
        </w:rPr>
        <w:t>p</w:t>
      </w:r>
      <w:r w:rsidR="002325A9" w:rsidRPr="00B92FB6">
        <w:rPr>
          <w:color w:val="000000" w:themeColor="text1"/>
          <w:sz w:val="28"/>
          <w:szCs w:val="28"/>
          <w:lang w:val="es-CO"/>
        </w:rPr>
        <w:t>rocurad</w:t>
      </w:r>
      <w:r w:rsidR="00D6758D" w:rsidRPr="00B92FB6">
        <w:rPr>
          <w:color w:val="000000" w:themeColor="text1"/>
          <w:sz w:val="28"/>
          <w:szCs w:val="28"/>
          <w:lang w:val="es-CO"/>
        </w:rPr>
        <w:t>or</w:t>
      </w:r>
      <w:r w:rsidR="009D2DBA" w:rsidRPr="00B92FB6">
        <w:rPr>
          <w:color w:val="000000" w:themeColor="text1"/>
          <w:sz w:val="28"/>
          <w:szCs w:val="28"/>
          <w:lang w:val="es-CO"/>
        </w:rPr>
        <w:t>a</w:t>
      </w:r>
      <w:r w:rsidR="002325A9" w:rsidRPr="00B92FB6">
        <w:rPr>
          <w:color w:val="000000" w:themeColor="text1"/>
          <w:sz w:val="28"/>
          <w:szCs w:val="28"/>
          <w:lang w:val="es-CO"/>
        </w:rPr>
        <w:t xml:space="preserve"> </w:t>
      </w:r>
      <w:r w:rsidR="00D6758D" w:rsidRPr="00B92FB6">
        <w:rPr>
          <w:color w:val="000000" w:themeColor="text1"/>
          <w:sz w:val="28"/>
          <w:szCs w:val="28"/>
          <w:lang w:val="es-CO"/>
        </w:rPr>
        <w:t>g</w:t>
      </w:r>
      <w:r w:rsidR="002325A9" w:rsidRPr="00B92FB6">
        <w:rPr>
          <w:color w:val="000000" w:themeColor="text1"/>
          <w:sz w:val="28"/>
          <w:szCs w:val="28"/>
          <w:lang w:val="es-CO"/>
        </w:rPr>
        <w:t>eneral</w:t>
      </w:r>
      <w:r w:rsidR="00D27034" w:rsidRPr="00B92FB6">
        <w:rPr>
          <w:color w:val="000000" w:themeColor="text1"/>
          <w:sz w:val="28"/>
          <w:szCs w:val="28"/>
          <w:lang w:val="es-CO"/>
        </w:rPr>
        <w:t xml:space="preserve"> de la Nación por un </w:t>
      </w:r>
      <w:r w:rsidR="00C506E7">
        <w:rPr>
          <w:color w:val="000000" w:themeColor="text1"/>
          <w:sz w:val="28"/>
          <w:szCs w:val="28"/>
          <w:lang w:val="es-CO"/>
        </w:rPr>
        <w:t>plazo</w:t>
      </w:r>
      <w:r w:rsidR="00D27034" w:rsidRPr="00B92FB6">
        <w:rPr>
          <w:color w:val="000000" w:themeColor="text1"/>
          <w:sz w:val="28"/>
          <w:szCs w:val="28"/>
          <w:lang w:val="es-CO"/>
        </w:rPr>
        <w:t xml:space="preserve"> de treinta</w:t>
      </w:r>
      <w:r w:rsidR="00C506E7">
        <w:rPr>
          <w:color w:val="000000" w:themeColor="text1"/>
          <w:sz w:val="28"/>
          <w:szCs w:val="28"/>
          <w:lang w:val="es-CO"/>
        </w:rPr>
        <w:t xml:space="preserve"> (30)</w:t>
      </w:r>
      <w:r w:rsidR="00D27034" w:rsidRPr="00B92FB6">
        <w:rPr>
          <w:color w:val="000000" w:themeColor="text1"/>
          <w:sz w:val="28"/>
          <w:szCs w:val="28"/>
          <w:lang w:val="es-CO"/>
        </w:rPr>
        <w:t xml:space="preserve"> días, para que rindiera el concepto </w:t>
      </w:r>
      <w:r w:rsidR="00C506E7">
        <w:rPr>
          <w:color w:val="000000" w:themeColor="text1"/>
          <w:sz w:val="28"/>
          <w:szCs w:val="28"/>
          <w:lang w:val="es-CO"/>
        </w:rPr>
        <w:t>a su cargo</w:t>
      </w:r>
      <w:r w:rsidR="00D27034" w:rsidRPr="00B92FB6">
        <w:rPr>
          <w:color w:val="000000" w:themeColor="text1"/>
          <w:sz w:val="28"/>
          <w:szCs w:val="28"/>
          <w:lang w:val="es-CO"/>
        </w:rPr>
        <w:t xml:space="preserve"> y, finalmente</w:t>
      </w:r>
      <w:r w:rsidR="00D6758D" w:rsidRPr="00B92FB6">
        <w:rPr>
          <w:color w:val="000000" w:themeColor="text1"/>
          <w:sz w:val="28"/>
          <w:szCs w:val="28"/>
          <w:lang w:val="es-CO"/>
        </w:rPr>
        <w:t>,</w:t>
      </w:r>
      <w:r w:rsidR="00D27034" w:rsidRPr="00B92FB6">
        <w:rPr>
          <w:color w:val="000000" w:themeColor="text1"/>
          <w:sz w:val="28"/>
          <w:szCs w:val="28"/>
          <w:lang w:val="es-CO"/>
        </w:rPr>
        <w:t xml:space="preserve"> (</w:t>
      </w:r>
      <w:proofErr w:type="spellStart"/>
      <w:r w:rsidR="00D27034" w:rsidRPr="00B92FB6">
        <w:rPr>
          <w:color w:val="000000" w:themeColor="text1"/>
          <w:sz w:val="28"/>
          <w:szCs w:val="28"/>
          <w:lang w:val="es-CO"/>
        </w:rPr>
        <w:t>iv</w:t>
      </w:r>
      <w:proofErr w:type="spellEnd"/>
      <w:r w:rsidR="00D27034" w:rsidRPr="00B92FB6">
        <w:rPr>
          <w:color w:val="000000" w:themeColor="text1"/>
          <w:sz w:val="28"/>
          <w:szCs w:val="28"/>
          <w:lang w:val="es-CO"/>
        </w:rPr>
        <w:t>) invit</w:t>
      </w:r>
      <w:r w:rsidR="00B92FB6">
        <w:rPr>
          <w:color w:val="000000" w:themeColor="text1"/>
          <w:sz w:val="28"/>
          <w:szCs w:val="28"/>
          <w:lang w:val="es-CO"/>
        </w:rPr>
        <w:t>ó</w:t>
      </w:r>
      <w:r w:rsidR="00D27034" w:rsidRPr="00B92FB6">
        <w:rPr>
          <w:color w:val="000000" w:themeColor="text1"/>
          <w:sz w:val="28"/>
          <w:szCs w:val="28"/>
          <w:lang w:val="es-CO"/>
        </w:rPr>
        <w:t xml:space="preserve"> a diferentes entidades públicas y privadas para que, dentro de los </w:t>
      </w:r>
      <w:r w:rsidR="004F6284" w:rsidRPr="00B92FB6">
        <w:rPr>
          <w:color w:val="000000" w:themeColor="text1"/>
          <w:sz w:val="28"/>
          <w:szCs w:val="28"/>
          <w:lang w:val="es-CO"/>
        </w:rPr>
        <w:t>diez</w:t>
      </w:r>
      <w:r w:rsidR="00D27034" w:rsidRPr="00B92FB6">
        <w:rPr>
          <w:color w:val="000000" w:themeColor="text1"/>
          <w:sz w:val="28"/>
          <w:szCs w:val="28"/>
          <w:lang w:val="es-CO"/>
        </w:rPr>
        <w:t xml:space="preserve"> </w:t>
      </w:r>
      <w:r w:rsidR="00C506E7">
        <w:rPr>
          <w:color w:val="000000" w:themeColor="text1"/>
          <w:sz w:val="28"/>
          <w:szCs w:val="28"/>
          <w:lang w:val="es-CO"/>
        </w:rPr>
        <w:t xml:space="preserve">(10) </w:t>
      </w:r>
      <w:r w:rsidR="00D27034" w:rsidRPr="00B92FB6">
        <w:rPr>
          <w:color w:val="000000" w:themeColor="text1"/>
          <w:sz w:val="28"/>
          <w:szCs w:val="28"/>
          <w:lang w:val="es-CO"/>
        </w:rPr>
        <w:t xml:space="preserve">días siguientes a la comunicación del auto, si </w:t>
      </w:r>
      <w:r w:rsidR="002325A9" w:rsidRPr="00B92FB6">
        <w:rPr>
          <w:color w:val="000000" w:themeColor="text1"/>
          <w:sz w:val="28"/>
          <w:szCs w:val="28"/>
          <w:lang w:val="es-CO"/>
        </w:rPr>
        <w:t xml:space="preserve">lo </w:t>
      </w:r>
      <w:r w:rsidR="00B92FB6">
        <w:rPr>
          <w:color w:val="000000" w:themeColor="text1"/>
          <w:sz w:val="28"/>
          <w:szCs w:val="28"/>
          <w:lang w:val="es-CO"/>
        </w:rPr>
        <w:t>estiman</w:t>
      </w:r>
      <w:r w:rsidR="002325A9" w:rsidRPr="00B92FB6">
        <w:rPr>
          <w:color w:val="000000" w:themeColor="text1"/>
          <w:sz w:val="28"/>
          <w:szCs w:val="28"/>
          <w:lang w:val="es-CO"/>
        </w:rPr>
        <w:t xml:space="preserve"> </w:t>
      </w:r>
      <w:r w:rsidR="00E02C04" w:rsidRPr="00B92FB6">
        <w:rPr>
          <w:color w:val="000000" w:themeColor="text1"/>
          <w:sz w:val="28"/>
          <w:szCs w:val="28"/>
          <w:lang w:val="es-CO"/>
        </w:rPr>
        <w:t>oportuno</w:t>
      </w:r>
      <w:r w:rsidR="00D27034" w:rsidRPr="00B92FB6">
        <w:rPr>
          <w:color w:val="000000" w:themeColor="text1"/>
          <w:sz w:val="28"/>
          <w:szCs w:val="28"/>
          <w:lang w:val="es-CO"/>
        </w:rPr>
        <w:t xml:space="preserve">, presentaran </w:t>
      </w:r>
      <w:r w:rsidR="007D4A91" w:rsidRPr="00B92FB6">
        <w:rPr>
          <w:color w:val="000000" w:themeColor="text1"/>
          <w:sz w:val="28"/>
          <w:szCs w:val="28"/>
          <w:lang w:val="es-CO"/>
        </w:rPr>
        <w:t>un</w:t>
      </w:r>
      <w:r w:rsidR="00D27034" w:rsidRPr="00B92FB6">
        <w:rPr>
          <w:color w:val="000000" w:themeColor="text1"/>
          <w:sz w:val="28"/>
          <w:szCs w:val="28"/>
          <w:lang w:val="es-CO"/>
        </w:rPr>
        <w:t xml:space="preserve"> concepto técnico</w:t>
      </w:r>
      <w:r w:rsidR="004F6284" w:rsidRPr="00B92FB6">
        <w:rPr>
          <w:color w:val="000000" w:themeColor="text1"/>
          <w:sz w:val="28"/>
          <w:szCs w:val="28"/>
          <w:lang w:val="es-CO"/>
        </w:rPr>
        <w:t xml:space="preserve"> para la elaboración del proyecto de fallo</w:t>
      </w:r>
      <w:r w:rsidR="00216A44" w:rsidRPr="00B92FB6">
        <w:rPr>
          <w:rStyle w:val="Refdenotaalpie"/>
          <w:color w:val="000000" w:themeColor="text1"/>
          <w:lang w:val="es-CO"/>
        </w:rPr>
        <w:footnoteReference w:id="2"/>
      </w:r>
      <w:r w:rsidR="00EC3BEA" w:rsidRPr="00B92FB6">
        <w:rPr>
          <w:color w:val="000000" w:themeColor="text1"/>
          <w:sz w:val="28"/>
          <w:szCs w:val="28"/>
          <w:lang w:val="es-CO"/>
        </w:rPr>
        <w:t>.</w:t>
      </w:r>
    </w:p>
    <w:p w14:paraId="2543295A" w14:textId="77777777" w:rsidR="008D62CF" w:rsidRPr="00B92FB6" w:rsidRDefault="008D62CF"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65EDA37D" w14:textId="6D5770A1" w:rsidR="00C62585" w:rsidRPr="00B92FB6"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92FB6">
        <w:rPr>
          <w:color w:val="000000" w:themeColor="text1"/>
          <w:sz w:val="28"/>
          <w:szCs w:val="28"/>
          <w:lang w:val="es-CO"/>
        </w:rPr>
        <w:t>Cumplidos los trámites previstos en el artículo 242 de la Constitución</w:t>
      </w:r>
      <w:r w:rsidR="00C62585" w:rsidRPr="00B92FB6">
        <w:rPr>
          <w:color w:val="000000" w:themeColor="text1"/>
          <w:sz w:val="28"/>
          <w:szCs w:val="28"/>
          <w:lang w:val="es-CO"/>
        </w:rPr>
        <w:t xml:space="preserve"> Política</w:t>
      </w:r>
      <w:r w:rsidRPr="00B92FB6">
        <w:rPr>
          <w:color w:val="000000" w:themeColor="text1"/>
          <w:sz w:val="28"/>
          <w:szCs w:val="28"/>
          <w:lang w:val="es-CO"/>
        </w:rPr>
        <w:t xml:space="preserve"> y en el Decreto Ley 2067 de 1991, procede la Corte a decidir sobre la demanda de la referencia.</w:t>
      </w:r>
    </w:p>
    <w:p w14:paraId="3E682497" w14:textId="77777777" w:rsidR="00C62585" w:rsidRPr="00EC2190" w:rsidRDefault="00C62585" w:rsidP="00E067C2">
      <w:pPr>
        <w:pStyle w:val="Prrafodelista"/>
        <w:jc w:val="both"/>
        <w:rPr>
          <w:color w:val="000000" w:themeColor="text1"/>
          <w:sz w:val="28"/>
          <w:szCs w:val="28"/>
          <w:highlight w:val="yellow"/>
          <w:lang w:val="es-CO"/>
        </w:rPr>
      </w:pPr>
    </w:p>
    <w:p w14:paraId="51FD616B" w14:textId="40091B53" w:rsidR="008D62CF" w:rsidRPr="000D4F7B" w:rsidRDefault="008D62CF" w:rsidP="00E067C2">
      <w:pPr>
        <w:pStyle w:val="Prrafodelista"/>
        <w:widowControl w:val="0"/>
        <w:numPr>
          <w:ilvl w:val="1"/>
          <w:numId w:val="12"/>
        </w:numPr>
        <w:ind w:left="1276" w:hanging="709"/>
        <w:jc w:val="both"/>
        <w:outlineLvl w:val="0"/>
        <w:rPr>
          <w:rFonts w:eastAsia="Cambria"/>
          <w:b/>
          <w:bCs/>
          <w:color w:val="000000" w:themeColor="text1"/>
          <w:sz w:val="28"/>
          <w:szCs w:val="28"/>
          <w:lang w:val="es-CO" w:eastAsia="es-CO"/>
        </w:rPr>
      </w:pPr>
      <w:r w:rsidRPr="000D4F7B">
        <w:rPr>
          <w:rFonts w:eastAsia="Cambria"/>
          <w:b/>
          <w:bCs/>
          <w:color w:val="000000" w:themeColor="text1"/>
          <w:sz w:val="28"/>
          <w:szCs w:val="28"/>
          <w:lang w:val="es-CO" w:eastAsia="es-CO"/>
        </w:rPr>
        <w:t>Norma</w:t>
      </w:r>
      <w:r w:rsidR="00DF0EAE" w:rsidRPr="000D4F7B">
        <w:rPr>
          <w:rFonts w:eastAsia="Cambria"/>
          <w:b/>
          <w:bCs/>
          <w:color w:val="000000" w:themeColor="text1"/>
          <w:sz w:val="28"/>
          <w:szCs w:val="28"/>
          <w:lang w:val="es-CO" w:eastAsia="es-CO"/>
        </w:rPr>
        <w:t>s</w:t>
      </w:r>
      <w:r w:rsidRPr="000D4F7B">
        <w:rPr>
          <w:rFonts w:eastAsia="Cambria"/>
          <w:b/>
          <w:bCs/>
          <w:color w:val="000000" w:themeColor="text1"/>
          <w:sz w:val="28"/>
          <w:szCs w:val="28"/>
          <w:lang w:val="es-CO" w:eastAsia="es-CO"/>
        </w:rPr>
        <w:t xml:space="preserve"> demandada</w:t>
      </w:r>
      <w:r w:rsidR="00DF0EAE" w:rsidRPr="000D4F7B">
        <w:rPr>
          <w:rFonts w:eastAsia="Cambria"/>
          <w:b/>
          <w:bCs/>
          <w:color w:val="000000" w:themeColor="text1"/>
          <w:sz w:val="28"/>
          <w:szCs w:val="28"/>
          <w:lang w:val="es-CO" w:eastAsia="es-CO"/>
        </w:rPr>
        <w:t>s</w:t>
      </w:r>
    </w:p>
    <w:p w14:paraId="7219BA24" w14:textId="77777777" w:rsidR="008D62CF" w:rsidRPr="000D4F7B" w:rsidRDefault="008D62CF" w:rsidP="00E067C2">
      <w:pPr>
        <w:jc w:val="both"/>
        <w:rPr>
          <w:rFonts w:eastAsiaTheme="minorHAnsi"/>
          <w:bCs/>
          <w:color w:val="000000" w:themeColor="text1"/>
          <w:sz w:val="28"/>
          <w:szCs w:val="28"/>
        </w:rPr>
      </w:pPr>
    </w:p>
    <w:p w14:paraId="383D67B9" w14:textId="4B17FE22" w:rsidR="008D62CF" w:rsidRPr="000D4F7B"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0D4F7B">
        <w:rPr>
          <w:rFonts w:eastAsiaTheme="minorHAnsi"/>
          <w:bCs/>
          <w:color w:val="000000" w:themeColor="text1"/>
          <w:sz w:val="28"/>
          <w:szCs w:val="28"/>
          <w:lang w:val="es-CO"/>
        </w:rPr>
        <w:t>A continuación, se transcribe el contenido de la</w:t>
      </w:r>
      <w:r w:rsidR="002661DE" w:rsidRPr="000D4F7B">
        <w:rPr>
          <w:rFonts w:eastAsiaTheme="minorHAnsi"/>
          <w:bCs/>
          <w:color w:val="000000" w:themeColor="text1"/>
          <w:sz w:val="28"/>
          <w:szCs w:val="28"/>
          <w:lang w:val="es-CO"/>
        </w:rPr>
        <w:t>s</w:t>
      </w:r>
      <w:r w:rsidRPr="000D4F7B">
        <w:rPr>
          <w:rFonts w:eastAsiaTheme="minorHAnsi"/>
          <w:bCs/>
          <w:color w:val="000000" w:themeColor="text1"/>
          <w:sz w:val="28"/>
          <w:szCs w:val="28"/>
          <w:lang w:val="es-CO"/>
        </w:rPr>
        <w:t xml:space="preserve"> disposici</w:t>
      </w:r>
      <w:r w:rsidR="002661DE" w:rsidRPr="000D4F7B">
        <w:rPr>
          <w:rFonts w:eastAsiaTheme="minorHAnsi"/>
          <w:bCs/>
          <w:color w:val="000000" w:themeColor="text1"/>
          <w:sz w:val="28"/>
          <w:szCs w:val="28"/>
          <w:lang w:val="es-CO"/>
        </w:rPr>
        <w:t>ones</w:t>
      </w:r>
      <w:r w:rsidRPr="000D4F7B">
        <w:rPr>
          <w:rFonts w:eastAsiaTheme="minorHAnsi"/>
          <w:bCs/>
          <w:color w:val="000000" w:themeColor="text1"/>
          <w:sz w:val="28"/>
          <w:szCs w:val="28"/>
          <w:lang w:val="es-CO"/>
        </w:rPr>
        <w:t xml:space="preserve"> acusada</w:t>
      </w:r>
      <w:r w:rsidR="002661DE" w:rsidRPr="000D4F7B">
        <w:rPr>
          <w:rFonts w:eastAsiaTheme="minorHAnsi"/>
          <w:bCs/>
          <w:color w:val="000000" w:themeColor="text1"/>
          <w:sz w:val="28"/>
          <w:szCs w:val="28"/>
          <w:lang w:val="es-CO"/>
        </w:rPr>
        <w:t>s</w:t>
      </w:r>
      <w:r w:rsidRPr="000D4F7B">
        <w:rPr>
          <w:rFonts w:eastAsiaTheme="minorHAnsi"/>
          <w:bCs/>
          <w:color w:val="000000" w:themeColor="text1"/>
          <w:sz w:val="28"/>
          <w:szCs w:val="28"/>
          <w:lang w:val="es-CO"/>
        </w:rPr>
        <w:t xml:space="preserve">, </w:t>
      </w:r>
      <w:r w:rsidR="004F23E4" w:rsidRPr="000D4F7B">
        <w:rPr>
          <w:rFonts w:eastAsiaTheme="minorHAnsi"/>
          <w:bCs/>
          <w:color w:val="000000" w:themeColor="text1"/>
          <w:sz w:val="28"/>
          <w:szCs w:val="28"/>
          <w:lang w:val="es-CO"/>
        </w:rPr>
        <w:t>de acuerdo con</w:t>
      </w:r>
      <w:r w:rsidRPr="000D4F7B">
        <w:rPr>
          <w:rFonts w:eastAsiaTheme="minorHAnsi"/>
          <w:bCs/>
          <w:color w:val="000000" w:themeColor="text1"/>
          <w:sz w:val="28"/>
          <w:szCs w:val="28"/>
          <w:lang w:val="es-CO"/>
        </w:rPr>
        <w:t xml:space="preserve"> su publicación en </w:t>
      </w:r>
      <w:r w:rsidR="002661DE" w:rsidRPr="000D4F7B">
        <w:rPr>
          <w:rFonts w:eastAsiaTheme="minorHAnsi"/>
          <w:bCs/>
          <w:color w:val="000000" w:themeColor="text1"/>
          <w:sz w:val="28"/>
          <w:szCs w:val="28"/>
          <w:lang w:val="es-CO"/>
        </w:rPr>
        <w:t>los</w:t>
      </w:r>
      <w:r w:rsidRPr="000D4F7B">
        <w:rPr>
          <w:rFonts w:eastAsiaTheme="minorHAnsi"/>
          <w:bCs/>
          <w:color w:val="000000" w:themeColor="text1"/>
          <w:sz w:val="28"/>
          <w:szCs w:val="28"/>
          <w:lang w:val="es-CO"/>
        </w:rPr>
        <w:t xml:space="preserve"> </w:t>
      </w:r>
      <w:r w:rsidR="000D4F7B">
        <w:rPr>
          <w:rFonts w:eastAsiaTheme="minorHAnsi"/>
          <w:bCs/>
          <w:color w:val="000000" w:themeColor="text1"/>
          <w:sz w:val="28"/>
          <w:szCs w:val="28"/>
          <w:lang w:val="es-CO"/>
        </w:rPr>
        <w:t>Di</w:t>
      </w:r>
      <w:r w:rsidRPr="000D4F7B">
        <w:rPr>
          <w:rFonts w:eastAsiaTheme="minorHAnsi"/>
          <w:bCs/>
          <w:color w:val="000000" w:themeColor="text1"/>
          <w:sz w:val="28"/>
          <w:szCs w:val="28"/>
          <w:lang w:val="es-CO"/>
        </w:rPr>
        <w:t>ario</w:t>
      </w:r>
      <w:r w:rsidR="002661DE" w:rsidRPr="000D4F7B">
        <w:rPr>
          <w:rFonts w:eastAsiaTheme="minorHAnsi"/>
          <w:bCs/>
          <w:color w:val="000000" w:themeColor="text1"/>
          <w:sz w:val="28"/>
          <w:szCs w:val="28"/>
          <w:lang w:val="es-CO"/>
        </w:rPr>
        <w:t>s</w:t>
      </w:r>
      <w:r w:rsidRPr="000D4F7B">
        <w:rPr>
          <w:rFonts w:eastAsiaTheme="minorHAnsi"/>
          <w:bCs/>
          <w:color w:val="000000" w:themeColor="text1"/>
          <w:sz w:val="28"/>
          <w:szCs w:val="28"/>
          <w:lang w:val="es-CO"/>
        </w:rPr>
        <w:t xml:space="preserve"> </w:t>
      </w:r>
      <w:r w:rsidR="000D4F7B">
        <w:rPr>
          <w:rFonts w:eastAsiaTheme="minorHAnsi"/>
          <w:bCs/>
          <w:color w:val="000000" w:themeColor="text1"/>
          <w:sz w:val="28"/>
          <w:szCs w:val="28"/>
          <w:lang w:val="es-CO"/>
        </w:rPr>
        <w:t>O</w:t>
      </w:r>
      <w:r w:rsidR="005A51C0" w:rsidRPr="000D4F7B">
        <w:rPr>
          <w:rFonts w:eastAsiaTheme="minorHAnsi"/>
          <w:bCs/>
          <w:color w:val="000000" w:themeColor="text1"/>
          <w:sz w:val="28"/>
          <w:szCs w:val="28"/>
          <w:lang w:val="es-CO"/>
        </w:rPr>
        <w:t xml:space="preserve">ficiales </w:t>
      </w:r>
      <w:r w:rsidR="002661DE" w:rsidRPr="000D4F7B">
        <w:rPr>
          <w:rFonts w:eastAsiaTheme="minorHAnsi"/>
          <w:bCs/>
          <w:color w:val="000000" w:themeColor="text1"/>
          <w:sz w:val="28"/>
          <w:szCs w:val="28"/>
          <w:lang w:val="es-CO"/>
        </w:rPr>
        <w:t xml:space="preserve">44.097 </w:t>
      </w:r>
      <w:r w:rsidRPr="000D4F7B">
        <w:rPr>
          <w:rFonts w:eastAsiaTheme="minorHAnsi"/>
          <w:bCs/>
          <w:color w:val="000000" w:themeColor="text1"/>
          <w:sz w:val="28"/>
          <w:szCs w:val="28"/>
          <w:lang w:val="es-CO"/>
        </w:rPr>
        <w:t>de</w:t>
      </w:r>
      <w:r w:rsidR="000D4F7B">
        <w:rPr>
          <w:rFonts w:eastAsiaTheme="minorHAnsi"/>
          <w:bCs/>
          <w:color w:val="000000" w:themeColor="text1"/>
          <w:sz w:val="28"/>
          <w:szCs w:val="28"/>
          <w:lang w:val="es-CO"/>
        </w:rPr>
        <w:t>l</w:t>
      </w:r>
      <w:r w:rsidRPr="000D4F7B">
        <w:rPr>
          <w:rFonts w:eastAsiaTheme="minorHAnsi"/>
          <w:bCs/>
          <w:color w:val="000000" w:themeColor="text1"/>
          <w:sz w:val="28"/>
          <w:szCs w:val="28"/>
          <w:lang w:val="es-CO"/>
        </w:rPr>
        <w:t xml:space="preserve"> </w:t>
      </w:r>
      <w:r w:rsidR="002661DE" w:rsidRPr="000D4F7B">
        <w:rPr>
          <w:rFonts w:eastAsiaTheme="minorHAnsi"/>
          <w:bCs/>
          <w:color w:val="000000" w:themeColor="text1"/>
          <w:sz w:val="28"/>
          <w:szCs w:val="28"/>
          <w:lang w:val="es-CO"/>
        </w:rPr>
        <w:t>24 de julio</w:t>
      </w:r>
      <w:r w:rsidRPr="000D4F7B">
        <w:rPr>
          <w:rFonts w:eastAsiaTheme="minorHAnsi"/>
          <w:bCs/>
          <w:color w:val="000000" w:themeColor="text1"/>
          <w:sz w:val="28"/>
          <w:szCs w:val="28"/>
          <w:lang w:val="es-CO"/>
        </w:rPr>
        <w:t xml:space="preserve"> de 2</w:t>
      </w:r>
      <w:r w:rsidR="002661DE" w:rsidRPr="000D4F7B">
        <w:rPr>
          <w:rFonts w:eastAsiaTheme="minorHAnsi"/>
          <w:bCs/>
          <w:color w:val="000000" w:themeColor="text1"/>
          <w:sz w:val="28"/>
          <w:szCs w:val="28"/>
          <w:lang w:val="es-CO"/>
        </w:rPr>
        <w:t>000 y 45.658 de</w:t>
      </w:r>
      <w:r w:rsidR="000D4F7B">
        <w:rPr>
          <w:rFonts w:eastAsiaTheme="minorHAnsi"/>
          <w:bCs/>
          <w:color w:val="000000" w:themeColor="text1"/>
          <w:sz w:val="28"/>
          <w:szCs w:val="28"/>
          <w:lang w:val="es-CO"/>
        </w:rPr>
        <w:t>l</w:t>
      </w:r>
      <w:r w:rsidR="002661DE" w:rsidRPr="000D4F7B">
        <w:rPr>
          <w:rFonts w:eastAsiaTheme="minorHAnsi"/>
          <w:bCs/>
          <w:color w:val="000000" w:themeColor="text1"/>
          <w:sz w:val="28"/>
          <w:szCs w:val="28"/>
          <w:lang w:val="es-CO"/>
        </w:rPr>
        <w:t xml:space="preserve"> 1</w:t>
      </w:r>
      <w:r w:rsidR="000D4F7B">
        <w:rPr>
          <w:rFonts w:eastAsiaTheme="minorHAnsi"/>
          <w:bCs/>
          <w:color w:val="000000" w:themeColor="text1"/>
          <w:sz w:val="28"/>
          <w:szCs w:val="28"/>
          <w:lang w:val="es-CO"/>
        </w:rPr>
        <w:t xml:space="preserve">° </w:t>
      </w:r>
      <w:r w:rsidR="002661DE" w:rsidRPr="000D4F7B">
        <w:rPr>
          <w:rFonts w:eastAsiaTheme="minorHAnsi"/>
          <w:bCs/>
          <w:color w:val="000000" w:themeColor="text1"/>
          <w:sz w:val="28"/>
          <w:szCs w:val="28"/>
          <w:lang w:val="es-CO"/>
        </w:rPr>
        <w:t>de septiembre de 2004</w:t>
      </w:r>
      <w:r w:rsidR="00612D3B" w:rsidRPr="000D4F7B">
        <w:rPr>
          <w:rFonts w:eastAsiaTheme="minorHAnsi"/>
          <w:bCs/>
          <w:color w:val="000000" w:themeColor="text1"/>
          <w:sz w:val="28"/>
          <w:szCs w:val="28"/>
          <w:lang w:val="es-CO"/>
        </w:rPr>
        <w:t>,</w:t>
      </w:r>
      <w:r w:rsidR="002661DE" w:rsidRPr="000D4F7B">
        <w:rPr>
          <w:rFonts w:eastAsiaTheme="minorHAnsi"/>
          <w:bCs/>
          <w:color w:val="000000" w:themeColor="text1"/>
          <w:sz w:val="28"/>
          <w:szCs w:val="28"/>
          <w:lang w:val="es-CO"/>
        </w:rPr>
        <w:t xml:space="preserve"> respectivamente</w:t>
      </w:r>
      <w:r w:rsidR="002D797C" w:rsidRPr="000D4F7B">
        <w:rPr>
          <w:rFonts w:eastAsiaTheme="minorHAnsi"/>
          <w:bCs/>
          <w:color w:val="000000" w:themeColor="text1"/>
          <w:sz w:val="28"/>
          <w:szCs w:val="28"/>
          <w:lang w:val="es-CO"/>
        </w:rPr>
        <w:t>:</w:t>
      </w:r>
      <w:r w:rsidR="00612D3B" w:rsidRPr="000D4F7B">
        <w:rPr>
          <w:rFonts w:eastAsiaTheme="minorHAnsi"/>
          <w:bCs/>
          <w:color w:val="000000" w:themeColor="text1"/>
          <w:sz w:val="28"/>
          <w:szCs w:val="28"/>
          <w:lang w:val="es-CO"/>
        </w:rPr>
        <w:t xml:space="preserve"> </w:t>
      </w:r>
    </w:p>
    <w:p w14:paraId="638B0ABF" w14:textId="77777777" w:rsidR="008D62CF" w:rsidRPr="00EC2190" w:rsidRDefault="008D62CF" w:rsidP="00E067C2">
      <w:pPr>
        <w:ind w:left="851" w:right="475"/>
        <w:contextualSpacing/>
        <w:jc w:val="both"/>
        <w:rPr>
          <w:color w:val="000000" w:themeColor="text1"/>
          <w:sz w:val="28"/>
          <w:szCs w:val="28"/>
          <w:highlight w:val="yellow"/>
        </w:rPr>
      </w:pPr>
    </w:p>
    <w:p w14:paraId="68283E97" w14:textId="25F9599A" w:rsidR="008D62CF" w:rsidRPr="00C506E7" w:rsidRDefault="008D62CF" w:rsidP="00E067C2">
      <w:pPr>
        <w:ind w:left="851" w:right="475"/>
        <w:contextualSpacing/>
        <w:jc w:val="center"/>
        <w:rPr>
          <w:b/>
          <w:bCs/>
          <w:color w:val="000000" w:themeColor="text1"/>
          <w:sz w:val="22"/>
          <w:szCs w:val="22"/>
        </w:rPr>
      </w:pPr>
      <w:r w:rsidRPr="00C506E7">
        <w:rPr>
          <w:color w:val="000000" w:themeColor="text1"/>
          <w:sz w:val="22"/>
          <w:szCs w:val="22"/>
        </w:rPr>
        <w:t>“</w:t>
      </w:r>
      <w:r w:rsidRPr="00C506E7">
        <w:rPr>
          <w:b/>
          <w:bCs/>
          <w:color w:val="000000" w:themeColor="text1"/>
          <w:sz w:val="22"/>
          <w:szCs w:val="22"/>
        </w:rPr>
        <w:t xml:space="preserve">LEY </w:t>
      </w:r>
      <w:r w:rsidR="002661DE" w:rsidRPr="00C506E7">
        <w:rPr>
          <w:b/>
          <w:bCs/>
          <w:color w:val="000000" w:themeColor="text1"/>
          <w:sz w:val="22"/>
          <w:szCs w:val="22"/>
        </w:rPr>
        <w:t>599 de 2000</w:t>
      </w:r>
    </w:p>
    <w:p w14:paraId="6AF614B3" w14:textId="01114E41" w:rsidR="008D62CF" w:rsidRPr="00C506E7" w:rsidRDefault="008D62CF" w:rsidP="00E067C2">
      <w:pPr>
        <w:ind w:left="851" w:right="475"/>
        <w:contextualSpacing/>
        <w:jc w:val="center"/>
        <w:rPr>
          <w:color w:val="000000" w:themeColor="text1"/>
          <w:sz w:val="22"/>
          <w:szCs w:val="22"/>
        </w:rPr>
      </w:pPr>
      <w:r w:rsidRPr="00C506E7">
        <w:rPr>
          <w:color w:val="000000" w:themeColor="text1"/>
          <w:sz w:val="22"/>
          <w:szCs w:val="22"/>
        </w:rPr>
        <w:t>(</w:t>
      </w:r>
      <w:r w:rsidR="002661DE" w:rsidRPr="00C506E7">
        <w:rPr>
          <w:color w:val="000000" w:themeColor="text1"/>
          <w:sz w:val="22"/>
          <w:szCs w:val="22"/>
        </w:rPr>
        <w:t>julio 24</w:t>
      </w:r>
      <w:r w:rsidRPr="00C506E7">
        <w:rPr>
          <w:color w:val="000000" w:themeColor="text1"/>
          <w:sz w:val="22"/>
          <w:szCs w:val="22"/>
        </w:rPr>
        <w:t>)</w:t>
      </w:r>
    </w:p>
    <w:p w14:paraId="7D84FBCD" w14:textId="77777777" w:rsidR="008D62CF" w:rsidRPr="00C506E7" w:rsidRDefault="008D62CF" w:rsidP="00E067C2">
      <w:pPr>
        <w:ind w:left="851" w:right="475"/>
        <w:contextualSpacing/>
        <w:jc w:val="center"/>
        <w:rPr>
          <w:color w:val="000000" w:themeColor="text1"/>
          <w:sz w:val="22"/>
          <w:szCs w:val="22"/>
        </w:rPr>
      </w:pPr>
    </w:p>
    <w:p w14:paraId="71BCF383" w14:textId="2A37C0CC" w:rsidR="008D62CF" w:rsidRPr="00C506E7" w:rsidRDefault="008D62CF" w:rsidP="00E067C2">
      <w:pPr>
        <w:ind w:left="851" w:right="475"/>
        <w:contextualSpacing/>
        <w:jc w:val="center"/>
        <w:rPr>
          <w:i/>
          <w:iCs/>
          <w:color w:val="000000" w:themeColor="text1"/>
          <w:sz w:val="22"/>
          <w:szCs w:val="22"/>
        </w:rPr>
      </w:pPr>
      <w:r w:rsidRPr="00C506E7">
        <w:rPr>
          <w:i/>
          <w:iCs/>
          <w:color w:val="000000" w:themeColor="text1"/>
          <w:sz w:val="22"/>
          <w:szCs w:val="22"/>
        </w:rPr>
        <w:t>Por el cual se expide el</w:t>
      </w:r>
      <w:r w:rsidR="002661DE" w:rsidRPr="00C506E7">
        <w:rPr>
          <w:i/>
          <w:iCs/>
          <w:color w:val="000000" w:themeColor="text1"/>
          <w:sz w:val="22"/>
          <w:szCs w:val="22"/>
        </w:rPr>
        <w:t xml:space="preserve"> Código Penal</w:t>
      </w:r>
    </w:p>
    <w:p w14:paraId="78D6D528" w14:textId="77777777" w:rsidR="008D62CF" w:rsidRPr="00C506E7" w:rsidRDefault="008D62CF" w:rsidP="00E067C2">
      <w:pPr>
        <w:ind w:left="851" w:right="475"/>
        <w:contextualSpacing/>
        <w:jc w:val="center"/>
        <w:rPr>
          <w:i/>
          <w:iCs/>
          <w:color w:val="000000" w:themeColor="text1"/>
          <w:sz w:val="22"/>
          <w:szCs w:val="22"/>
        </w:rPr>
      </w:pPr>
    </w:p>
    <w:p w14:paraId="64BC6760" w14:textId="77777777" w:rsidR="008D62CF" w:rsidRPr="00C506E7" w:rsidRDefault="008D62CF" w:rsidP="00E067C2">
      <w:pPr>
        <w:ind w:left="851" w:right="475"/>
        <w:contextualSpacing/>
        <w:jc w:val="center"/>
        <w:rPr>
          <w:i/>
          <w:iCs/>
          <w:color w:val="000000" w:themeColor="text1"/>
          <w:sz w:val="22"/>
          <w:szCs w:val="22"/>
        </w:rPr>
      </w:pPr>
      <w:r w:rsidRPr="00C506E7">
        <w:rPr>
          <w:i/>
          <w:iCs/>
          <w:color w:val="000000" w:themeColor="text1"/>
          <w:sz w:val="22"/>
          <w:szCs w:val="22"/>
        </w:rPr>
        <w:t>El Congreso de Colombia</w:t>
      </w:r>
    </w:p>
    <w:p w14:paraId="2AD6B3DB" w14:textId="77777777" w:rsidR="008D62CF" w:rsidRPr="00C506E7" w:rsidRDefault="008D62CF" w:rsidP="00E067C2">
      <w:pPr>
        <w:ind w:left="851" w:right="475"/>
        <w:contextualSpacing/>
        <w:jc w:val="center"/>
        <w:rPr>
          <w:i/>
          <w:iCs/>
          <w:color w:val="000000" w:themeColor="text1"/>
          <w:sz w:val="22"/>
          <w:szCs w:val="22"/>
        </w:rPr>
      </w:pPr>
    </w:p>
    <w:p w14:paraId="3808CBFD" w14:textId="46D16F55" w:rsidR="000753E8" w:rsidRPr="00C506E7" w:rsidRDefault="008D62CF" w:rsidP="00E067C2">
      <w:pPr>
        <w:ind w:left="851" w:right="475"/>
        <w:contextualSpacing/>
        <w:jc w:val="center"/>
        <w:rPr>
          <w:i/>
          <w:iCs/>
          <w:color w:val="000000" w:themeColor="text1"/>
          <w:sz w:val="22"/>
          <w:szCs w:val="22"/>
        </w:rPr>
      </w:pPr>
      <w:r w:rsidRPr="00C506E7">
        <w:rPr>
          <w:i/>
          <w:iCs/>
          <w:color w:val="000000" w:themeColor="text1"/>
          <w:sz w:val="22"/>
          <w:szCs w:val="22"/>
        </w:rPr>
        <w:t>DECRETA:</w:t>
      </w:r>
      <w:r w:rsidR="000D4F7B" w:rsidRPr="00C506E7">
        <w:rPr>
          <w:i/>
          <w:iCs/>
          <w:color w:val="000000" w:themeColor="text1"/>
          <w:sz w:val="22"/>
          <w:szCs w:val="22"/>
        </w:rPr>
        <w:t xml:space="preserve"> </w:t>
      </w:r>
      <w:r w:rsidRPr="00C506E7">
        <w:rPr>
          <w:i/>
          <w:iCs/>
          <w:color w:val="000000" w:themeColor="text1"/>
          <w:sz w:val="22"/>
          <w:szCs w:val="22"/>
        </w:rPr>
        <w:t>[…]</w:t>
      </w:r>
    </w:p>
    <w:p w14:paraId="064F0CD6" w14:textId="77777777" w:rsidR="000D4F7B" w:rsidRPr="00C506E7" w:rsidRDefault="000D4F7B" w:rsidP="00E067C2">
      <w:pPr>
        <w:ind w:left="851" w:right="475"/>
        <w:contextualSpacing/>
        <w:jc w:val="center"/>
        <w:rPr>
          <w:i/>
          <w:iCs/>
          <w:color w:val="000000" w:themeColor="text1"/>
          <w:sz w:val="22"/>
          <w:szCs w:val="22"/>
        </w:rPr>
      </w:pPr>
    </w:p>
    <w:p w14:paraId="5A0692E4" w14:textId="15DAEFB1" w:rsidR="000753E8" w:rsidRPr="00C506E7" w:rsidRDefault="000753E8" w:rsidP="00E067C2">
      <w:pPr>
        <w:pStyle w:val="NormalWeb"/>
        <w:spacing w:before="0" w:beforeAutospacing="0" w:after="0" w:afterAutospacing="0"/>
        <w:ind w:left="851" w:right="475"/>
        <w:jc w:val="both"/>
        <w:rPr>
          <w:rStyle w:val="apple-converted-space"/>
          <w:i/>
          <w:iCs/>
          <w:color w:val="000000" w:themeColor="text1"/>
          <w:sz w:val="22"/>
          <w:szCs w:val="22"/>
          <w:lang w:val="es-ES_tradnl"/>
        </w:rPr>
      </w:pPr>
      <w:bookmarkStart w:id="4" w:name="63"/>
      <w:r w:rsidRPr="00C506E7">
        <w:rPr>
          <w:rStyle w:val="baj"/>
          <w:rFonts w:eastAsiaTheme="majorEastAsia"/>
          <w:b/>
          <w:bCs/>
          <w:i/>
          <w:iCs/>
          <w:color w:val="000000" w:themeColor="text1"/>
          <w:sz w:val="22"/>
          <w:szCs w:val="22"/>
          <w:lang w:val="es-ES_tradnl"/>
        </w:rPr>
        <w:t>ARTÍCULO 63. SUSPENSIÓN DE LA EJECUCIÓN DE LA PENA.</w:t>
      </w:r>
      <w:bookmarkEnd w:id="4"/>
      <w:r w:rsidRPr="00C506E7">
        <w:rPr>
          <w:rStyle w:val="apple-converted-space"/>
          <w:b/>
          <w:bCs/>
          <w:i/>
          <w:iCs/>
          <w:color w:val="000000" w:themeColor="text1"/>
          <w:sz w:val="22"/>
          <w:szCs w:val="22"/>
          <w:lang w:val="es-ES_tradnl"/>
        </w:rPr>
        <w:t> </w:t>
      </w:r>
      <w:r w:rsidRPr="00C506E7">
        <w:rPr>
          <w:i/>
          <w:iCs/>
          <w:color w:val="000000" w:themeColor="text1"/>
          <w:sz w:val="22"/>
          <w:szCs w:val="22"/>
          <w:lang w:val="es-ES_tradnl"/>
        </w:rPr>
        <w:t>&lt;Artículo modificado por el artículo</w:t>
      </w:r>
      <w:r w:rsidRPr="00C506E7">
        <w:rPr>
          <w:rStyle w:val="apple-converted-space"/>
          <w:i/>
          <w:iCs/>
          <w:color w:val="000000" w:themeColor="text1"/>
          <w:sz w:val="22"/>
          <w:szCs w:val="22"/>
          <w:lang w:val="es-ES_tradnl"/>
        </w:rPr>
        <w:t> </w:t>
      </w:r>
      <w:r w:rsidR="00507829" w:rsidRPr="00C506E7">
        <w:rPr>
          <w:rFonts w:eastAsia="SimSun"/>
          <w:i/>
          <w:iCs/>
          <w:sz w:val="22"/>
          <w:szCs w:val="22"/>
          <w:lang w:val="es-ES_tradnl"/>
        </w:rPr>
        <w:t>29</w:t>
      </w:r>
      <w:r w:rsidRPr="00C506E7">
        <w:rPr>
          <w:rStyle w:val="apple-converted-space"/>
          <w:i/>
          <w:iCs/>
          <w:color w:val="000000" w:themeColor="text1"/>
          <w:sz w:val="22"/>
          <w:szCs w:val="22"/>
          <w:lang w:val="es-ES_tradnl"/>
        </w:rPr>
        <w:t> </w:t>
      </w:r>
      <w:r w:rsidRPr="00C506E7">
        <w:rPr>
          <w:i/>
          <w:iCs/>
          <w:color w:val="000000" w:themeColor="text1"/>
          <w:sz w:val="22"/>
          <w:szCs w:val="22"/>
          <w:lang w:val="es-ES_tradnl"/>
        </w:rPr>
        <w:t>de la Ley 1709 de 2014. El nuevo texto es el siguiente:&gt; La ejecución de la pena privativa de la libertad impuesta en sentencia de primera, segunda o única instancia, se suspenderá por un período de dos (2) a cinco (5) años, de oficio o a petición del interesado, siempre que concurran los siguientes requisitos:</w:t>
      </w:r>
      <w:r w:rsidRPr="00C506E7">
        <w:rPr>
          <w:rStyle w:val="apple-converted-space"/>
          <w:i/>
          <w:iCs/>
          <w:color w:val="000000" w:themeColor="text1"/>
          <w:sz w:val="22"/>
          <w:szCs w:val="22"/>
          <w:lang w:val="es-ES_tradnl"/>
        </w:rPr>
        <w:t> </w:t>
      </w:r>
    </w:p>
    <w:p w14:paraId="3005926A" w14:textId="77777777" w:rsidR="000D4F7B" w:rsidRPr="00C506E7" w:rsidRDefault="000D4F7B" w:rsidP="00E067C2">
      <w:pPr>
        <w:pStyle w:val="NormalWeb"/>
        <w:spacing w:before="0" w:beforeAutospacing="0" w:after="0" w:afterAutospacing="0"/>
        <w:ind w:left="851" w:right="475"/>
        <w:jc w:val="both"/>
        <w:rPr>
          <w:i/>
          <w:iCs/>
          <w:color w:val="000000" w:themeColor="text1"/>
          <w:sz w:val="22"/>
          <w:szCs w:val="22"/>
          <w:lang w:val="es-ES_tradnl" w:eastAsia="es-MX"/>
        </w:rPr>
      </w:pPr>
    </w:p>
    <w:p w14:paraId="493E2AD7" w14:textId="77777777" w:rsidR="000753E8" w:rsidRPr="00C506E7" w:rsidRDefault="000753E8" w:rsidP="00E067C2">
      <w:pPr>
        <w:pStyle w:val="NormalWeb"/>
        <w:spacing w:before="0" w:beforeAutospacing="0" w:after="0" w:afterAutospacing="0"/>
        <w:ind w:left="851" w:right="475"/>
        <w:jc w:val="both"/>
        <w:rPr>
          <w:rStyle w:val="apple-converted-space"/>
          <w:i/>
          <w:iCs/>
          <w:color w:val="000000" w:themeColor="text1"/>
          <w:sz w:val="22"/>
          <w:szCs w:val="22"/>
          <w:lang w:val="es-ES_tradnl"/>
        </w:rPr>
      </w:pPr>
      <w:r w:rsidRPr="00C506E7">
        <w:rPr>
          <w:i/>
          <w:iCs/>
          <w:color w:val="000000" w:themeColor="text1"/>
          <w:sz w:val="22"/>
          <w:szCs w:val="22"/>
          <w:lang w:val="es-ES_tradnl"/>
        </w:rPr>
        <w:t>1. Que la pena impuesta sea de prisión que no exceda de cuatro (4) años.</w:t>
      </w:r>
      <w:r w:rsidRPr="00C506E7">
        <w:rPr>
          <w:rStyle w:val="apple-converted-space"/>
          <w:i/>
          <w:iCs/>
          <w:color w:val="000000" w:themeColor="text1"/>
          <w:sz w:val="22"/>
          <w:szCs w:val="22"/>
          <w:lang w:val="es-ES_tradnl"/>
        </w:rPr>
        <w:t> </w:t>
      </w:r>
    </w:p>
    <w:p w14:paraId="77AA755B" w14:textId="77777777" w:rsidR="000D4F7B" w:rsidRPr="00C506E7" w:rsidRDefault="000D4F7B" w:rsidP="00E067C2">
      <w:pPr>
        <w:pStyle w:val="NormalWeb"/>
        <w:spacing w:before="0" w:beforeAutospacing="0" w:after="0" w:afterAutospacing="0"/>
        <w:ind w:left="851" w:right="475"/>
        <w:jc w:val="both"/>
        <w:rPr>
          <w:i/>
          <w:iCs/>
          <w:color w:val="000000" w:themeColor="text1"/>
          <w:sz w:val="22"/>
          <w:szCs w:val="22"/>
          <w:lang w:val="es-ES_tradnl"/>
        </w:rPr>
      </w:pPr>
    </w:p>
    <w:p w14:paraId="70FE572A" w14:textId="77777777" w:rsidR="000753E8" w:rsidRPr="00C506E7" w:rsidRDefault="000753E8" w:rsidP="00E067C2">
      <w:pPr>
        <w:pStyle w:val="NormalWeb"/>
        <w:spacing w:before="0" w:beforeAutospacing="0" w:after="0" w:afterAutospacing="0"/>
        <w:ind w:left="851" w:right="475"/>
        <w:jc w:val="both"/>
        <w:rPr>
          <w:rStyle w:val="apple-converted-space"/>
          <w:i/>
          <w:iCs/>
          <w:color w:val="000000" w:themeColor="text1"/>
          <w:sz w:val="22"/>
          <w:szCs w:val="22"/>
          <w:lang w:val="es-ES_tradnl"/>
        </w:rPr>
      </w:pPr>
      <w:r w:rsidRPr="00C506E7">
        <w:rPr>
          <w:i/>
          <w:iCs/>
          <w:color w:val="000000" w:themeColor="text1"/>
          <w:sz w:val="22"/>
          <w:szCs w:val="22"/>
          <w:lang w:val="es-ES_tradnl"/>
        </w:rPr>
        <w:t>2. Si la persona condenada carece de antecedentes penales y no se trata de uno de los delitos contenidos el inciso 2o del artículo</w:t>
      </w:r>
      <w:r w:rsidRPr="00C506E7">
        <w:rPr>
          <w:rStyle w:val="apple-converted-space"/>
          <w:i/>
          <w:iCs/>
          <w:color w:val="000000" w:themeColor="text1"/>
          <w:sz w:val="22"/>
          <w:szCs w:val="22"/>
          <w:lang w:val="es-ES_tradnl"/>
        </w:rPr>
        <w:t> </w:t>
      </w:r>
      <w:hyperlink r:id="rId9" w:anchor="68A" w:history="1">
        <w:r w:rsidRPr="00C506E7">
          <w:rPr>
            <w:rStyle w:val="Hipervnculo"/>
            <w:rFonts w:eastAsia="SimSun"/>
            <w:i/>
            <w:iCs/>
            <w:color w:val="000000" w:themeColor="text1"/>
            <w:sz w:val="22"/>
            <w:szCs w:val="22"/>
            <w:u w:val="none"/>
            <w:lang w:val="es-ES_tradnl"/>
          </w:rPr>
          <w:t>68A</w:t>
        </w:r>
      </w:hyperlink>
      <w:r w:rsidRPr="00C506E7">
        <w:rPr>
          <w:rStyle w:val="apple-converted-space"/>
          <w:i/>
          <w:iCs/>
          <w:color w:val="000000" w:themeColor="text1"/>
          <w:sz w:val="22"/>
          <w:szCs w:val="22"/>
          <w:lang w:val="es-ES_tradnl"/>
        </w:rPr>
        <w:t> </w:t>
      </w:r>
      <w:r w:rsidRPr="00C506E7">
        <w:rPr>
          <w:i/>
          <w:iCs/>
          <w:color w:val="000000" w:themeColor="text1"/>
          <w:sz w:val="22"/>
          <w:szCs w:val="22"/>
          <w:lang w:val="es-ES_tradnl"/>
        </w:rPr>
        <w:t>de la Ley 599 de 2000, el juez de conocimiento concederá la medida con base solamente en el requisito objetivo señalado en el numeral 1 de este artículo.</w:t>
      </w:r>
      <w:r w:rsidRPr="00C506E7">
        <w:rPr>
          <w:rStyle w:val="apple-converted-space"/>
          <w:i/>
          <w:iCs/>
          <w:color w:val="000000" w:themeColor="text1"/>
          <w:sz w:val="22"/>
          <w:szCs w:val="22"/>
          <w:lang w:val="es-ES_tradnl"/>
        </w:rPr>
        <w:t> </w:t>
      </w:r>
    </w:p>
    <w:p w14:paraId="0D4D98C9" w14:textId="77777777" w:rsidR="000D4F7B" w:rsidRPr="00C506E7" w:rsidRDefault="000D4F7B" w:rsidP="00E067C2">
      <w:pPr>
        <w:pStyle w:val="NormalWeb"/>
        <w:spacing w:before="0" w:beforeAutospacing="0" w:after="0" w:afterAutospacing="0"/>
        <w:ind w:left="851" w:right="475"/>
        <w:jc w:val="both"/>
        <w:rPr>
          <w:i/>
          <w:iCs/>
          <w:color w:val="000000" w:themeColor="text1"/>
          <w:sz w:val="22"/>
          <w:szCs w:val="22"/>
          <w:lang w:val="es-ES_tradnl"/>
        </w:rPr>
      </w:pPr>
    </w:p>
    <w:p w14:paraId="6862D706" w14:textId="77777777" w:rsidR="000753E8" w:rsidRPr="00C506E7" w:rsidRDefault="000753E8" w:rsidP="00E067C2">
      <w:pPr>
        <w:pStyle w:val="NormalWeb"/>
        <w:spacing w:before="0" w:beforeAutospacing="0" w:after="0" w:afterAutospacing="0"/>
        <w:ind w:left="851" w:right="475"/>
        <w:jc w:val="both"/>
        <w:rPr>
          <w:rStyle w:val="apple-converted-space"/>
          <w:i/>
          <w:iCs/>
          <w:color w:val="000000" w:themeColor="text1"/>
          <w:sz w:val="22"/>
          <w:szCs w:val="22"/>
          <w:lang w:val="es-ES_tradnl"/>
        </w:rPr>
      </w:pPr>
      <w:r w:rsidRPr="00C506E7">
        <w:rPr>
          <w:i/>
          <w:iCs/>
          <w:color w:val="000000" w:themeColor="text1"/>
          <w:sz w:val="22"/>
          <w:szCs w:val="22"/>
          <w:lang w:val="es-ES_tradnl"/>
        </w:rPr>
        <w:t>3. Si la persona condenada tiene antecedentes penales por delito doloso dentro de los cinco (5) años anteriores, el juez podrá conceder la medida cuando los antecedentes personales, sociales y familiares del sentenciado sean indicativos de que no existe necesidad de ejecución de la pena.</w:t>
      </w:r>
      <w:r w:rsidRPr="00C506E7">
        <w:rPr>
          <w:rStyle w:val="apple-converted-space"/>
          <w:i/>
          <w:iCs/>
          <w:color w:val="000000" w:themeColor="text1"/>
          <w:sz w:val="22"/>
          <w:szCs w:val="22"/>
          <w:lang w:val="es-ES_tradnl"/>
        </w:rPr>
        <w:t> </w:t>
      </w:r>
    </w:p>
    <w:p w14:paraId="1E470482" w14:textId="77777777" w:rsidR="000D4F7B" w:rsidRPr="00C506E7" w:rsidRDefault="000D4F7B" w:rsidP="00E067C2">
      <w:pPr>
        <w:pStyle w:val="NormalWeb"/>
        <w:spacing w:before="0" w:beforeAutospacing="0" w:after="0" w:afterAutospacing="0"/>
        <w:ind w:left="851" w:right="475"/>
        <w:jc w:val="both"/>
        <w:rPr>
          <w:i/>
          <w:iCs/>
          <w:color w:val="000000" w:themeColor="text1"/>
          <w:sz w:val="22"/>
          <w:szCs w:val="22"/>
          <w:lang w:val="es-ES_tradnl"/>
        </w:rPr>
      </w:pPr>
    </w:p>
    <w:p w14:paraId="32DFE942" w14:textId="77777777" w:rsidR="000753E8" w:rsidRPr="00C506E7" w:rsidRDefault="000753E8" w:rsidP="00E067C2">
      <w:pPr>
        <w:pStyle w:val="NormalWeb"/>
        <w:spacing w:before="0" w:beforeAutospacing="0" w:after="0" w:afterAutospacing="0"/>
        <w:ind w:left="851" w:right="475"/>
        <w:jc w:val="both"/>
        <w:rPr>
          <w:rStyle w:val="apple-converted-space"/>
          <w:i/>
          <w:iCs/>
          <w:color w:val="000000" w:themeColor="text1"/>
          <w:sz w:val="22"/>
          <w:szCs w:val="22"/>
          <w:lang w:val="es-ES_tradnl"/>
        </w:rPr>
      </w:pPr>
      <w:r w:rsidRPr="00C506E7">
        <w:rPr>
          <w:i/>
          <w:iCs/>
          <w:color w:val="000000" w:themeColor="text1"/>
          <w:sz w:val="22"/>
          <w:szCs w:val="22"/>
          <w:lang w:val="es-ES_tradnl"/>
        </w:rPr>
        <w:t>La suspensión de la ejecución de la pena privativa de la libertad no será extensiva a la responsabilidad civil derivada de la conducta punible.</w:t>
      </w:r>
      <w:r w:rsidRPr="00C506E7">
        <w:rPr>
          <w:rStyle w:val="apple-converted-space"/>
          <w:i/>
          <w:iCs/>
          <w:color w:val="000000" w:themeColor="text1"/>
          <w:sz w:val="22"/>
          <w:szCs w:val="22"/>
          <w:lang w:val="es-ES_tradnl"/>
        </w:rPr>
        <w:t> </w:t>
      </w:r>
    </w:p>
    <w:p w14:paraId="6F11A627" w14:textId="77777777" w:rsidR="000D4F7B" w:rsidRPr="000D4F7B" w:rsidRDefault="000D4F7B" w:rsidP="00E067C2">
      <w:pPr>
        <w:pStyle w:val="NormalWeb"/>
        <w:spacing w:before="0" w:beforeAutospacing="0" w:after="0" w:afterAutospacing="0"/>
        <w:ind w:left="851" w:right="475"/>
        <w:jc w:val="both"/>
        <w:rPr>
          <w:i/>
          <w:iCs/>
          <w:color w:val="000000" w:themeColor="text1"/>
          <w:sz w:val="22"/>
          <w:szCs w:val="22"/>
          <w:highlight w:val="yellow"/>
          <w:lang w:val="es-ES_tradnl"/>
        </w:rPr>
      </w:pPr>
    </w:p>
    <w:p w14:paraId="530447EA" w14:textId="55819E16" w:rsidR="000753E8" w:rsidRPr="00C506E7" w:rsidRDefault="000753E8" w:rsidP="00E067C2">
      <w:pPr>
        <w:pStyle w:val="NormalWeb"/>
        <w:spacing w:before="0" w:beforeAutospacing="0" w:after="0" w:afterAutospacing="0"/>
        <w:ind w:left="851" w:right="475"/>
        <w:jc w:val="both"/>
        <w:rPr>
          <w:i/>
          <w:iCs/>
          <w:color w:val="000000" w:themeColor="text1"/>
          <w:sz w:val="22"/>
          <w:szCs w:val="22"/>
          <w:lang w:val="es-ES_tradnl"/>
        </w:rPr>
      </w:pPr>
      <w:r w:rsidRPr="00C506E7">
        <w:rPr>
          <w:i/>
          <w:iCs/>
          <w:color w:val="000000" w:themeColor="text1"/>
          <w:sz w:val="22"/>
          <w:szCs w:val="22"/>
          <w:lang w:val="es-ES_tradnl"/>
        </w:rPr>
        <w:lastRenderedPageBreak/>
        <w:t>El juez podrá exigir el cumplimiento de las penas no privativas de la libertad accesorias a esta. En todo caso cuando se trate de lo dispuesto en el inciso final del artículo</w:t>
      </w:r>
      <w:r w:rsidRPr="00C506E7">
        <w:rPr>
          <w:rStyle w:val="apple-converted-space"/>
          <w:i/>
          <w:iCs/>
          <w:color w:val="000000" w:themeColor="text1"/>
          <w:sz w:val="22"/>
          <w:szCs w:val="22"/>
          <w:lang w:val="es-ES_tradnl"/>
        </w:rPr>
        <w:t> </w:t>
      </w:r>
      <w:hyperlink r:id="rId10" w:anchor="122" w:history="1">
        <w:r w:rsidRPr="00C506E7">
          <w:rPr>
            <w:rStyle w:val="Hipervnculo"/>
            <w:rFonts w:eastAsia="SimSun"/>
            <w:i/>
            <w:iCs/>
            <w:color w:val="000000" w:themeColor="text1"/>
            <w:sz w:val="22"/>
            <w:szCs w:val="22"/>
            <w:u w:val="none"/>
            <w:lang w:val="es-ES_tradnl"/>
          </w:rPr>
          <w:t>122</w:t>
        </w:r>
      </w:hyperlink>
      <w:r w:rsidRPr="00C506E7">
        <w:rPr>
          <w:rStyle w:val="apple-converted-space"/>
          <w:i/>
          <w:iCs/>
          <w:color w:val="000000" w:themeColor="text1"/>
          <w:sz w:val="22"/>
          <w:szCs w:val="22"/>
          <w:lang w:val="es-ES_tradnl"/>
        </w:rPr>
        <w:t> </w:t>
      </w:r>
      <w:r w:rsidRPr="00C506E7">
        <w:rPr>
          <w:i/>
          <w:iCs/>
          <w:color w:val="000000" w:themeColor="text1"/>
          <w:sz w:val="22"/>
          <w:szCs w:val="22"/>
          <w:lang w:val="es-ES_tradnl"/>
        </w:rPr>
        <w:t>de la Constitución Política se exigirá su cumplimiento</w:t>
      </w:r>
      <w:r w:rsidRPr="00C506E7">
        <w:rPr>
          <w:color w:val="000000" w:themeColor="text1"/>
          <w:sz w:val="22"/>
          <w:szCs w:val="22"/>
          <w:lang w:val="es-ES_tradnl"/>
        </w:rPr>
        <w:t>”</w:t>
      </w:r>
      <w:r w:rsidRPr="00C506E7">
        <w:rPr>
          <w:i/>
          <w:iCs/>
          <w:color w:val="000000" w:themeColor="text1"/>
          <w:sz w:val="22"/>
          <w:szCs w:val="22"/>
          <w:lang w:val="es-ES_tradnl"/>
        </w:rPr>
        <w:t>.</w:t>
      </w:r>
    </w:p>
    <w:p w14:paraId="4F7BE994" w14:textId="77777777" w:rsidR="000D4F7B" w:rsidRPr="00C506E7" w:rsidRDefault="000D4F7B" w:rsidP="00E067C2">
      <w:pPr>
        <w:pStyle w:val="NormalWeb"/>
        <w:spacing w:before="0" w:beforeAutospacing="0" w:after="0" w:afterAutospacing="0"/>
        <w:ind w:left="851" w:right="475"/>
        <w:jc w:val="both"/>
        <w:rPr>
          <w:i/>
          <w:iCs/>
          <w:color w:val="000000" w:themeColor="text1"/>
          <w:sz w:val="22"/>
          <w:szCs w:val="22"/>
          <w:lang w:val="es-ES_tradnl"/>
        </w:rPr>
      </w:pPr>
    </w:p>
    <w:p w14:paraId="2CB1DD4E" w14:textId="630496FB" w:rsidR="000753E8" w:rsidRPr="00C506E7" w:rsidRDefault="000753E8" w:rsidP="00E067C2">
      <w:pPr>
        <w:ind w:left="851" w:right="475"/>
        <w:contextualSpacing/>
        <w:jc w:val="center"/>
        <w:rPr>
          <w:b/>
          <w:bCs/>
          <w:color w:val="000000" w:themeColor="text1"/>
          <w:sz w:val="22"/>
          <w:szCs w:val="22"/>
        </w:rPr>
      </w:pPr>
      <w:r w:rsidRPr="00C506E7">
        <w:rPr>
          <w:color w:val="000000" w:themeColor="text1"/>
          <w:sz w:val="22"/>
          <w:szCs w:val="22"/>
          <w:lang w:val="es-ES_tradnl"/>
        </w:rPr>
        <w:t>“</w:t>
      </w:r>
      <w:r w:rsidRPr="00C506E7">
        <w:rPr>
          <w:b/>
          <w:bCs/>
          <w:color w:val="000000" w:themeColor="text1"/>
          <w:sz w:val="22"/>
          <w:szCs w:val="22"/>
        </w:rPr>
        <w:t>LEY 906 de 2004</w:t>
      </w:r>
    </w:p>
    <w:p w14:paraId="1B2BB58B" w14:textId="578E933E" w:rsidR="000753E8" w:rsidRPr="00C506E7" w:rsidRDefault="000753E8" w:rsidP="00E067C2">
      <w:pPr>
        <w:ind w:left="851" w:right="475"/>
        <w:contextualSpacing/>
        <w:jc w:val="center"/>
        <w:rPr>
          <w:color w:val="000000" w:themeColor="text1"/>
          <w:sz w:val="22"/>
          <w:szCs w:val="22"/>
        </w:rPr>
      </w:pPr>
      <w:r w:rsidRPr="00C506E7">
        <w:rPr>
          <w:color w:val="000000" w:themeColor="text1"/>
          <w:sz w:val="22"/>
          <w:szCs w:val="22"/>
        </w:rPr>
        <w:t>(agosto 31)</w:t>
      </w:r>
    </w:p>
    <w:p w14:paraId="6CA5FB0D" w14:textId="77777777" w:rsidR="000753E8" w:rsidRPr="00C506E7" w:rsidRDefault="000753E8" w:rsidP="00E067C2">
      <w:pPr>
        <w:ind w:left="851" w:right="475"/>
        <w:contextualSpacing/>
        <w:jc w:val="center"/>
        <w:rPr>
          <w:color w:val="000000" w:themeColor="text1"/>
          <w:sz w:val="22"/>
          <w:szCs w:val="22"/>
        </w:rPr>
      </w:pPr>
    </w:p>
    <w:p w14:paraId="72FE0E22" w14:textId="21C45531" w:rsidR="000753E8" w:rsidRPr="00C506E7" w:rsidRDefault="000753E8" w:rsidP="00E067C2">
      <w:pPr>
        <w:ind w:left="851" w:right="475"/>
        <w:contextualSpacing/>
        <w:jc w:val="center"/>
        <w:rPr>
          <w:i/>
          <w:iCs/>
          <w:color w:val="000000" w:themeColor="text1"/>
          <w:sz w:val="22"/>
          <w:szCs w:val="22"/>
        </w:rPr>
      </w:pPr>
      <w:r w:rsidRPr="00C506E7">
        <w:rPr>
          <w:i/>
          <w:iCs/>
          <w:color w:val="000000" w:themeColor="text1"/>
          <w:sz w:val="22"/>
          <w:szCs w:val="22"/>
        </w:rPr>
        <w:t>Por el cual se expide el Código de Procedimiento Penal</w:t>
      </w:r>
    </w:p>
    <w:p w14:paraId="17712112" w14:textId="77777777" w:rsidR="000753E8" w:rsidRPr="00C506E7" w:rsidRDefault="000753E8" w:rsidP="00E067C2">
      <w:pPr>
        <w:ind w:left="851" w:right="475"/>
        <w:contextualSpacing/>
        <w:jc w:val="center"/>
        <w:rPr>
          <w:i/>
          <w:iCs/>
          <w:color w:val="000000" w:themeColor="text1"/>
          <w:sz w:val="22"/>
          <w:szCs w:val="22"/>
        </w:rPr>
      </w:pPr>
    </w:p>
    <w:p w14:paraId="6A0E669C" w14:textId="2F5E21D2" w:rsidR="000753E8" w:rsidRPr="00C506E7" w:rsidRDefault="000753E8" w:rsidP="00E067C2">
      <w:pPr>
        <w:ind w:left="851" w:right="475"/>
        <w:contextualSpacing/>
        <w:jc w:val="center"/>
        <w:rPr>
          <w:i/>
          <w:iCs/>
          <w:color w:val="000000" w:themeColor="text1"/>
          <w:sz w:val="22"/>
          <w:szCs w:val="22"/>
        </w:rPr>
      </w:pPr>
      <w:r w:rsidRPr="00C506E7">
        <w:rPr>
          <w:i/>
          <w:iCs/>
          <w:color w:val="000000" w:themeColor="text1"/>
          <w:sz w:val="22"/>
          <w:szCs w:val="22"/>
        </w:rPr>
        <w:t>El Congreso de la República</w:t>
      </w:r>
    </w:p>
    <w:p w14:paraId="45835BEB" w14:textId="77777777" w:rsidR="000753E8" w:rsidRPr="00C506E7" w:rsidRDefault="000753E8" w:rsidP="00E067C2">
      <w:pPr>
        <w:ind w:left="851" w:right="475"/>
        <w:contextualSpacing/>
        <w:jc w:val="center"/>
        <w:rPr>
          <w:i/>
          <w:iCs/>
          <w:color w:val="000000" w:themeColor="text1"/>
          <w:sz w:val="22"/>
          <w:szCs w:val="22"/>
        </w:rPr>
      </w:pPr>
    </w:p>
    <w:p w14:paraId="5A88AE96" w14:textId="721B0251" w:rsidR="000753E8" w:rsidRPr="00C506E7" w:rsidRDefault="000753E8" w:rsidP="00E067C2">
      <w:pPr>
        <w:ind w:left="851" w:right="475"/>
        <w:contextualSpacing/>
        <w:jc w:val="center"/>
        <w:rPr>
          <w:i/>
          <w:iCs/>
          <w:color w:val="000000" w:themeColor="text1"/>
          <w:sz w:val="22"/>
          <w:szCs w:val="22"/>
        </w:rPr>
      </w:pPr>
      <w:r w:rsidRPr="00C506E7">
        <w:rPr>
          <w:i/>
          <w:iCs/>
          <w:color w:val="000000" w:themeColor="text1"/>
          <w:sz w:val="22"/>
          <w:szCs w:val="22"/>
        </w:rPr>
        <w:t>DECRETA:</w:t>
      </w:r>
      <w:r w:rsidR="000D4F7B" w:rsidRPr="00C506E7">
        <w:rPr>
          <w:i/>
          <w:iCs/>
          <w:color w:val="000000" w:themeColor="text1"/>
          <w:sz w:val="22"/>
          <w:szCs w:val="22"/>
        </w:rPr>
        <w:t xml:space="preserve"> </w:t>
      </w:r>
      <w:r w:rsidRPr="00C506E7">
        <w:rPr>
          <w:i/>
          <w:iCs/>
          <w:color w:val="000000" w:themeColor="text1"/>
          <w:sz w:val="22"/>
          <w:szCs w:val="22"/>
        </w:rPr>
        <w:t>[…]</w:t>
      </w:r>
    </w:p>
    <w:p w14:paraId="32BFEB7A" w14:textId="77777777" w:rsidR="000D4F7B" w:rsidRPr="00C506E7" w:rsidRDefault="000D4F7B" w:rsidP="00E067C2">
      <w:pPr>
        <w:ind w:left="851" w:right="475"/>
        <w:contextualSpacing/>
        <w:jc w:val="center"/>
        <w:rPr>
          <w:i/>
          <w:iCs/>
          <w:color w:val="000000" w:themeColor="text1"/>
          <w:sz w:val="22"/>
          <w:szCs w:val="22"/>
        </w:rPr>
      </w:pPr>
    </w:p>
    <w:p w14:paraId="3C70EC87"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bookmarkStart w:id="5" w:name="177"/>
      <w:r w:rsidRPr="00C506E7">
        <w:rPr>
          <w:rStyle w:val="baj"/>
          <w:rFonts w:eastAsiaTheme="majorEastAsia"/>
          <w:b/>
          <w:bCs/>
          <w:i/>
          <w:iCs/>
          <w:color w:val="000000" w:themeColor="text1"/>
          <w:sz w:val="22"/>
          <w:szCs w:val="22"/>
          <w:lang w:val="es-ES_tradnl"/>
        </w:rPr>
        <w:t>ARTÍCULO 177. EFECTOS.</w:t>
      </w:r>
      <w:bookmarkEnd w:id="5"/>
      <w:r w:rsidRPr="00C506E7">
        <w:rPr>
          <w:rStyle w:val="baj"/>
          <w:rFonts w:eastAsiaTheme="majorEastAsia"/>
          <w:i/>
          <w:iCs/>
          <w:color w:val="000000" w:themeColor="text1"/>
          <w:sz w:val="22"/>
          <w:szCs w:val="22"/>
          <w:lang w:val="es-ES_tradnl"/>
        </w:rPr>
        <w:t> &lt;Artículo modificado por el artículo </w:t>
      </w:r>
      <w:hyperlink r:id="rId11" w:anchor="13" w:history="1">
        <w:r w:rsidRPr="00C506E7">
          <w:rPr>
            <w:rStyle w:val="baj"/>
            <w:rFonts w:eastAsiaTheme="majorEastAsia"/>
            <w:i/>
            <w:iCs/>
            <w:color w:val="000000" w:themeColor="text1"/>
            <w:sz w:val="22"/>
            <w:szCs w:val="22"/>
            <w:lang w:val="es-ES_tradnl"/>
          </w:rPr>
          <w:t>13</w:t>
        </w:r>
      </w:hyperlink>
      <w:r w:rsidRPr="00C506E7">
        <w:rPr>
          <w:rStyle w:val="baj"/>
          <w:rFonts w:eastAsiaTheme="majorEastAsia"/>
          <w:i/>
          <w:iCs/>
          <w:color w:val="000000" w:themeColor="text1"/>
          <w:sz w:val="22"/>
          <w:szCs w:val="22"/>
          <w:lang w:val="es-ES_tradnl"/>
        </w:rPr>
        <w:t> de la Ley 1142 de 2007. El nuevo texto es el siguiente:&gt; La apelación se concederá:</w:t>
      </w:r>
    </w:p>
    <w:p w14:paraId="62733C48" w14:textId="77777777" w:rsidR="000D4F7B" w:rsidRPr="00C506E7" w:rsidRDefault="000D4F7B"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p>
    <w:p w14:paraId="532EDAEC"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En el efecto suspensivo, en cuyo caso la competencia de quien profirió la decisión objeto de recurso se suspenderá desde ese momento hasta cuando la apelación se resuelva:</w:t>
      </w:r>
    </w:p>
    <w:p w14:paraId="1DA982CC" w14:textId="77777777" w:rsidR="000D4F7B" w:rsidRPr="00C506E7" w:rsidRDefault="000D4F7B"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p>
    <w:p w14:paraId="47916E72"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1. La sentencia condenatoria o absolutoria.</w:t>
      </w:r>
    </w:p>
    <w:p w14:paraId="023C53B3" w14:textId="28FB84C4"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2. El auto que decreta o rechaza la solicitud de preclusión.</w:t>
      </w:r>
    </w:p>
    <w:p w14:paraId="5F63A303"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3. El auto que decide la nulidad.</w:t>
      </w:r>
    </w:p>
    <w:p w14:paraId="0C7191A6"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4. El auto que niega la práctica de prueba en el juicio oral; y</w:t>
      </w:r>
    </w:p>
    <w:p w14:paraId="7BED3277"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5. El auto que decide sobre la exclusión de una prueba del juicio oral.</w:t>
      </w:r>
    </w:p>
    <w:p w14:paraId="08DD6E66" w14:textId="77777777" w:rsidR="000D4F7B" w:rsidRPr="00C506E7" w:rsidRDefault="000D4F7B"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p>
    <w:p w14:paraId="55B60307" w14:textId="74916505"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En el efecto devolutivo, en cuyo caso no se suspenderá el cumplimiento de la decisión apelada ni el curso de la actuación:</w:t>
      </w:r>
    </w:p>
    <w:p w14:paraId="203D80A1" w14:textId="77777777" w:rsidR="000D4F7B" w:rsidRPr="00C506E7" w:rsidRDefault="000D4F7B"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p>
    <w:p w14:paraId="429F10DD"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1. El auto que resuelve sobre la imposición, revocatoria o sustitución de una medida de aseguramiento.</w:t>
      </w:r>
    </w:p>
    <w:p w14:paraId="6B56C8A5"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2. El auto que resuelve sobre la imposición de una medida cautelar que afecte bienes del imputado o acusado.</w:t>
      </w:r>
    </w:p>
    <w:p w14:paraId="7B5C6463"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3. El auto que resuelve sobre la legalización de captura.</w:t>
      </w:r>
    </w:p>
    <w:p w14:paraId="2284334F"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4. El auto que decide sobre el control de legalidad del diligenciamiento de las órdenes de allanamiento y registro, retención de correspondencia, interceptación de comunicaciones o recuperación de información dejada al navegar por Internet u otros medios similares.</w:t>
      </w:r>
    </w:p>
    <w:p w14:paraId="44B13597" w14:textId="77777777" w:rsidR="000753E8"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5. El auto que imprueba la aplicación del principio de oportunidad en la etapa de investigación; y</w:t>
      </w:r>
    </w:p>
    <w:p w14:paraId="2205D0FA" w14:textId="52D08097" w:rsidR="008D62CF" w:rsidRPr="00C506E7" w:rsidRDefault="000753E8" w:rsidP="00E067C2">
      <w:pPr>
        <w:pStyle w:val="NormalWeb"/>
        <w:spacing w:before="0" w:beforeAutospacing="0" w:after="0" w:afterAutospacing="0"/>
        <w:ind w:left="851" w:right="475"/>
        <w:jc w:val="both"/>
        <w:rPr>
          <w:rStyle w:val="baj"/>
          <w:rFonts w:eastAsiaTheme="majorEastAsia"/>
          <w:i/>
          <w:iCs/>
          <w:color w:val="000000" w:themeColor="text1"/>
          <w:sz w:val="22"/>
          <w:szCs w:val="22"/>
          <w:lang w:val="es-ES_tradnl"/>
        </w:rPr>
      </w:pPr>
      <w:r w:rsidRPr="00C506E7">
        <w:rPr>
          <w:rStyle w:val="baj"/>
          <w:rFonts w:eastAsiaTheme="majorEastAsia"/>
          <w:i/>
          <w:iCs/>
          <w:color w:val="000000" w:themeColor="text1"/>
          <w:sz w:val="22"/>
          <w:szCs w:val="22"/>
          <w:lang w:val="es-ES_tradnl"/>
        </w:rPr>
        <w:t>6. El auto que admite la práctica de la prueba anticipada</w:t>
      </w:r>
      <w:r w:rsidRPr="00C506E7">
        <w:rPr>
          <w:rStyle w:val="baj"/>
          <w:rFonts w:eastAsiaTheme="majorEastAsia"/>
          <w:color w:val="000000" w:themeColor="text1"/>
          <w:sz w:val="22"/>
          <w:szCs w:val="22"/>
          <w:lang w:val="es-ES_tradnl"/>
        </w:rPr>
        <w:t>”</w:t>
      </w:r>
      <w:r w:rsidRPr="00C506E7">
        <w:rPr>
          <w:rStyle w:val="baj"/>
          <w:rFonts w:eastAsiaTheme="majorEastAsia"/>
          <w:i/>
          <w:iCs/>
          <w:color w:val="000000" w:themeColor="text1"/>
          <w:sz w:val="22"/>
          <w:szCs w:val="22"/>
          <w:lang w:val="es-ES_tradnl"/>
        </w:rPr>
        <w:t>.</w:t>
      </w:r>
    </w:p>
    <w:p w14:paraId="28B924DE" w14:textId="77777777" w:rsidR="000D4F7B" w:rsidRPr="00C506E7" w:rsidRDefault="000D4F7B" w:rsidP="00E067C2">
      <w:pPr>
        <w:pStyle w:val="NormalWeb"/>
        <w:spacing w:before="0" w:beforeAutospacing="0" w:after="0" w:afterAutospacing="0"/>
        <w:ind w:left="567" w:right="616"/>
        <w:jc w:val="both"/>
        <w:rPr>
          <w:rFonts w:eastAsiaTheme="majorEastAsia"/>
          <w:i/>
          <w:iCs/>
          <w:color w:val="000000" w:themeColor="text1"/>
          <w:sz w:val="22"/>
          <w:szCs w:val="22"/>
          <w:lang w:val="es-ES_tradnl"/>
        </w:rPr>
      </w:pPr>
    </w:p>
    <w:p w14:paraId="542ED605" w14:textId="1B6D85A5" w:rsidR="008D62CF" w:rsidRPr="00C506E7" w:rsidRDefault="008D62CF" w:rsidP="00E067C2">
      <w:pPr>
        <w:pStyle w:val="Prrafodelista"/>
        <w:widowControl w:val="0"/>
        <w:numPr>
          <w:ilvl w:val="1"/>
          <w:numId w:val="12"/>
        </w:numPr>
        <w:ind w:left="1134" w:hanging="567"/>
        <w:jc w:val="both"/>
        <w:outlineLvl w:val="0"/>
        <w:rPr>
          <w:rFonts w:eastAsia="Cambria"/>
          <w:b/>
          <w:bCs/>
          <w:color w:val="000000" w:themeColor="text1"/>
          <w:sz w:val="28"/>
          <w:szCs w:val="28"/>
          <w:lang w:val="es-CO" w:eastAsia="es-CO"/>
        </w:rPr>
      </w:pPr>
      <w:r w:rsidRPr="00C506E7">
        <w:rPr>
          <w:rFonts w:eastAsia="Cambria"/>
          <w:b/>
          <w:bCs/>
          <w:color w:val="000000" w:themeColor="text1"/>
          <w:sz w:val="28"/>
          <w:szCs w:val="28"/>
          <w:lang w:val="es-CO" w:eastAsia="es-CO"/>
        </w:rPr>
        <w:t>Argumentos de la demanda</w:t>
      </w:r>
    </w:p>
    <w:p w14:paraId="71DF0B61" w14:textId="77777777" w:rsidR="008D62CF" w:rsidRPr="00C506E7" w:rsidRDefault="008D62CF"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259E2700" w14:textId="118014BD" w:rsidR="005320A6" w:rsidRPr="00C506E7"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C506E7">
        <w:rPr>
          <w:rFonts w:eastAsiaTheme="minorHAnsi"/>
          <w:color w:val="000000" w:themeColor="text1"/>
          <w:sz w:val="28"/>
          <w:szCs w:val="28"/>
          <w:lang w:val="es-CO"/>
        </w:rPr>
        <w:t xml:space="preserve">La demanda </w:t>
      </w:r>
      <w:r w:rsidR="005320A6" w:rsidRPr="00C506E7">
        <w:rPr>
          <w:color w:val="000000" w:themeColor="text1"/>
          <w:sz w:val="28"/>
          <w:szCs w:val="28"/>
          <w:lang w:val="es-CO"/>
        </w:rPr>
        <w:t xml:space="preserve">en contra de los artículos 63 del CP y 177 del CPP se formuló por desconocer (i) el principio de presunción de inocencia </w:t>
      </w:r>
      <w:r w:rsidR="00C506E7" w:rsidRPr="00C506E7">
        <w:rPr>
          <w:color w:val="000000" w:themeColor="text1"/>
          <w:sz w:val="28"/>
          <w:szCs w:val="28"/>
          <w:lang w:val="es-CO"/>
        </w:rPr>
        <w:t>–</w:t>
      </w:r>
      <w:r w:rsidR="005320A6" w:rsidRPr="00C506E7">
        <w:rPr>
          <w:color w:val="000000" w:themeColor="text1"/>
          <w:sz w:val="28"/>
          <w:szCs w:val="28"/>
          <w:lang w:val="es-CO"/>
        </w:rPr>
        <w:t xml:space="preserve">artículos 29 de la Constitución, 14.2 del </w:t>
      </w:r>
      <w:r w:rsidR="00C506E7">
        <w:rPr>
          <w:color w:val="000000" w:themeColor="text1"/>
          <w:sz w:val="28"/>
          <w:szCs w:val="28"/>
          <w:lang w:val="es-CO"/>
        </w:rPr>
        <w:t>PIDCP</w:t>
      </w:r>
      <w:r w:rsidR="005320A6" w:rsidRPr="00C506E7">
        <w:rPr>
          <w:color w:val="000000" w:themeColor="text1"/>
          <w:sz w:val="28"/>
          <w:szCs w:val="28"/>
          <w:lang w:val="es-CO"/>
        </w:rPr>
        <w:t xml:space="preserve"> y 8.2 de la </w:t>
      </w:r>
      <w:r w:rsidR="00C506E7">
        <w:rPr>
          <w:color w:val="000000" w:themeColor="text1"/>
          <w:sz w:val="28"/>
          <w:szCs w:val="28"/>
          <w:lang w:val="es-CO"/>
        </w:rPr>
        <w:t>CADH</w:t>
      </w:r>
      <w:r w:rsidR="00C506E7" w:rsidRPr="00C506E7">
        <w:rPr>
          <w:color w:val="000000" w:themeColor="text1"/>
          <w:sz w:val="28"/>
          <w:szCs w:val="28"/>
          <w:lang w:val="es-CO"/>
        </w:rPr>
        <w:t xml:space="preserve">– </w:t>
      </w:r>
      <w:r w:rsidR="005320A6" w:rsidRPr="00C506E7">
        <w:rPr>
          <w:color w:val="000000" w:themeColor="text1"/>
          <w:sz w:val="28"/>
          <w:szCs w:val="28"/>
          <w:lang w:val="es-CO"/>
        </w:rPr>
        <w:t>y (</w:t>
      </w:r>
      <w:proofErr w:type="spellStart"/>
      <w:r w:rsidR="005320A6" w:rsidRPr="00C506E7">
        <w:rPr>
          <w:color w:val="000000" w:themeColor="text1"/>
          <w:sz w:val="28"/>
          <w:szCs w:val="28"/>
          <w:lang w:val="es-CO"/>
        </w:rPr>
        <w:t>ii</w:t>
      </w:r>
      <w:proofErr w:type="spellEnd"/>
      <w:r w:rsidR="005320A6" w:rsidRPr="00C506E7">
        <w:rPr>
          <w:color w:val="000000" w:themeColor="text1"/>
          <w:sz w:val="28"/>
          <w:szCs w:val="28"/>
          <w:lang w:val="es-CO"/>
        </w:rPr>
        <w:t xml:space="preserve">) el debido proceso y la vigencia del orden justo </w:t>
      </w:r>
      <w:r w:rsidR="00C506E7" w:rsidRPr="00C506E7">
        <w:rPr>
          <w:color w:val="000000" w:themeColor="text1"/>
          <w:sz w:val="28"/>
          <w:szCs w:val="28"/>
          <w:lang w:val="es-CO"/>
        </w:rPr>
        <w:t>–</w:t>
      </w:r>
      <w:r w:rsidR="005320A6" w:rsidRPr="00C506E7">
        <w:rPr>
          <w:color w:val="000000" w:themeColor="text1"/>
          <w:sz w:val="28"/>
          <w:szCs w:val="28"/>
          <w:lang w:val="es-CO"/>
        </w:rPr>
        <w:t>artículos 2 y 29 de la Constitución</w:t>
      </w:r>
      <w:r w:rsidR="00C506E7" w:rsidRPr="00C506E7">
        <w:rPr>
          <w:color w:val="000000" w:themeColor="text1"/>
          <w:sz w:val="28"/>
          <w:szCs w:val="28"/>
          <w:lang w:val="es-CO"/>
        </w:rPr>
        <w:t>–</w:t>
      </w:r>
      <w:r w:rsidR="005320A6" w:rsidRPr="00C506E7">
        <w:rPr>
          <w:color w:val="000000" w:themeColor="text1"/>
          <w:sz w:val="28"/>
          <w:szCs w:val="28"/>
          <w:lang w:val="es-CO"/>
        </w:rPr>
        <w:t>.</w:t>
      </w:r>
      <w:r w:rsidR="00081573" w:rsidRPr="00C506E7">
        <w:rPr>
          <w:color w:val="000000" w:themeColor="text1"/>
          <w:sz w:val="28"/>
          <w:szCs w:val="28"/>
          <w:lang w:val="es-CO"/>
        </w:rPr>
        <w:t xml:space="preserve"> En el escrito de corrección, el ciudadano manifestó que </w:t>
      </w:r>
      <w:r w:rsidR="00C506E7">
        <w:rPr>
          <w:color w:val="000000" w:themeColor="text1"/>
          <w:sz w:val="28"/>
          <w:szCs w:val="28"/>
          <w:lang w:val="es-CO"/>
        </w:rPr>
        <w:t>la acusación</w:t>
      </w:r>
      <w:r w:rsidR="00081573" w:rsidRPr="00C506E7">
        <w:rPr>
          <w:color w:val="000000" w:themeColor="text1"/>
          <w:sz w:val="28"/>
          <w:szCs w:val="28"/>
          <w:lang w:val="es-CO"/>
        </w:rPr>
        <w:t xml:space="preserve"> se fundamenta en la aplicación que</w:t>
      </w:r>
      <w:r w:rsidR="00EA5773" w:rsidRPr="00C506E7">
        <w:rPr>
          <w:color w:val="000000" w:themeColor="text1"/>
          <w:sz w:val="28"/>
          <w:szCs w:val="28"/>
          <w:lang w:val="es-CO"/>
        </w:rPr>
        <w:t xml:space="preserve"> de estas disposiciones</w:t>
      </w:r>
      <w:r w:rsidR="00081573" w:rsidRPr="00C506E7">
        <w:rPr>
          <w:color w:val="000000" w:themeColor="text1"/>
          <w:sz w:val="28"/>
          <w:szCs w:val="28"/>
          <w:lang w:val="es-CO"/>
        </w:rPr>
        <w:t xml:space="preserve"> han hecho la Sala de Casación Penal</w:t>
      </w:r>
      <w:r w:rsidR="00C506E7">
        <w:rPr>
          <w:color w:val="000000" w:themeColor="text1"/>
          <w:sz w:val="28"/>
          <w:szCs w:val="28"/>
          <w:lang w:val="es-CO"/>
        </w:rPr>
        <w:t xml:space="preserve"> </w:t>
      </w:r>
      <w:bookmarkStart w:id="6" w:name="_Hlk206405921"/>
      <w:r w:rsidR="00C506E7">
        <w:rPr>
          <w:color w:val="000000" w:themeColor="text1"/>
          <w:sz w:val="28"/>
          <w:szCs w:val="28"/>
          <w:lang w:val="es-CO"/>
        </w:rPr>
        <w:t>de la Corte Suprema de Justicia</w:t>
      </w:r>
      <w:r w:rsidR="00081573" w:rsidRPr="00C506E7">
        <w:rPr>
          <w:color w:val="000000" w:themeColor="text1"/>
          <w:sz w:val="28"/>
          <w:szCs w:val="28"/>
          <w:lang w:val="es-CO"/>
        </w:rPr>
        <w:t xml:space="preserve"> </w:t>
      </w:r>
      <w:bookmarkEnd w:id="6"/>
      <w:r w:rsidR="00081573" w:rsidRPr="00C506E7">
        <w:rPr>
          <w:color w:val="000000" w:themeColor="text1"/>
          <w:sz w:val="28"/>
          <w:szCs w:val="28"/>
          <w:lang w:val="es-CO"/>
        </w:rPr>
        <w:t>y algunos tribunales superiores del distrito judicial, según la cual</w:t>
      </w:r>
      <w:r w:rsidR="00C506E7">
        <w:rPr>
          <w:color w:val="000000" w:themeColor="text1"/>
          <w:sz w:val="28"/>
          <w:szCs w:val="28"/>
          <w:lang w:val="es-CO"/>
        </w:rPr>
        <w:t>,</w:t>
      </w:r>
      <w:r w:rsidR="00081573" w:rsidRPr="00C506E7">
        <w:rPr>
          <w:color w:val="000000" w:themeColor="text1"/>
          <w:sz w:val="28"/>
          <w:szCs w:val="28"/>
          <w:lang w:val="es-CO"/>
        </w:rPr>
        <w:t xml:space="preserve"> el artículo 177 del CPP únicamente suspende la competencia del funcionario que profirió la decisión apelada, pero no </w:t>
      </w:r>
      <w:r w:rsidR="00C506E7">
        <w:rPr>
          <w:color w:val="000000" w:themeColor="text1"/>
          <w:sz w:val="28"/>
          <w:szCs w:val="28"/>
          <w:lang w:val="es-CO"/>
        </w:rPr>
        <w:t>“</w:t>
      </w:r>
      <w:r w:rsidR="00081573" w:rsidRPr="00C506E7">
        <w:rPr>
          <w:i/>
          <w:iCs/>
          <w:color w:val="000000" w:themeColor="text1"/>
          <w:sz w:val="28"/>
          <w:szCs w:val="28"/>
          <w:lang w:val="es-CO"/>
        </w:rPr>
        <w:t>suspende su contenido</w:t>
      </w:r>
      <w:r w:rsidR="00C506E7">
        <w:rPr>
          <w:color w:val="000000" w:themeColor="text1"/>
          <w:sz w:val="28"/>
          <w:szCs w:val="28"/>
          <w:lang w:val="es-CO"/>
        </w:rPr>
        <w:t>”</w:t>
      </w:r>
      <w:r w:rsidR="00081573" w:rsidRPr="00C506E7">
        <w:rPr>
          <w:color w:val="000000" w:themeColor="text1"/>
          <w:sz w:val="28"/>
          <w:szCs w:val="28"/>
          <w:lang w:val="es-CO"/>
        </w:rPr>
        <w:t>, de manera que se puede empezar a ejecutar</w:t>
      </w:r>
      <w:r w:rsidR="009B6F04" w:rsidRPr="00C506E7">
        <w:rPr>
          <w:color w:val="000000" w:themeColor="text1"/>
          <w:sz w:val="28"/>
          <w:szCs w:val="28"/>
          <w:lang w:val="es-CO"/>
        </w:rPr>
        <w:t>.</w:t>
      </w:r>
      <w:r w:rsidR="00081573" w:rsidRPr="00C506E7">
        <w:rPr>
          <w:color w:val="000000" w:themeColor="text1"/>
          <w:sz w:val="28"/>
          <w:szCs w:val="28"/>
          <w:lang w:val="es-CO"/>
        </w:rPr>
        <w:t xml:space="preserve"> </w:t>
      </w:r>
      <w:r w:rsidR="009B6F04" w:rsidRPr="00C506E7">
        <w:rPr>
          <w:color w:val="000000" w:themeColor="text1"/>
          <w:sz w:val="28"/>
          <w:szCs w:val="28"/>
          <w:lang w:val="es-CO"/>
        </w:rPr>
        <w:t xml:space="preserve">Ello </w:t>
      </w:r>
      <w:r w:rsidR="00081573" w:rsidRPr="00C506E7">
        <w:rPr>
          <w:color w:val="000000" w:themeColor="text1"/>
          <w:sz w:val="28"/>
          <w:szCs w:val="28"/>
          <w:lang w:val="es-CO"/>
        </w:rPr>
        <w:t xml:space="preserve">tiene particular relevancia cuando la decisión es una sentencia o, por lo menos, </w:t>
      </w:r>
      <w:r w:rsidR="009B6F04" w:rsidRPr="00C506E7">
        <w:rPr>
          <w:color w:val="000000" w:themeColor="text1"/>
          <w:sz w:val="28"/>
          <w:szCs w:val="28"/>
          <w:lang w:val="es-CO"/>
        </w:rPr>
        <w:t xml:space="preserve">un </w:t>
      </w:r>
      <w:r w:rsidR="00081573" w:rsidRPr="00C506E7">
        <w:rPr>
          <w:color w:val="000000" w:themeColor="text1"/>
          <w:sz w:val="28"/>
          <w:szCs w:val="28"/>
          <w:lang w:val="es-CO"/>
        </w:rPr>
        <w:t xml:space="preserve">anuncio del </w:t>
      </w:r>
      <w:r w:rsidR="00DD7771" w:rsidRPr="00C506E7">
        <w:rPr>
          <w:color w:val="000000" w:themeColor="text1"/>
          <w:sz w:val="28"/>
          <w:szCs w:val="28"/>
          <w:lang w:val="es-CO"/>
        </w:rPr>
        <w:t xml:space="preserve">sentido del </w:t>
      </w:r>
      <w:r w:rsidR="00081573" w:rsidRPr="00C506E7">
        <w:rPr>
          <w:color w:val="000000" w:themeColor="text1"/>
          <w:sz w:val="28"/>
          <w:szCs w:val="28"/>
          <w:lang w:val="es-CO"/>
        </w:rPr>
        <w:t xml:space="preserve">fallo condenatorio </w:t>
      </w:r>
      <w:r w:rsidR="00DD7771" w:rsidRPr="00C506E7">
        <w:rPr>
          <w:color w:val="000000" w:themeColor="text1"/>
          <w:sz w:val="28"/>
          <w:szCs w:val="28"/>
          <w:lang w:val="es-CO"/>
        </w:rPr>
        <w:t xml:space="preserve">de primera instancia, en casos donde no es aplicable la ejecución de la pena del artículo 63 del CP, por no cumplirse los requisitos previstos en </w:t>
      </w:r>
      <w:r w:rsidR="00C506E7">
        <w:rPr>
          <w:color w:val="000000" w:themeColor="text1"/>
          <w:sz w:val="28"/>
          <w:szCs w:val="28"/>
          <w:lang w:val="es-CO"/>
        </w:rPr>
        <w:t>dicha disposición.</w:t>
      </w:r>
    </w:p>
    <w:p w14:paraId="1D416CC6" w14:textId="77777777" w:rsidR="00DD7771" w:rsidRPr="00C506E7" w:rsidRDefault="00DD7771"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4A7BCCAB" w14:textId="076FED27" w:rsidR="00DD7771" w:rsidRPr="00E071AC" w:rsidRDefault="00DD7771"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C506E7">
        <w:rPr>
          <w:color w:val="000000" w:themeColor="text1"/>
          <w:sz w:val="28"/>
          <w:szCs w:val="28"/>
          <w:lang w:val="es-CO"/>
        </w:rPr>
        <w:t xml:space="preserve">Para el efecto, tanto en la demanda como en su corrección, el ciudadano hizo </w:t>
      </w:r>
      <w:r w:rsidRPr="00C506E7">
        <w:rPr>
          <w:color w:val="000000" w:themeColor="text1"/>
          <w:sz w:val="28"/>
          <w:szCs w:val="28"/>
          <w:lang w:val="es-CO"/>
        </w:rPr>
        <w:lastRenderedPageBreak/>
        <w:t xml:space="preserve">referencia a la sentencia del 21 de abril de 2020 proferida por la Sala de Decisión de Tutelas 2, a la decisión de </w:t>
      </w:r>
      <w:r w:rsidRPr="00C506E7">
        <w:rPr>
          <w:i/>
          <w:iCs/>
          <w:color w:val="000000" w:themeColor="text1"/>
          <w:sz w:val="28"/>
          <w:szCs w:val="28"/>
          <w:lang w:val="es-CO"/>
        </w:rPr>
        <w:t>habeas corpus</w:t>
      </w:r>
      <w:r w:rsidRPr="00C506E7">
        <w:rPr>
          <w:color w:val="000000" w:themeColor="text1"/>
          <w:sz w:val="28"/>
          <w:szCs w:val="28"/>
          <w:lang w:val="es-CO"/>
        </w:rPr>
        <w:t xml:space="preserve"> AHP5267-2022 y a la sentencia de tutela STP7336-2023, </w:t>
      </w:r>
      <w:r w:rsidR="0093158A" w:rsidRPr="00C506E7">
        <w:rPr>
          <w:color w:val="000000" w:themeColor="text1"/>
          <w:sz w:val="28"/>
          <w:szCs w:val="28"/>
          <w:lang w:val="es-CO"/>
        </w:rPr>
        <w:t xml:space="preserve">todas </w:t>
      </w:r>
      <w:r w:rsidRPr="00C506E7">
        <w:rPr>
          <w:color w:val="000000" w:themeColor="text1"/>
          <w:sz w:val="28"/>
          <w:szCs w:val="28"/>
          <w:lang w:val="es-CO"/>
        </w:rPr>
        <w:t>proferida</w:t>
      </w:r>
      <w:r w:rsidR="00B25B97" w:rsidRPr="00C506E7">
        <w:rPr>
          <w:color w:val="000000" w:themeColor="text1"/>
          <w:sz w:val="28"/>
          <w:szCs w:val="28"/>
          <w:lang w:val="es-CO"/>
        </w:rPr>
        <w:t>s</w:t>
      </w:r>
      <w:r w:rsidRPr="00C506E7">
        <w:rPr>
          <w:color w:val="000000" w:themeColor="text1"/>
          <w:sz w:val="28"/>
          <w:szCs w:val="28"/>
          <w:lang w:val="es-CO"/>
        </w:rPr>
        <w:t xml:space="preserve"> por la Sala de Casación Penal de</w:t>
      </w:r>
      <w:r w:rsidR="0093158A" w:rsidRPr="00C506E7">
        <w:rPr>
          <w:color w:val="000000" w:themeColor="text1"/>
          <w:sz w:val="28"/>
          <w:szCs w:val="28"/>
          <w:lang w:val="es-CO"/>
        </w:rPr>
        <w:t xml:space="preserve"> la Corte Suprema de Justicia</w:t>
      </w:r>
      <w:r w:rsidRPr="00C506E7">
        <w:rPr>
          <w:color w:val="000000" w:themeColor="text1"/>
          <w:sz w:val="28"/>
          <w:szCs w:val="28"/>
          <w:lang w:val="es-CO"/>
        </w:rPr>
        <w:t>. No obstante</w:t>
      </w:r>
      <w:r w:rsidR="00F55F8D" w:rsidRPr="00C506E7">
        <w:rPr>
          <w:color w:val="000000" w:themeColor="text1"/>
          <w:sz w:val="28"/>
          <w:szCs w:val="28"/>
          <w:lang w:val="es-CO"/>
        </w:rPr>
        <w:t>,</w:t>
      </w:r>
      <w:r w:rsidRPr="00C506E7">
        <w:rPr>
          <w:color w:val="000000" w:themeColor="text1"/>
          <w:sz w:val="28"/>
          <w:szCs w:val="28"/>
          <w:lang w:val="es-CO"/>
        </w:rPr>
        <w:t xml:space="preserve"> también señaló en el escrito de corrección que</w:t>
      </w:r>
      <w:r w:rsidR="00F55F8D" w:rsidRPr="00C506E7">
        <w:rPr>
          <w:color w:val="000000" w:themeColor="text1"/>
          <w:sz w:val="28"/>
          <w:szCs w:val="28"/>
          <w:lang w:val="es-CO"/>
        </w:rPr>
        <w:t>,</w:t>
      </w:r>
      <w:r w:rsidRPr="00C506E7">
        <w:rPr>
          <w:color w:val="000000" w:themeColor="text1"/>
          <w:sz w:val="28"/>
          <w:szCs w:val="28"/>
          <w:lang w:val="es-CO"/>
        </w:rPr>
        <w:t xml:space="preserve"> mediante sentencia STP8591-2023 del 23 de agosto de 2023</w:t>
      </w:r>
      <w:r w:rsidR="00B25B97" w:rsidRPr="00C506E7">
        <w:rPr>
          <w:color w:val="000000" w:themeColor="text1"/>
          <w:sz w:val="28"/>
          <w:szCs w:val="28"/>
          <w:lang w:val="es-CO"/>
        </w:rPr>
        <w:t>,</w:t>
      </w:r>
      <w:r w:rsidRPr="00C506E7">
        <w:rPr>
          <w:color w:val="000000" w:themeColor="text1"/>
          <w:sz w:val="28"/>
          <w:szCs w:val="28"/>
          <w:lang w:val="es-CO"/>
        </w:rPr>
        <w:t xml:space="preserve"> la Sala de Casación Penal de la Corte Suprema de Justicia replanteó su postura </w:t>
      </w:r>
      <w:r w:rsidR="00C506E7">
        <w:rPr>
          <w:color w:val="000000" w:themeColor="text1"/>
          <w:sz w:val="28"/>
          <w:szCs w:val="28"/>
          <w:lang w:val="es-CO"/>
        </w:rPr>
        <w:t>sobre</w:t>
      </w:r>
      <w:r w:rsidRPr="00C506E7">
        <w:rPr>
          <w:color w:val="000000" w:themeColor="text1"/>
          <w:sz w:val="28"/>
          <w:szCs w:val="28"/>
          <w:lang w:val="es-CO"/>
        </w:rPr>
        <w:t xml:space="preserve"> la necesidad de motivar la orden de captura, pero igual</w:t>
      </w:r>
      <w:r w:rsidR="00B25B97" w:rsidRPr="00C506E7">
        <w:rPr>
          <w:color w:val="000000" w:themeColor="text1"/>
          <w:sz w:val="28"/>
          <w:szCs w:val="28"/>
          <w:lang w:val="es-CO"/>
        </w:rPr>
        <w:t>mente</w:t>
      </w:r>
      <w:r w:rsidRPr="00C506E7">
        <w:rPr>
          <w:color w:val="000000" w:themeColor="text1"/>
          <w:sz w:val="28"/>
          <w:szCs w:val="28"/>
          <w:lang w:val="es-CO"/>
        </w:rPr>
        <w:t xml:space="preserve"> consideró que todavía su jurisprudencia se inclina por atender a factores objetivos de la naturaleza del delito y la duración de la pena, para ordenar la detención del condenado en primera instancia, con independencia de </w:t>
      </w:r>
      <w:r w:rsidRPr="00E071AC">
        <w:rPr>
          <w:color w:val="000000" w:themeColor="text1"/>
          <w:sz w:val="28"/>
          <w:szCs w:val="28"/>
          <w:lang w:val="es-CO"/>
        </w:rPr>
        <w:t xml:space="preserve">la </w:t>
      </w:r>
      <w:r w:rsidR="00F55F8D" w:rsidRPr="00E071AC">
        <w:rPr>
          <w:color w:val="000000" w:themeColor="text1"/>
          <w:sz w:val="28"/>
          <w:szCs w:val="28"/>
          <w:lang w:val="es-CO"/>
        </w:rPr>
        <w:t xml:space="preserve">falta de </w:t>
      </w:r>
      <w:r w:rsidRPr="00E071AC">
        <w:rPr>
          <w:color w:val="000000" w:themeColor="text1"/>
          <w:sz w:val="28"/>
          <w:szCs w:val="28"/>
          <w:lang w:val="es-CO"/>
        </w:rPr>
        <w:t>firmeza de la decisión.</w:t>
      </w:r>
    </w:p>
    <w:p w14:paraId="7D73EE23" w14:textId="77777777" w:rsidR="00963ADD" w:rsidRPr="00E071AC" w:rsidRDefault="00963ADD" w:rsidP="00E067C2">
      <w:pPr>
        <w:pStyle w:val="Prrafodelista"/>
        <w:rPr>
          <w:color w:val="000000" w:themeColor="text1"/>
          <w:sz w:val="28"/>
          <w:szCs w:val="28"/>
          <w:lang w:val="es-CO"/>
        </w:rPr>
      </w:pPr>
    </w:p>
    <w:p w14:paraId="1753E89C" w14:textId="6ED5DA72" w:rsidR="00B50026" w:rsidRPr="00E071AC" w:rsidRDefault="00963ADD"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E071AC">
        <w:rPr>
          <w:color w:val="000000" w:themeColor="text1"/>
          <w:sz w:val="28"/>
          <w:szCs w:val="28"/>
          <w:lang w:val="es-CO"/>
        </w:rPr>
        <w:t xml:space="preserve">En este orden de ideas, </w:t>
      </w:r>
      <w:r w:rsidR="00B50026" w:rsidRPr="00E071AC">
        <w:rPr>
          <w:color w:val="000000" w:themeColor="text1"/>
          <w:sz w:val="28"/>
          <w:szCs w:val="28"/>
          <w:lang w:val="es-ES_tradnl"/>
        </w:rPr>
        <w:t xml:space="preserve">en el escrito de subsanación se precisó que, dado que la demanda se apoya en la jurisprudencia de la Sala de Casación Penal de la Corte Suprema de Justicia </w:t>
      </w:r>
      <w:r w:rsidR="00C506E7" w:rsidRPr="00E071AC">
        <w:rPr>
          <w:color w:val="000000" w:themeColor="text1"/>
          <w:sz w:val="28"/>
          <w:szCs w:val="28"/>
          <w:lang w:val="es-CO"/>
        </w:rPr>
        <w:t>–</w:t>
      </w:r>
      <w:r w:rsidR="00B50026" w:rsidRPr="00E071AC">
        <w:rPr>
          <w:color w:val="000000" w:themeColor="text1"/>
          <w:sz w:val="28"/>
          <w:szCs w:val="28"/>
          <w:lang w:val="es-ES_tradnl"/>
        </w:rPr>
        <w:t>la cual ha sido aplicada por juzgados y tribunales</w:t>
      </w:r>
      <w:r w:rsidR="00C506E7" w:rsidRPr="00E071AC">
        <w:rPr>
          <w:color w:val="000000" w:themeColor="text1"/>
          <w:sz w:val="28"/>
          <w:szCs w:val="28"/>
          <w:lang w:val="es-CO"/>
        </w:rPr>
        <w:t>–</w:t>
      </w:r>
      <w:r w:rsidR="00B50026" w:rsidRPr="00E071AC">
        <w:rPr>
          <w:color w:val="000000" w:themeColor="text1"/>
          <w:sz w:val="28"/>
          <w:szCs w:val="28"/>
          <w:lang w:val="es-ES_tradnl"/>
        </w:rPr>
        <w:t xml:space="preserve">, </w:t>
      </w:r>
      <w:r w:rsidR="00C506E7" w:rsidRPr="00E071AC">
        <w:rPr>
          <w:color w:val="000000" w:themeColor="text1"/>
          <w:sz w:val="28"/>
          <w:szCs w:val="28"/>
          <w:lang w:val="es-ES_tradnl"/>
        </w:rPr>
        <w:t xml:space="preserve">el reproche formulado se </w:t>
      </w:r>
      <w:r w:rsidR="00E071AC">
        <w:rPr>
          <w:color w:val="000000" w:themeColor="text1"/>
          <w:sz w:val="28"/>
          <w:szCs w:val="28"/>
          <w:lang w:val="es-ES_tradnl"/>
        </w:rPr>
        <w:t>enfoca</w:t>
      </w:r>
      <w:r w:rsidR="00C506E7" w:rsidRPr="00E071AC">
        <w:rPr>
          <w:color w:val="000000" w:themeColor="text1"/>
          <w:sz w:val="28"/>
          <w:szCs w:val="28"/>
          <w:lang w:val="es-ES_tradnl"/>
        </w:rPr>
        <w:t xml:space="preserve"> en un</w:t>
      </w:r>
      <w:r w:rsidR="00B50026" w:rsidRPr="00E071AC">
        <w:rPr>
          <w:color w:val="000000" w:themeColor="text1"/>
          <w:sz w:val="28"/>
          <w:szCs w:val="28"/>
          <w:lang w:val="es-ES_tradnl"/>
        </w:rPr>
        <w:t xml:space="preserve"> control </w:t>
      </w:r>
      <w:r w:rsidR="00C506E7" w:rsidRPr="00E071AC">
        <w:rPr>
          <w:color w:val="000000" w:themeColor="text1"/>
          <w:sz w:val="28"/>
          <w:szCs w:val="28"/>
          <w:lang w:val="es-ES_tradnl"/>
        </w:rPr>
        <w:t>a</w:t>
      </w:r>
      <w:r w:rsidR="00B50026" w:rsidRPr="00E071AC">
        <w:rPr>
          <w:color w:val="000000" w:themeColor="text1"/>
          <w:sz w:val="28"/>
          <w:szCs w:val="28"/>
          <w:lang w:val="es-ES_tradnl"/>
        </w:rPr>
        <w:t xml:space="preserve">l derecho viviente, conforme </w:t>
      </w:r>
      <w:r w:rsidR="00C506E7" w:rsidRPr="00E071AC">
        <w:rPr>
          <w:color w:val="000000" w:themeColor="text1"/>
          <w:sz w:val="28"/>
          <w:szCs w:val="28"/>
          <w:lang w:val="es-ES_tradnl"/>
        </w:rPr>
        <w:t>con</w:t>
      </w:r>
      <w:r w:rsidR="00B50026" w:rsidRPr="00E071AC">
        <w:rPr>
          <w:color w:val="000000" w:themeColor="text1"/>
          <w:sz w:val="28"/>
          <w:szCs w:val="28"/>
          <w:lang w:val="es-ES_tradnl"/>
        </w:rPr>
        <w:t xml:space="preserve"> lo dispuesto en la </w:t>
      </w:r>
      <w:r w:rsidR="00B25B97" w:rsidRPr="00E071AC">
        <w:rPr>
          <w:color w:val="000000" w:themeColor="text1"/>
          <w:sz w:val="28"/>
          <w:szCs w:val="28"/>
          <w:lang w:val="es-ES_tradnl"/>
        </w:rPr>
        <w:t>s</w:t>
      </w:r>
      <w:r w:rsidR="00B50026" w:rsidRPr="00E071AC">
        <w:rPr>
          <w:color w:val="000000" w:themeColor="text1"/>
          <w:sz w:val="28"/>
          <w:szCs w:val="28"/>
          <w:lang w:val="es-ES_tradnl"/>
        </w:rPr>
        <w:t>entencia C-309 de 2009.</w:t>
      </w:r>
    </w:p>
    <w:p w14:paraId="1ADAD84D" w14:textId="77777777" w:rsidR="00B50026" w:rsidRPr="00E071AC" w:rsidRDefault="00B50026"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628CB741" w14:textId="4D549DCB" w:rsidR="00966D52" w:rsidRPr="00E071AC" w:rsidRDefault="00966D52"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E071AC">
        <w:rPr>
          <w:i/>
          <w:iCs/>
          <w:color w:val="000000" w:themeColor="text1"/>
          <w:sz w:val="28"/>
          <w:szCs w:val="28"/>
          <w:u w:val="single"/>
          <w:lang w:val="es-CO"/>
        </w:rPr>
        <w:t xml:space="preserve">Primer cargo (desconocimiento del principio de </w:t>
      </w:r>
      <w:r w:rsidR="005320A6" w:rsidRPr="00E071AC">
        <w:rPr>
          <w:i/>
          <w:iCs/>
          <w:color w:val="000000" w:themeColor="text1"/>
          <w:sz w:val="28"/>
          <w:szCs w:val="28"/>
          <w:u w:val="single"/>
          <w:lang w:val="es-CO"/>
        </w:rPr>
        <w:t xml:space="preserve">presunción de </w:t>
      </w:r>
      <w:r w:rsidRPr="00E071AC">
        <w:rPr>
          <w:i/>
          <w:iCs/>
          <w:color w:val="000000" w:themeColor="text1"/>
          <w:sz w:val="28"/>
          <w:szCs w:val="28"/>
          <w:u w:val="single"/>
          <w:lang w:val="es-CO"/>
        </w:rPr>
        <w:t>inocencia)</w:t>
      </w:r>
      <w:r w:rsidR="00E54195" w:rsidRPr="00E071AC">
        <w:rPr>
          <w:i/>
          <w:iCs/>
          <w:color w:val="000000" w:themeColor="text1"/>
          <w:sz w:val="28"/>
          <w:szCs w:val="28"/>
          <w:u w:val="single"/>
          <w:lang w:val="es-CO"/>
        </w:rPr>
        <w:t>.</w:t>
      </w:r>
      <w:r w:rsidR="00E54195" w:rsidRPr="00E071AC">
        <w:rPr>
          <w:color w:val="000000" w:themeColor="text1"/>
          <w:sz w:val="28"/>
          <w:szCs w:val="28"/>
          <w:lang w:val="es-CO"/>
        </w:rPr>
        <w:t xml:space="preserve"> La demanda señal</w:t>
      </w:r>
      <w:r w:rsidR="00E071AC">
        <w:rPr>
          <w:color w:val="000000" w:themeColor="text1"/>
          <w:sz w:val="28"/>
          <w:szCs w:val="28"/>
          <w:lang w:val="es-CO"/>
        </w:rPr>
        <w:t>a</w:t>
      </w:r>
      <w:r w:rsidR="00E54195" w:rsidRPr="00E071AC">
        <w:rPr>
          <w:color w:val="000000" w:themeColor="text1"/>
          <w:sz w:val="28"/>
          <w:szCs w:val="28"/>
          <w:lang w:val="es-CO"/>
        </w:rPr>
        <w:t xml:space="preserve"> que</w:t>
      </w:r>
      <w:r w:rsidRPr="00E071AC">
        <w:rPr>
          <w:color w:val="000000" w:themeColor="text1"/>
          <w:sz w:val="28"/>
          <w:szCs w:val="28"/>
          <w:lang w:val="es-CO"/>
        </w:rPr>
        <w:t xml:space="preserve"> </w:t>
      </w:r>
      <w:r w:rsidR="00E54195" w:rsidRPr="00E071AC">
        <w:rPr>
          <w:color w:val="000000" w:themeColor="text1"/>
          <w:sz w:val="28"/>
          <w:szCs w:val="28"/>
          <w:lang w:val="es-CO"/>
        </w:rPr>
        <w:t>la interpretación de la Corte Suprema de Justicia de</w:t>
      </w:r>
      <w:r w:rsidRPr="00E071AC">
        <w:rPr>
          <w:color w:val="000000" w:themeColor="text1"/>
          <w:sz w:val="28"/>
          <w:szCs w:val="28"/>
          <w:lang w:val="es-CO"/>
        </w:rPr>
        <w:t xml:space="preserve"> los artículos 63 del CP y 177 del CPP </w:t>
      </w:r>
      <w:r w:rsidR="00E54195" w:rsidRPr="00E071AC">
        <w:rPr>
          <w:color w:val="000000" w:themeColor="text1"/>
          <w:sz w:val="28"/>
          <w:szCs w:val="28"/>
          <w:lang w:val="es-CO"/>
        </w:rPr>
        <w:t xml:space="preserve">desconoce </w:t>
      </w:r>
      <w:r w:rsidRPr="00E071AC">
        <w:rPr>
          <w:color w:val="000000" w:themeColor="text1"/>
          <w:sz w:val="28"/>
          <w:szCs w:val="28"/>
          <w:lang w:val="es-CO"/>
        </w:rPr>
        <w:t xml:space="preserve">los artículos 29 </w:t>
      </w:r>
      <w:r w:rsidR="00E071AC">
        <w:rPr>
          <w:color w:val="000000" w:themeColor="text1"/>
          <w:sz w:val="28"/>
          <w:szCs w:val="28"/>
          <w:lang w:val="es-CO"/>
        </w:rPr>
        <w:t>de la Constitución</w:t>
      </w:r>
      <w:r w:rsidRPr="00E071AC">
        <w:rPr>
          <w:color w:val="000000" w:themeColor="text1"/>
          <w:sz w:val="28"/>
          <w:szCs w:val="28"/>
          <w:lang w:val="es-CO"/>
        </w:rPr>
        <w:t xml:space="preserve">, 14.2 del </w:t>
      </w:r>
      <w:r w:rsidR="00E071AC">
        <w:rPr>
          <w:color w:val="000000" w:themeColor="text1"/>
          <w:sz w:val="28"/>
          <w:szCs w:val="28"/>
          <w:lang w:val="es-CO"/>
        </w:rPr>
        <w:t>PIDCP</w:t>
      </w:r>
      <w:r w:rsidRPr="00E071AC">
        <w:rPr>
          <w:color w:val="000000" w:themeColor="text1"/>
          <w:sz w:val="28"/>
          <w:szCs w:val="28"/>
          <w:lang w:val="es-CO"/>
        </w:rPr>
        <w:t xml:space="preserve"> y 8.2 de la </w:t>
      </w:r>
      <w:r w:rsidR="00E071AC">
        <w:rPr>
          <w:color w:val="000000" w:themeColor="text1"/>
          <w:sz w:val="28"/>
          <w:szCs w:val="28"/>
          <w:lang w:val="es-CO"/>
        </w:rPr>
        <w:t>CADH</w:t>
      </w:r>
      <w:r w:rsidR="00B25B97" w:rsidRPr="00E071AC">
        <w:rPr>
          <w:color w:val="000000" w:themeColor="text1"/>
          <w:sz w:val="28"/>
          <w:szCs w:val="28"/>
          <w:lang w:val="es-CO"/>
        </w:rPr>
        <w:t>,</w:t>
      </w:r>
      <w:r w:rsidRPr="00E071AC">
        <w:rPr>
          <w:color w:val="000000" w:themeColor="text1"/>
          <w:sz w:val="28"/>
          <w:szCs w:val="28"/>
          <w:lang w:val="es-CO"/>
        </w:rPr>
        <w:t xml:space="preserve"> toda vez que restringe el efecto suspensivo del recurso de apelación, previsto en el artículo 177 del CPP, únicamente a la competencia del funcionario que dictó la providencia apelada, sin extenderlo a su </w:t>
      </w:r>
      <w:r w:rsidRPr="00E071AC">
        <w:rPr>
          <w:i/>
          <w:iCs/>
          <w:color w:val="000000" w:themeColor="text1"/>
          <w:sz w:val="28"/>
          <w:szCs w:val="28"/>
          <w:lang w:val="es-CO"/>
        </w:rPr>
        <w:t>contenido</w:t>
      </w:r>
      <w:r w:rsidRPr="00E071AC">
        <w:rPr>
          <w:color w:val="000000" w:themeColor="text1"/>
          <w:sz w:val="28"/>
          <w:szCs w:val="28"/>
          <w:lang w:val="es-CO"/>
        </w:rPr>
        <w:t>, lo cual desconoce el principio de presunción de inocencia como garantía esencial del debido proceso. A juicio del demandante, en tal escenario, si se profiere una sentencia condenatoria</w:t>
      </w:r>
      <w:r w:rsidR="00B25B97" w:rsidRPr="00E071AC">
        <w:rPr>
          <w:color w:val="000000" w:themeColor="text1"/>
          <w:sz w:val="28"/>
          <w:szCs w:val="28"/>
          <w:lang w:val="es-CO"/>
        </w:rPr>
        <w:t>,</w:t>
      </w:r>
      <w:r w:rsidRPr="00E071AC">
        <w:rPr>
          <w:color w:val="000000" w:themeColor="text1"/>
          <w:sz w:val="28"/>
          <w:szCs w:val="28"/>
          <w:lang w:val="es-CO"/>
        </w:rPr>
        <w:t xml:space="preserve"> el acusado es considerado responsable con base en una decisión que no es definitiva</w:t>
      </w:r>
      <w:r w:rsidR="00B25B97" w:rsidRPr="00E071AC">
        <w:rPr>
          <w:color w:val="000000" w:themeColor="text1"/>
          <w:sz w:val="28"/>
          <w:szCs w:val="28"/>
          <w:lang w:val="es-CO"/>
        </w:rPr>
        <w:t>,</w:t>
      </w:r>
      <w:r w:rsidRPr="00E071AC">
        <w:rPr>
          <w:color w:val="000000" w:themeColor="text1"/>
          <w:sz w:val="28"/>
          <w:szCs w:val="28"/>
          <w:lang w:val="es-CO"/>
        </w:rPr>
        <w:t xml:space="preserve"> dado que existe un recurso pendiente de resolverse. </w:t>
      </w:r>
    </w:p>
    <w:p w14:paraId="026E69BD" w14:textId="77777777" w:rsidR="00DD7771" w:rsidRPr="00E071AC" w:rsidRDefault="00DD7771"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1B3F47B3" w14:textId="6AA55CC8" w:rsidR="00966D52" w:rsidRPr="00E071AC" w:rsidRDefault="00966D52"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E071AC">
        <w:rPr>
          <w:color w:val="000000" w:themeColor="text1"/>
          <w:sz w:val="28"/>
          <w:szCs w:val="28"/>
          <w:lang w:val="es-CO"/>
        </w:rPr>
        <w:t>La demanda precisó que en los supuestos en los que una persona es condenada en primera instancia</w:t>
      </w:r>
      <w:r w:rsidR="00E071AC" w:rsidRPr="00E071AC">
        <w:rPr>
          <w:color w:val="000000" w:themeColor="text1"/>
          <w:sz w:val="28"/>
          <w:szCs w:val="28"/>
          <w:lang w:val="es-CO"/>
        </w:rPr>
        <w:t>,</w:t>
      </w:r>
      <w:r w:rsidRPr="00E071AC">
        <w:rPr>
          <w:color w:val="000000" w:themeColor="text1"/>
          <w:sz w:val="28"/>
          <w:szCs w:val="28"/>
          <w:lang w:val="es-CO"/>
        </w:rPr>
        <w:t xml:space="preserve"> o por primera vez en segunda instancia</w:t>
      </w:r>
      <w:r w:rsidR="00E071AC" w:rsidRPr="00E071AC">
        <w:rPr>
          <w:color w:val="000000" w:themeColor="text1"/>
          <w:sz w:val="28"/>
          <w:szCs w:val="28"/>
          <w:lang w:val="es-CO"/>
        </w:rPr>
        <w:t>,</w:t>
      </w:r>
      <w:r w:rsidRPr="00E071AC">
        <w:rPr>
          <w:color w:val="000000" w:themeColor="text1"/>
          <w:sz w:val="28"/>
          <w:szCs w:val="28"/>
          <w:lang w:val="es-CO"/>
        </w:rPr>
        <w:t xml:space="preserve"> y no se cumplen los requisitos del artículo 63 del CP para suspender la ejecución de la pena, la Corte Suprema de Justicia </w:t>
      </w:r>
      <w:r w:rsidR="00E071AC" w:rsidRPr="00E071AC">
        <w:rPr>
          <w:color w:val="000000" w:themeColor="text1"/>
          <w:sz w:val="28"/>
          <w:szCs w:val="28"/>
          <w:lang w:val="es-CO"/>
        </w:rPr>
        <w:t xml:space="preserve">ha señalado que </w:t>
      </w:r>
      <w:r w:rsidRPr="00E071AC">
        <w:rPr>
          <w:color w:val="000000" w:themeColor="text1"/>
          <w:sz w:val="28"/>
          <w:szCs w:val="28"/>
          <w:lang w:val="es-CO"/>
        </w:rPr>
        <w:t>la orden de captura es necesaria</w:t>
      </w:r>
      <w:r w:rsidR="00E071AC" w:rsidRPr="00E071AC">
        <w:rPr>
          <w:color w:val="000000" w:themeColor="text1"/>
          <w:sz w:val="28"/>
          <w:szCs w:val="28"/>
          <w:lang w:val="es-CO"/>
        </w:rPr>
        <w:t>,</w:t>
      </w:r>
      <w:r w:rsidRPr="00E071AC">
        <w:rPr>
          <w:color w:val="000000" w:themeColor="text1"/>
          <w:sz w:val="28"/>
          <w:szCs w:val="28"/>
          <w:lang w:val="es-CO"/>
        </w:rPr>
        <w:t xml:space="preserve"> aun cuando admite excepciones, criterio que, en la práctica, menoscaba la presunción de inocencia</w:t>
      </w:r>
      <w:r w:rsidR="00E071AC" w:rsidRPr="00E071AC">
        <w:rPr>
          <w:color w:val="000000" w:themeColor="text1"/>
          <w:sz w:val="28"/>
          <w:szCs w:val="28"/>
          <w:lang w:val="es-CO"/>
        </w:rPr>
        <w:t>. Esta hermenéutica la deriva el citado tribunal del artículo 177 del CPP y de la sentencia C-342 de 2017 de esta corporación.</w:t>
      </w:r>
    </w:p>
    <w:p w14:paraId="6B21ACAF" w14:textId="77777777" w:rsidR="00E071AC" w:rsidRPr="00E071AC" w:rsidRDefault="00E071AC" w:rsidP="00E067C2">
      <w:pPr>
        <w:pStyle w:val="Prrafodelista"/>
        <w:rPr>
          <w:color w:val="000000" w:themeColor="text1"/>
          <w:sz w:val="28"/>
          <w:szCs w:val="28"/>
          <w:lang w:val="es-CO"/>
        </w:rPr>
      </w:pPr>
    </w:p>
    <w:p w14:paraId="65AE6941" w14:textId="296C9969" w:rsidR="00966D52" w:rsidRPr="00E071AC" w:rsidRDefault="00966D52"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E071AC">
        <w:rPr>
          <w:color w:val="000000" w:themeColor="text1"/>
          <w:sz w:val="28"/>
          <w:szCs w:val="28"/>
          <w:lang w:val="es-CO"/>
        </w:rPr>
        <w:t>Así, la demanda insistió en que es contradictorio considerar en firme una condena sujeta a un recurso y</w:t>
      </w:r>
      <w:r w:rsidR="00E071AC" w:rsidRPr="00E071AC">
        <w:rPr>
          <w:color w:val="000000" w:themeColor="text1"/>
          <w:sz w:val="28"/>
          <w:szCs w:val="28"/>
          <w:lang w:val="es-CO"/>
        </w:rPr>
        <w:t>,</w:t>
      </w:r>
      <w:r w:rsidRPr="00E071AC">
        <w:rPr>
          <w:color w:val="000000" w:themeColor="text1"/>
          <w:sz w:val="28"/>
          <w:szCs w:val="28"/>
          <w:lang w:val="es-CO"/>
        </w:rPr>
        <w:t xml:space="preserve"> al mismo tiempo mantener intacta la presunción de inocencia</w:t>
      </w:r>
      <w:r w:rsidR="00B25B97" w:rsidRPr="00E071AC">
        <w:rPr>
          <w:color w:val="000000" w:themeColor="text1"/>
          <w:sz w:val="28"/>
          <w:szCs w:val="28"/>
          <w:lang w:val="es-CO"/>
        </w:rPr>
        <w:t>,</w:t>
      </w:r>
      <w:r w:rsidRPr="00E071AC">
        <w:rPr>
          <w:color w:val="000000" w:themeColor="text1"/>
          <w:sz w:val="28"/>
          <w:szCs w:val="28"/>
          <w:lang w:val="es-CO"/>
        </w:rPr>
        <w:t xml:space="preserve"> ya que este principio exige que cualquier medida coercitiva se base exclusivamente en conductas procesales objetivamente demostrables, pero no en la responsabilidad penal</w:t>
      </w:r>
      <w:r w:rsidR="00E071AC" w:rsidRPr="00E071AC">
        <w:rPr>
          <w:color w:val="000000" w:themeColor="text1"/>
          <w:sz w:val="28"/>
          <w:szCs w:val="28"/>
          <w:lang w:val="es-CO"/>
        </w:rPr>
        <w:t>,</w:t>
      </w:r>
      <w:r w:rsidRPr="00E071AC">
        <w:rPr>
          <w:color w:val="000000" w:themeColor="text1"/>
          <w:sz w:val="28"/>
          <w:szCs w:val="28"/>
          <w:lang w:val="es-CO"/>
        </w:rPr>
        <w:t xml:space="preserve"> aún no confirmada</w:t>
      </w:r>
      <w:r w:rsidR="00E071AC" w:rsidRPr="00E071AC">
        <w:rPr>
          <w:color w:val="000000" w:themeColor="text1"/>
          <w:sz w:val="28"/>
          <w:szCs w:val="28"/>
          <w:lang w:val="es-CO"/>
        </w:rPr>
        <w:t>,</w:t>
      </w:r>
      <w:r w:rsidRPr="00E071AC">
        <w:rPr>
          <w:color w:val="000000" w:themeColor="text1"/>
          <w:sz w:val="28"/>
          <w:szCs w:val="28"/>
          <w:lang w:val="es-CO"/>
        </w:rPr>
        <w:t xml:space="preserve"> por una sentencia que no tiene el carácter de definitiva. En tal sentido, el ciudadano expuso que la detención durante el trámite de apelación debe fundarse en evidencias sobre la conducta del imputado y no confundirse con la ejecución de la pena que, por definición, carece de plenos efectos.</w:t>
      </w:r>
    </w:p>
    <w:p w14:paraId="6F08CA89" w14:textId="77777777" w:rsidR="00966D52" w:rsidRPr="00EC2190" w:rsidRDefault="00966D52" w:rsidP="00E067C2">
      <w:pPr>
        <w:pStyle w:val="Prrafodelista"/>
        <w:jc w:val="both"/>
        <w:rPr>
          <w:color w:val="000000" w:themeColor="text1"/>
          <w:sz w:val="28"/>
          <w:szCs w:val="28"/>
          <w:highlight w:val="yellow"/>
          <w:lang w:val="es-CO"/>
        </w:rPr>
      </w:pPr>
    </w:p>
    <w:p w14:paraId="3F4EE780" w14:textId="41845736" w:rsidR="00966D52" w:rsidRPr="00E071AC" w:rsidRDefault="00966D52"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E071AC">
        <w:rPr>
          <w:color w:val="000000" w:themeColor="text1"/>
          <w:sz w:val="28"/>
          <w:szCs w:val="28"/>
          <w:lang w:val="es-CO"/>
        </w:rPr>
        <w:t>Finalmente, el accionante manifestó que</w:t>
      </w:r>
      <w:r w:rsidR="00E071AC">
        <w:rPr>
          <w:color w:val="000000" w:themeColor="text1"/>
          <w:sz w:val="28"/>
          <w:szCs w:val="28"/>
          <w:lang w:val="es-CO"/>
        </w:rPr>
        <w:t>,</w:t>
      </w:r>
      <w:r w:rsidRPr="00E071AC">
        <w:rPr>
          <w:color w:val="000000" w:themeColor="text1"/>
          <w:sz w:val="28"/>
          <w:szCs w:val="28"/>
          <w:lang w:val="es-CO"/>
        </w:rPr>
        <w:t xml:space="preserve"> si bien el artículo 450 del CPP no es objeto de la demanda, en todo caso, puede resultar afectado con la interpretación que la Cort</w:t>
      </w:r>
      <w:r w:rsidR="00E071AC">
        <w:rPr>
          <w:color w:val="000000" w:themeColor="text1"/>
          <w:sz w:val="28"/>
          <w:szCs w:val="28"/>
          <w:lang w:val="es-CO"/>
        </w:rPr>
        <w:t xml:space="preserve">e </w:t>
      </w:r>
      <w:r w:rsidRPr="00E071AC">
        <w:rPr>
          <w:color w:val="000000" w:themeColor="text1"/>
          <w:sz w:val="28"/>
          <w:szCs w:val="28"/>
          <w:lang w:val="es-CO"/>
        </w:rPr>
        <w:t>realice sobre las disposiciones demandadas</w:t>
      </w:r>
      <w:r w:rsidR="00E071AC">
        <w:rPr>
          <w:color w:val="000000" w:themeColor="text1"/>
          <w:sz w:val="28"/>
          <w:szCs w:val="28"/>
          <w:lang w:val="es-CO"/>
        </w:rPr>
        <w:t>,</w:t>
      </w:r>
      <w:r w:rsidRPr="00E071AC">
        <w:rPr>
          <w:color w:val="000000" w:themeColor="text1"/>
          <w:sz w:val="28"/>
          <w:szCs w:val="28"/>
          <w:lang w:val="es-CO"/>
        </w:rPr>
        <w:t xml:space="preserve"> aun cuando ya fue objeto de pronunciamiento en la sentencia C-342 de 2017.</w:t>
      </w:r>
    </w:p>
    <w:p w14:paraId="043A6FFD" w14:textId="105B81C6" w:rsidR="00966D52" w:rsidRPr="00F049DA" w:rsidRDefault="00E54195"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F049DA">
        <w:rPr>
          <w:i/>
          <w:iCs/>
          <w:color w:val="000000" w:themeColor="text1"/>
          <w:sz w:val="28"/>
          <w:szCs w:val="28"/>
          <w:u w:val="single"/>
          <w:lang w:val="es-CO"/>
        </w:rPr>
        <w:lastRenderedPageBreak/>
        <w:t>Segundo cargo (desconocimiento del debido proceso y de la vigencia del orden justo)</w:t>
      </w:r>
      <w:r w:rsidRPr="00F049DA">
        <w:rPr>
          <w:color w:val="000000" w:themeColor="text1"/>
          <w:sz w:val="28"/>
          <w:szCs w:val="28"/>
          <w:lang w:val="es-CO"/>
        </w:rPr>
        <w:t>. Este cargo</w:t>
      </w:r>
      <w:r w:rsidR="00966D52" w:rsidRPr="00F049DA">
        <w:rPr>
          <w:color w:val="000000" w:themeColor="text1"/>
          <w:sz w:val="28"/>
          <w:szCs w:val="28"/>
          <w:lang w:val="es-CO"/>
        </w:rPr>
        <w:t xml:space="preserve"> se dirigió de forma exclusiva en contra del artículo 177 del CPP</w:t>
      </w:r>
      <w:r w:rsidR="0015665F" w:rsidRPr="00F049DA">
        <w:rPr>
          <w:color w:val="000000" w:themeColor="text1"/>
          <w:sz w:val="28"/>
          <w:szCs w:val="28"/>
          <w:lang w:val="es-CO"/>
        </w:rPr>
        <w:t xml:space="preserve"> y</w:t>
      </w:r>
      <w:r w:rsidR="00B25B97" w:rsidRPr="00F049DA">
        <w:rPr>
          <w:color w:val="000000" w:themeColor="text1"/>
          <w:sz w:val="28"/>
          <w:szCs w:val="28"/>
          <w:lang w:val="es-CO"/>
        </w:rPr>
        <w:t xml:space="preserve"> </w:t>
      </w:r>
      <w:r w:rsidR="00350149">
        <w:rPr>
          <w:color w:val="000000" w:themeColor="text1"/>
          <w:sz w:val="28"/>
          <w:szCs w:val="28"/>
          <w:lang w:val="es-CO"/>
        </w:rPr>
        <w:t xml:space="preserve">sobre </w:t>
      </w:r>
      <w:r w:rsidR="0015665F" w:rsidRPr="00F049DA">
        <w:rPr>
          <w:color w:val="000000" w:themeColor="text1"/>
          <w:sz w:val="28"/>
          <w:szCs w:val="28"/>
          <w:lang w:val="es-CO"/>
        </w:rPr>
        <w:t xml:space="preserve">la interpretación que de </w:t>
      </w:r>
      <w:r w:rsidR="00E071AC" w:rsidRPr="00F049DA">
        <w:rPr>
          <w:color w:val="000000" w:themeColor="text1"/>
          <w:sz w:val="28"/>
          <w:szCs w:val="28"/>
          <w:lang w:val="es-CO"/>
        </w:rPr>
        <w:t>é</w:t>
      </w:r>
      <w:r w:rsidR="0015665F" w:rsidRPr="00F049DA">
        <w:rPr>
          <w:color w:val="000000" w:themeColor="text1"/>
          <w:sz w:val="28"/>
          <w:szCs w:val="28"/>
          <w:lang w:val="es-CO"/>
        </w:rPr>
        <w:t xml:space="preserve">ste </w:t>
      </w:r>
      <w:proofErr w:type="gramStart"/>
      <w:r w:rsidR="0015665F" w:rsidRPr="00F049DA">
        <w:rPr>
          <w:color w:val="000000" w:themeColor="text1"/>
          <w:sz w:val="28"/>
          <w:szCs w:val="28"/>
          <w:lang w:val="es-CO"/>
        </w:rPr>
        <w:t>ha efectuado</w:t>
      </w:r>
      <w:proofErr w:type="gramEnd"/>
      <w:r w:rsidR="0015665F" w:rsidRPr="00F049DA">
        <w:rPr>
          <w:color w:val="000000" w:themeColor="text1"/>
          <w:sz w:val="28"/>
          <w:szCs w:val="28"/>
          <w:lang w:val="es-CO"/>
        </w:rPr>
        <w:t xml:space="preserve"> el órgano de cierre de la </w:t>
      </w:r>
      <w:r w:rsidR="00E071AC" w:rsidRPr="00F049DA">
        <w:rPr>
          <w:color w:val="000000" w:themeColor="text1"/>
          <w:sz w:val="28"/>
          <w:szCs w:val="28"/>
          <w:lang w:val="es-CO"/>
        </w:rPr>
        <w:t>J</w:t>
      </w:r>
      <w:r w:rsidR="0015665F" w:rsidRPr="00F049DA">
        <w:rPr>
          <w:color w:val="000000" w:themeColor="text1"/>
          <w:sz w:val="28"/>
          <w:szCs w:val="28"/>
          <w:lang w:val="es-CO"/>
        </w:rPr>
        <w:t xml:space="preserve">urisdicción </w:t>
      </w:r>
      <w:r w:rsidR="00E071AC" w:rsidRPr="00F049DA">
        <w:rPr>
          <w:color w:val="000000" w:themeColor="text1"/>
          <w:sz w:val="28"/>
          <w:szCs w:val="28"/>
          <w:lang w:val="es-CO"/>
        </w:rPr>
        <w:t>Ordinaria P</w:t>
      </w:r>
      <w:r w:rsidR="0015665F" w:rsidRPr="00F049DA">
        <w:rPr>
          <w:color w:val="000000" w:themeColor="text1"/>
          <w:sz w:val="28"/>
          <w:szCs w:val="28"/>
          <w:lang w:val="es-CO"/>
        </w:rPr>
        <w:t>enal</w:t>
      </w:r>
      <w:r w:rsidR="00350149">
        <w:rPr>
          <w:color w:val="000000" w:themeColor="text1"/>
          <w:sz w:val="28"/>
          <w:szCs w:val="28"/>
          <w:lang w:val="es-CO"/>
        </w:rPr>
        <w:t xml:space="preserve">. </w:t>
      </w:r>
      <w:r w:rsidR="00966D52" w:rsidRPr="00F049DA">
        <w:rPr>
          <w:color w:val="000000" w:themeColor="text1"/>
          <w:sz w:val="28"/>
          <w:szCs w:val="28"/>
          <w:lang w:val="es-CO"/>
        </w:rPr>
        <w:t xml:space="preserve">Lo anterior, toda vez que la lectura </w:t>
      </w:r>
      <w:r w:rsidR="00350149">
        <w:rPr>
          <w:color w:val="000000" w:themeColor="text1"/>
          <w:sz w:val="28"/>
          <w:szCs w:val="28"/>
          <w:lang w:val="es-CO"/>
        </w:rPr>
        <w:t>propuesta</w:t>
      </w:r>
      <w:r w:rsidR="001F23B5">
        <w:rPr>
          <w:color w:val="000000" w:themeColor="text1"/>
          <w:sz w:val="28"/>
          <w:szCs w:val="28"/>
          <w:lang w:val="es-CO"/>
        </w:rPr>
        <w:t xml:space="preserve"> por la Corte Suprema de Justicia, a juicio del actor,</w:t>
      </w:r>
      <w:r w:rsidR="00350149">
        <w:rPr>
          <w:color w:val="000000" w:themeColor="text1"/>
          <w:sz w:val="28"/>
          <w:szCs w:val="28"/>
          <w:lang w:val="es-CO"/>
        </w:rPr>
        <w:t xml:space="preserve"> </w:t>
      </w:r>
      <w:r w:rsidR="00966D52" w:rsidRPr="00F049DA">
        <w:rPr>
          <w:color w:val="000000" w:themeColor="text1"/>
          <w:sz w:val="28"/>
          <w:szCs w:val="28"/>
          <w:lang w:val="es-CO"/>
        </w:rPr>
        <w:t xml:space="preserve">se opone al tradicional entendimiento de los efectos en </w:t>
      </w:r>
      <w:r w:rsidR="001F23B5">
        <w:rPr>
          <w:color w:val="000000" w:themeColor="text1"/>
          <w:sz w:val="28"/>
          <w:szCs w:val="28"/>
          <w:lang w:val="es-CO"/>
        </w:rPr>
        <w:t xml:space="preserve">los </w:t>
      </w:r>
      <w:r w:rsidR="00966D52" w:rsidRPr="00F049DA">
        <w:rPr>
          <w:color w:val="000000" w:themeColor="text1"/>
          <w:sz w:val="28"/>
          <w:szCs w:val="28"/>
          <w:lang w:val="es-CO"/>
        </w:rPr>
        <w:t>que se conceden los recursos</w:t>
      </w:r>
      <w:r w:rsidR="00CA37E3" w:rsidRPr="00F049DA">
        <w:rPr>
          <w:color w:val="000000" w:themeColor="text1"/>
          <w:sz w:val="28"/>
          <w:szCs w:val="28"/>
          <w:lang w:val="es-CO"/>
        </w:rPr>
        <w:t>,</w:t>
      </w:r>
      <w:r w:rsidR="00966D52" w:rsidRPr="00F049DA">
        <w:rPr>
          <w:color w:val="000000" w:themeColor="text1"/>
          <w:sz w:val="28"/>
          <w:szCs w:val="28"/>
          <w:lang w:val="es-CO"/>
        </w:rPr>
        <w:t xml:space="preserve"> dado que en </w:t>
      </w:r>
      <w:r w:rsidR="001F23B5">
        <w:rPr>
          <w:color w:val="000000" w:themeColor="text1"/>
          <w:sz w:val="28"/>
          <w:szCs w:val="28"/>
          <w:lang w:val="es-CO"/>
        </w:rPr>
        <w:t xml:space="preserve">la </w:t>
      </w:r>
      <w:r w:rsidR="00966D52" w:rsidRPr="00F049DA">
        <w:rPr>
          <w:color w:val="000000" w:themeColor="text1"/>
          <w:sz w:val="28"/>
          <w:szCs w:val="28"/>
          <w:lang w:val="es-CO"/>
        </w:rPr>
        <w:t>sentencia C-282 de 2017</w:t>
      </w:r>
      <w:r w:rsidR="00CA37E3" w:rsidRPr="00F049DA">
        <w:rPr>
          <w:color w:val="000000" w:themeColor="text1"/>
          <w:sz w:val="28"/>
          <w:szCs w:val="28"/>
          <w:lang w:val="es-CO"/>
        </w:rPr>
        <w:t>,</w:t>
      </w:r>
      <w:r w:rsidR="00966D52" w:rsidRPr="00F049DA">
        <w:rPr>
          <w:color w:val="000000" w:themeColor="text1"/>
          <w:sz w:val="28"/>
          <w:szCs w:val="28"/>
          <w:lang w:val="es-CO"/>
        </w:rPr>
        <w:t xml:space="preserve"> </w:t>
      </w:r>
      <w:r w:rsidR="001F23B5">
        <w:rPr>
          <w:color w:val="000000" w:themeColor="text1"/>
          <w:sz w:val="28"/>
          <w:szCs w:val="28"/>
          <w:lang w:val="es-CO"/>
        </w:rPr>
        <w:t xml:space="preserve">se </w:t>
      </w:r>
      <w:r w:rsidR="00966D52" w:rsidRPr="00F049DA">
        <w:rPr>
          <w:color w:val="000000" w:themeColor="text1"/>
          <w:sz w:val="28"/>
          <w:szCs w:val="28"/>
          <w:lang w:val="es-CO"/>
        </w:rPr>
        <w:t xml:space="preserve">precisó </w:t>
      </w:r>
      <w:r w:rsidR="001F23B5">
        <w:rPr>
          <w:color w:val="000000" w:themeColor="text1"/>
          <w:sz w:val="28"/>
          <w:szCs w:val="28"/>
          <w:lang w:val="es-CO"/>
        </w:rPr>
        <w:t xml:space="preserve">que </w:t>
      </w:r>
      <w:r w:rsidR="00966D52" w:rsidRPr="00F049DA">
        <w:rPr>
          <w:color w:val="000000" w:themeColor="text1"/>
          <w:sz w:val="28"/>
          <w:szCs w:val="28"/>
          <w:lang w:val="es-CO"/>
        </w:rPr>
        <w:t xml:space="preserve">la consecuencia real del efecto suspensivo de </w:t>
      </w:r>
      <w:r w:rsidR="001F23B5">
        <w:rPr>
          <w:color w:val="000000" w:themeColor="text1"/>
          <w:sz w:val="28"/>
          <w:szCs w:val="28"/>
          <w:lang w:val="es-CO"/>
        </w:rPr>
        <w:t>l</w:t>
      </w:r>
      <w:r w:rsidR="00966D52" w:rsidRPr="00F049DA">
        <w:rPr>
          <w:color w:val="000000" w:themeColor="text1"/>
          <w:sz w:val="28"/>
          <w:szCs w:val="28"/>
          <w:lang w:val="es-CO"/>
        </w:rPr>
        <w:t xml:space="preserve">a apelación no es la pérdida de competencia temporal de la autoridad que profirió la decisión, sino interrumpir la ejecución de </w:t>
      </w:r>
      <w:proofErr w:type="gramStart"/>
      <w:r w:rsidR="00966D52" w:rsidRPr="00F049DA">
        <w:rPr>
          <w:color w:val="000000" w:themeColor="text1"/>
          <w:sz w:val="28"/>
          <w:szCs w:val="28"/>
          <w:lang w:val="es-CO"/>
        </w:rPr>
        <w:t xml:space="preserve">la </w:t>
      </w:r>
      <w:r w:rsidR="001F23B5">
        <w:rPr>
          <w:color w:val="000000" w:themeColor="text1"/>
          <w:sz w:val="28"/>
          <w:szCs w:val="28"/>
          <w:lang w:val="es-CO"/>
        </w:rPr>
        <w:t>misma</w:t>
      </w:r>
      <w:proofErr w:type="gramEnd"/>
      <w:r w:rsidR="001F23B5">
        <w:rPr>
          <w:color w:val="000000" w:themeColor="text1"/>
          <w:sz w:val="28"/>
          <w:szCs w:val="28"/>
          <w:lang w:val="es-CO"/>
        </w:rPr>
        <w:t>.</w:t>
      </w:r>
    </w:p>
    <w:p w14:paraId="50E6FEC5" w14:textId="77777777" w:rsidR="00966D52" w:rsidRPr="00F049DA" w:rsidRDefault="00966D52"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1D9DD5A2" w14:textId="691DEC72" w:rsidR="008D62CF" w:rsidRPr="00F049DA" w:rsidRDefault="001F23B5"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Pr>
          <w:color w:val="000000" w:themeColor="text1"/>
          <w:sz w:val="28"/>
          <w:szCs w:val="28"/>
          <w:lang w:val="es-CO"/>
        </w:rPr>
        <w:t>Por ende</w:t>
      </w:r>
      <w:r w:rsidR="00966D52" w:rsidRPr="00F049DA">
        <w:rPr>
          <w:color w:val="000000" w:themeColor="text1"/>
          <w:sz w:val="28"/>
          <w:szCs w:val="28"/>
          <w:lang w:val="es-CO"/>
        </w:rPr>
        <w:t xml:space="preserve">, </w:t>
      </w:r>
      <w:r w:rsidR="00E54195" w:rsidRPr="00F049DA">
        <w:rPr>
          <w:color w:val="000000" w:themeColor="text1"/>
          <w:sz w:val="28"/>
          <w:szCs w:val="28"/>
          <w:lang w:val="es-CO"/>
        </w:rPr>
        <w:t xml:space="preserve">el ciudadano </w:t>
      </w:r>
      <w:r w:rsidR="00966D52" w:rsidRPr="00F049DA">
        <w:rPr>
          <w:color w:val="000000" w:themeColor="text1"/>
          <w:sz w:val="28"/>
          <w:szCs w:val="28"/>
          <w:lang w:val="es-CO"/>
        </w:rPr>
        <w:t xml:space="preserve">solicitó la declaratoria de </w:t>
      </w:r>
      <w:proofErr w:type="spellStart"/>
      <w:r w:rsidR="00966D52" w:rsidRPr="00F049DA">
        <w:rPr>
          <w:color w:val="000000" w:themeColor="text1"/>
          <w:sz w:val="28"/>
          <w:szCs w:val="28"/>
          <w:lang w:val="es-CO"/>
        </w:rPr>
        <w:t>exequibilidad</w:t>
      </w:r>
      <w:proofErr w:type="spellEnd"/>
      <w:r w:rsidR="00966D52" w:rsidRPr="00F049DA">
        <w:rPr>
          <w:color w:val="000000" w:themeColor="text1"/>
          <w:sz w:val="28"/>
          <w:szCs w:val="28"/>
          <w:lang w:val="es-CO"/>
        </w:rPr>
        <w:t xml:space="preserve"> condicionada de los artículos demandados</w:t>
      </w:r>
      <w:r>
        <w:rPr>
          <w:color w:val="000000" w:themeColor="text1"/>
          <w:sz w:val="28"/>
          <w:szCs w:val="28"/>
          <w:lang w:val="es-CO"/>
        </w:rPr>
        <w:t>,</w:t>
      </w:r>
      <w:r w:rsidR="00966D52" w:rsidRPr="00F049DA">
        <w:rPr>
          <w:color w:val="000000" w:themeColor="text1"/>
          <w:sz w:val="28"/>
          <w:szCs w:val="28"/>
          <w:lang w:val="es-CO"/>
        </w:rPr>
        <w:t xml:space="preserve"> en el entendido que</w:t>
      </w:r>
      <w:r>
        <w:rPr>
          <w:color w:val="000000" w:themeColor="text1"/>
          <w:sz w:val="28"/>
          <w:szCs w:val="28"/>
          <w:lang w:val="es-CO"/>
        </w:rPr>
        <w:t>,</w:t>
      </w:r>
      <w:r w:rsidR="00966D52" w:rsidRPr="00F049DA">
        <w:rPr>
          <w:color w:val="000000" w:themeColor="text1"/>
          <w:sz w:val="28"/>
          <w:szCs w:val="28"/>
          <w:lang w:val="es-CO"/>
        </w:rPr>
        <w:t xml:space="preserve"> (i) respecto del artículos 63 del CP</w:t>
      </w:r>
      <w:r>
        <w:rPr>
          <w:color w:val="000000" w:themeColor="text1"/>
          <w:sz w:val="28"/>
          <w:szCs w:val="28"/>
          <w:lang w:val="es-CO"/>
        </w:rPr>
        <w:t>,</w:t>
      </w:r>
      <w:r w:rsidR="00966D52" w:rsidRPr="00F049DA">
        <w:rPr>
          <w:color w:val="000000" w:themeColor="text1"/>
          <w:sz w:val="28"/>
          <w:szCs w:val="28"/>
          <w:lang w:val="es-CO"/>
        </w:rPr>
        <w:t xml:space="preserve"> “</w:t>
      </w:r>
      <w:r w:rsidR="00966D52" w:rsidRPr="00F049DA">
        <w:rPr>
          <w:i/>
          <w:iCs/>
          <w:color w:val="000000" w:themeColor="text1"/>
          <w:sz w:val="28"/>
          <w:szCs w:val="28"/>
          <w:lang w:val="es-CO"/>
        </w:rPr>
        <w:t>el incumplimiento de los requisitos señalados no implica la ejecución inmediata de la sentencia de primera instancia y</w:t>
      </w:r>
      <w:r w:rsidR="007922EC">
        <w:rPr>
          <w:i/>
          <w:iCs/>
          <w:color w:val="000000" w:themeColor="text1"/>
          <w:sz w:val="28"/>
          <w:szCs w:val="28"/>
          <w:lang w:val="es-CO"/>
        </w:rPr>
        <w:t>,</w:t>
      </w:r>
      <w:r w:rsidR="00966D52" w:rsidRPr="00F049DA">
        <w:rPr>
          <w:i/>
          <w:iCs/>
          <w:color w:val="000000" w:themeColor="text1"/>
          <w:sz w:val="28"/>
          <w:szCs w:val="28"/>
          <w:lang w:val="es-CO"/>
        </w:rPr>
        <w:t xml:space="preserve"> en general, de toda aquella que no esté en firme, de manera que, en esos casos, no puede ser un factor para tener en cuenta expedir orden de captura contra quien se halle en libertad al momento de esa condena que no está en firme</w:t>
      </w:r>
      <w:r w:rsidR="00966D52" w:rsidRPr="00F049DA">
        <w:rPr>
          <w:color w:val="000000" w:themeColor="text1"/>
          <w:sz w:val="28"/>
          <w:szCs w:val="28"/>
          <w:lang w:val="es-CO"/>
        </w:rPr>
        <w:t>”</w:t>
      </w:r>
      <w:r w:rsidR="00CA37E3" w:rsidRPr="00F049DA">
        <w:rPr>
          <w:rStyle w:val="Refdenotaalpie"/>
          <w:color w:val="000000" w:themeColor="text1"/>
          <w:lang w:val="es-CO"/>
        </w:rPr>
        <w:footnoteReference w:id="3"/>
      </w:r>
      <w:r w:rsidR="00966D52" w:rsidRPr="00F049DA">
        <w:rPr>
          <w:color w:val="000000" w:themeColor="text1"/>
          <w:sz w:val="28"/>
          <w:szCs w:val="28"/>
          <w:lang w:val="es-CO"/>
        </w:rPr>
        <w:t xml:space="preserve"> y</w:t>
      </w:r>
      <w:r w:rsidR="007922EC">
        <w:rPr>
          <w:color w:val="000000" w:themeColor="text1"/>
          <w:sz w:val="28"/>
          <w:szCs w:val="28"/>
          <w:lang w:val="es-CO"/>
        </w:rPr>
        <w:t>,</w:t>
      </w:r>
      <w:r w:rsidR="00966D52" w:rsidRPr="00F049DA">
        <w:rPr>
          <w:color w:val="000000" w:themeColor="text1"/>
          <w:sz w:val="28"/>
          <w:szCs w:val="28"/>
          <w:lang w:val="es-CO"/>
        </w:rPr>
        <w:t xml:space="preserve"> (</w:t>
      </w:r>
      <w:proofErr w:type="spellStart"/>
      <w:r w:rsidR="00966D52" w:rsidRPr="00F049DA">
        <w:rPr>
          <w:color w:val="000000" w:themeColor="text1"/>
          <w:sz w:val="28"/>
          <w:szCs w:val="28"/>
          <w:lang w:val="es-CO"/>
        </w:rPr>
        <w:t>ii</w:t>
      </w:r>
      <w:proofErr w:type="spellEnd"/>
      <w:r w:rsidR="00966D52" w:rsidRPr="00F049DA">
        <w:rPr>
          <w:color w:val="000000" w:themeColor="text1"/>
          <w:sz w:val="28"/>
          <w:szCs w:val="28"/>
          <w:lang w:val="es-CO"/>
        </w:rPr>
        <w:t>) en cuanto al artículo 177 del CPP</w:t>
      </w:r>
      <w:r w:rsidR="007922EC">
        <w:rPr>
          <w:color w:val="000000" w:themeColor="text1"/>
          <w:sz w:val="28"/>
          <w:szCs w:val="28"/>
          <w:lang w:val="es-CO"/>
        </w:rPr>
        <w:t>,</w:t>
      </w:r>
      <w:r w:rsidR="00966D52" w:rsidRPr="00F049DA">
        <w:rPr>
          <w:color w:val="000000" w:themeColor="text1"/>
          <w:sz w:val="28"/>
          <w:szCs w:val="28"/>
          <w:lang w:val="es-CO"/>
        </w:rPr>
        <w:t xml:space="preserve"> “</w:t>
      </w:r>
      <w:r w:rsidR="00966D52" w:rsidRPr="00F049DA">
        <w:rPr>
          <w:i/>
          <w:iCs/>
          <w:color w:val="000000" w:themeColor="text1"/>
          <w:sz w:val="28"/>
          <w:szCs w:val="28"/>
          <w:lang w:val="es-CO"/>
        </w:rPr>
        <w:t>no solo se suspende la competencia de quien profirió la decisión objeto de recurso, sino también la ejecución de sus efectos</w:t>
      </w:r>
      <w:r w:rsidR="00966D52" w:rsidRPr="00F049DA">
        <w:rPr>
          <w:color w:val="000000" w:themeColor="text1"/>
          <w:sz w:val="28"/>
          <w:szCs w:val="28"/>
          <w:lang w:val="es-CO"/>
        </w:rPr>
        <w:t>”</w:t>
      </w:r>
      <w:r w:rsidR="00240D88" w:rsidRPr="00F049DA">
        <w:rPr>
          <w:rStyle w:val="Refdenotaalpie"/>
          <w:color w:val="000000" w:themeColor="text1"/>
          <w:lang w:val="es-CO"/>
        </w:rPr>
        <w:footnoteReference w:id="4"/>
      </w:r>
      <w:r w:rsidR="00966D52" w:rsidRPr="00F049DA">
        <w:rPr>
          <w:color w:val="000000" w:themeColor="text1"/>
          <w:sz w:val="28"/>
          <w:szCs w:val="28"/>
          <w:lang w:val="es-CO"/>
        </w:rPr>
        <w:t xml:space="preserve">. En todo caso, manifestó que la interpretación de esta última norma, según la cual el efecto suspensivo solo recae sobre la competencia y no sobre su </w:t>
      </w:r>
      <w:r w:rsidR="00966D52" w:rsidRPr="007922EC">
        <w:rPr>
          <w:i/>
          <w:iCs/>
          <w:color w:val="000000" w:themeColor="text1"/>
          <w:sz w:val="28"/>
          <w:szCs w:val="28"/>
          <w:lang w:val="es-CO"/>
        </w:rPr>
        <w:t>contenido</w:t>
      </w:r>
      <w:r w:rsidR="00B25B97" w:rsidRPr="00F049DA">
        <w:rPr>
          <w:color w:val="000000" w:themeColor="text1"/>
          <w:sz w:val="28"/>
          <w:szCs w:val="28"/>
          <w:lang w:val="es-CO"/>
        </w:rPr>
        <w:t>,</w:t>
      </w:r>
      <w:r w:rsidR="00966D52" w:rsidRPr="00F049DA">
        <w:rPr>
          <w:color w:val="000000" w:themeColor="text1"/>
          <w:sz w:val="28"/>
          <w:szCs w:val="28"/>
          <w:lang w:val="es-CO"/>
        </w:rPr>
        <w:t xml:space="preserve"> debe ser declarada inexequible.</w:t>
      </w:r>
    </w:p>
    <w:p w14:paraId="7C677207" w14:textId="77777777" w:rsidR="008D62CF" w:rsidRPr="007922EC" w:rsidRDefault="008D62CF"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10FD1CD0" w14:textId="5CEE91EF" w:rsidR="008D62CF" w:rsidRPr="007922EC" w:rsidRDefault="008D62CF" w:rsidP="00E067C2">
      <w:pPr>
        <w:pStyle w:val="Prrafodelista"/>
        <w:widowControl w:val="0"/>
        <w:numPr>
          <w:ilvl w:val="0"/>
          <w:numId w:val="12"/>
        </w:numPr>
        <w:ind w:left="0" w:firstLine="0"/>
        <w:jc w:val="center"/>
        <w:outlineLvl w:val="0"/>
        <w:rPr>
          <w:rFonts w:eastAsia="Cambria"/>
          <w:b/>
          <w:bCs/>
          <w:color w:val="000000" w:themeColor="text1"/>
          <w:sz w:val="28"/>
          <w:szCs w:val="28"/>
          <w:lang w:val="es-CO" w:eastAsia="es-CO"/>
        </w:rPr>
      </w:pPr>
      <w:r w:rsidRPr="007922EC">
        <w:rPr>
          <w:rFonts w:eastAsia="Cambria"/>
          <w:b/>
          <w:bCs/>
          <w:color w:val="000000" w:themeColor="text1"/>
          <w:sz w:val="28"/>
          <w:szCs w:val="28"/>
          <w:lang w:val="es-CO" w:eastAsia="es-CO"/>
        </w:rPr>
        <w:t>Intervenciones ciudadanas y conceptos</w:t>
      </w:r>
    </w:p>
    <w:p w14:paraId="1FF28930" w14:textId="77777777" w:rsidR="008D62CF" w:rsidRPr="007922EC" w:rsidRDefault="008D62CF"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7CA747B4" w14:textId="6F556D56" w:rsidR="00D27034" w:rsidRPr="007922EC"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7922EC">
        <w:rPr>
          <w:rFonts w:eastAsiaTheme="minorHAnsi"/>
          <w:color w:val="000000" w:themeColor="text1"/>
          <w:sz w:val="28"/>
          <w:szCs w:val="28"/>
          <w:lang w:val="es-CO"/>
        </w:rPr>
        <w:t xml:space="preserve">En </w:t>
      </w:r>
      <w:r w:rsidR="00207A5B" w:rsidRPr="007922EC">
        <w:rPr>
          <w:rFonts w:eastAsiaTheme="minorHAnsi"/>
          <w:color w:val="000000" w:themeColor="text1"/>
          <w:sz w:val="28"/>
          <w:szCs w:val="28"/>
          <w:lang w:val="es-CO"/>
        </w:rPr>
        <w:t>el siguiente recuadro</w:t>
      </w:r>
      <w:r w:rsidRPr="007922EC">
        <w:rPr>
          <w:rFonts w:eastAsiaTheme="minorHAnsi"/>
          <w:color w:val="000000" w:themeColor="text1"/>
          <w:sz w:val="28"/>
          <w:szCs w:val="28"/>
          <w:lang w:val="es-CO"/>
        </w:rPr>
        <w:t xml:space="preserve"> se sintetiza</w:t>
      </w:r>
      <w:r w:rsidR="00207A5B" w:rsidRPr="007922EC">
        <w:rPr>
          <w:rFonts w:eastAsiaTheme="minorHAnsi"/>
          <w:color w:val="000000" w:themeColor="text1"/>
          <w:sz w:val="28"/>
          <w:szCs w:val="28"/>
          <w:lang w:val="es-CO"/>
        </w:rPr>
        <w:t xml:space="preserve">n </w:t>
      </w:r>
      <w:r w:rsidRPr="007922EC">
        <w:rPr>
          <w:rFonts w:eastAsiaTheme="minorHAnsi"/>
          <w:color w:val="000000" w:themeColor="text1"/>
          <w:sz w:val="28"/>
          <w:szCs w:val="28"/>
          <w:lang w:val="es-CO"/>
        </w:rPr>
        <w:t xml:space="preserve">las intervenciones ciudadanas y </w:t>
      </w:r>
      <w:r w:rsidR="00207A5B" w:rsidRPr="007922EC">
        <w:rPr>
          <w:rFonts w:eastAsiaTheme="minorHAnsi"/>
          <w:color w:val="000000" w:themeColor="text1"/>
          <w:sz w:val="28"/>
          <w:szCs w:val="28"/>
          <w:lang w:val="es-CO"/>
        </w:rPr>
        <w:t xml:space="preserve">los </w:t>
      </w:r>
      <w:r w:rsidRPr="007922EC">
        <w:rPr>
          <w:rFonts w:eastAsiaTheme="minorHAnsi"/>
          <w:color w:val="000000" w:themeColor="text1"/>
          <w:sz w:val="28"/>
          <w:szCs w:val="28"/>
          <w:lang w:val="es-CO"/>
        </w:rPr>
        <w:t>conceptos recibidos:</w:t>
      </w:r>
    </w:p>
    <w:p w14:paraId="3876D17B" w14:textId="77777777" w:rsidR="00D27034" w:rsidRPr="00EC2190" w:rsidRDefault="00D27034" w:rsidP="00E067C2">
      <w:pPr>
        <w:widowControl w:val="0"/>
        <w:contextualSpacing/>
        <w:jc w:val="both"/>
        <w:rPr>
          <w:rFonts w:eastAsiaTheme="minorHAnsi"/>
          <w:color w:val="000000" w:themeColor="text1"/>
          <w:sz w:val="28"/>
          <w:szCs w:val="28"/>
          <w:highlight w:val="yellow"/>
          <w:lang w:eastAsia="en-US"/>
        </w:rPr>
      </w:pPr>
    </w:p>
    <w:tbl>
      <w:tblPr>
        <w:tblStyle w:val="Tablaconcuadrcula1"/>
        <w:tblW w:w="5000" w:type="pct"/>
        <w:jc w:val="center"/>
        <w:tblLook w:val="04A0" w:firstRow="1" w:lastRow="0" w:firstColumn="1" w:lastColumn="0" w:noHBand="0" w:noVBand="1"/>
      </w:tblPr>
      <w:tblGrid>
        <w:gridCol w:w="1756"/>
        <w:gridCol w:w="1735"/>
        <w:gridCol w:w="2101"/>
        <w:gridCol w:w="2242"/>
        <w:gridCol w:w="1562"/>
      </w:tblGrid>
      <w:tr w:rsidR="00846698" w:rsidRPr="00EC2190" w14:paraId="6C77188F" w14:textId="77777777" w:rsidTr="00846698">
        <w:trPr>
          <w:tblHeader/>
          <w:jc w:val="center"/>
        </w:trPr>
        <w:tc>
          <w:tcPr>
            <w:tcW w:w="948" w:type="pct"/>
            <w:shd w:val="clear" w:color="auto" w:fill="D0CECE" w:themeFill="background2" w:themeFillShade="E6"/>
          </w:tcPr>
          <w:p w14:paraId="414F36B9" w14:textId="77777777" w:rsidR="00D27034" w:rsidRPr="007922EC" w:rsidRDefault="00D27034" w:rsidP="00E067C2">
            <w:pPr>
              <w:contextualSpacing/>
              <w:jc w:val="center"/>
              <w:rPr>
                <w:b/>
                <w:bCs/>
                <w:color w:val="000000" w:themeColor="text1"/>
                <w:sz w:val="20"/>
                <w:szCs w:val="20"/>
                <w:lang w:eastAsia="es-CO"/>
              </w:rPr>
            </w:pPr>
            <w:r w:rsidRPr="007922EC">
              <w:rPr>
                <w:b/>
                <w:bCs/>
                <w:color w:val="000000" w:themeColor="text1"/>
                <w:sz w:val="20"/>
                <w:szCs w:val="20"/>
                <w:lang w:eastAsia="es-CO"/>
              </w:rPr>
              <w:t>Tipo de participación</w:t>
            </w:r>
          </w:p>
        </w:tc>
        <w:tc>
          <w:tcPr>
            <w:tcW w:w="936" w:type="pct"/>
            <w:shd w:val="clear" w:color="auto" w:fill="D0CECE" w:themeFill="background2" w:themeFillShade="E6"/>
          </w:tcPr>
          <w:p w14:paraId="16F32549" w14:textId="77777777" w:rsidR="00D27034" w:rsidRPr="007922EC" w:rsidRDefault="00D27034" w:rsidP="00E067C2">
            <w:pPr>
              <w:contextualSpacing/>
              <w:jc w:val="center"/>
              <w:rPr>
                <w:b/>
                <w:bCs/>
                <w:color w:val="000000" w:themeColor="text1"/>
                <w:sz w:val="20"/>
                <w:szCs w:val="20"/>
                <w:lang w:eastAsia="es-CO"/>
              </w:rPr>
            </w:pPr>
            <w:r w:rsidRPr="007922EC">
              <w:rPr>
                <w:b/>
                <w:bCs/>
                <w:color w:val="000000" w:themeColor="text1"/>
                <w:sz w:val="20"/>
                <w:szCs w:val="20"/>
                <w:lang w:eastAsia="es-CO"/>
              </w:rPr>
              <w:t>Inhibición</w:t>
            </w:r>
          </w:p>
        </w:tc>
        <w:tc>
          <w:tcPr>
            <w:tcW w:w="1131" w:type="pct"/>
            <w:shd w:val="clear" w:color="auto" w:fill="D0CECE" w:themeFill="background2" w:themeFillShade="E6"/>
          </w:tcPr>
          <w:p w14:paraId="08EA1F57" w14:textId="77777777" w:rsidR="00D27034" w:rsidRPr="007922EC" w:rsidRDefault="00D27034" w:rsidP="00E067C2">
            <w:pPr>
              <w:contextualSpacing/>
              <w:jc w:val="center"/>
              <w:rPr>
                <w:b/>
                <w:bCs/>
                <w:color w:val="000000" w:themeColor="text1"/>
                <w:sz w:val="20"/>
                <w:szCs w:val="20"/>
                <w:lang w:eastAsia="es-CO"/>
              </w:rPr>
            </w:pPr>
            <w:proofErr w:type="spellStart"/>
            <w:r w:rsidRPr="007922EC">
              <w:rPr>
                <w:b/>
                <w:bCs/>
                <w:color w:val="000000" w:themeColor="text1"/>
                <w:sz w:val="20"/>
                <w:szCs w:val="20"/>
                <w:lang w:eastAsia="es-CO"/>
              </w:rPr>
              <w:t>Exequibilidad</w:t>
            </w:r>
            <w:proofErr w:type="spellEnd"/>
          </w:p>
        </w:tc>
        <w:tc>
          <w:tcPr>
            <w:tcW w:w="1206" w:type="pct"/>
            <w:shd w:val="clear" w:color="auto" w:fill="D0CECE" w:themeFill="background2" w:themeFillShade="E6"/>
          </w:tcPr>
          <w:p w14:paraId="18C0FA77" w14:textId="77777777" w:rsidR="00D27034" w:rsidRPr="007922EC" w:rsidRDefault="00D27034" w:rsidP="00E067C2">
            <w:pPr>
              <w:contextualSpacing/>
              <w:jc w:val="center"/>
              <w:rPr>
                <w:b/>
                <w:bCs/>
                <w:color w:val="000000" w:themeColor="text1"/>
                <w:sz w:val="20"/>
                <w:szCs w:val="20"/>
                <w:lang w:eastAsia="es-CO"/>
              </w:rPr>
            </w:pPr>
            <w:proofErr w:type="spellStart"/>
            <w:r w:rsidRPr="007922EC">
              <w:rPr>
                <w:b/>
                <w:bCs/>
                <w:color w:val="000000" w:themeColor="text1"/>
                <w:sz w:val="20"/>
                <w:szCs w:val="20"/>
                <w:lang w:eastAsia="es-CO"/>
              </w:rPr>
              <w:t>Exequibilidad</w:t>
            </w:r>
            <w:proofErr w:type="spellEnd"/>
            <w:r w:rsidRPr="007922EC">
              <w:rPr>
                <w:b/>
                <w:bCs/>
                <w:color w:val="000000" w:themeColor="text1"/>
                <w:sz w:val="20"/>
                <w:szCs w:val="20"/>
                <w:lang w:eastAsia="es-CO"/>
              </w:rPr>
              <w:t xml:space="preserve"> condicionada</w:t>
            </w:r>
          </w:p>
        </w:tc>
        <w:tc>
          <w:tcPr>
            <w:tcW w:w="779" w:type="pct"/>
            <w:shd w:val="clear" w:color="auto" w:fill="D0CECE" w:themeFill="background2" w:themeFillShade="E6"/>
          </w:tcPr>
          <w:p w14:paraId="3E556100" w14:textId="77777777" w:rsidR="00D27034" w:rsidRPr="007922EC" w:rsidRDefault="00D27034" w:rsidP="00E067C2">
            <w:pPr>
              <w:contextualSpacing/>
              <w:jc w:val="center"/>
              <w:rPr>
                <w:b/>
                <w:bCs/>
                <w:color w:val="000000" w:themeColor="text1"/>
                <w:sz w:val="20"/>
                <w:szCs w:val="20"/>
                <w:lang w:eastAsia="es-CO"/>
              </w:rPr>
            </w:pPr>
            <w:proofErr w:type="spellStart"/>
            <w:r w:rsidRPr="007922EC">
              <w:rPr>
                <w:b/>
                <w:bCs/>
                <w:color w:val="000000" w:themeColor="text1"/>
                <w:sz w:val="20"/>
                <w:szCs w:val="20"/>
                <w:lang w:eastAsia="es-CO"/>
              </w:rPr>
              <w:t>Inexequibilidad</w:t>
            </w:r>
            <w:proofErr w:type="spellEnd"/>
          </w:p>
        </w:tc>
      </w:tr>
      <w:tr w:rsidR="0004535D" w:rsidRPr="00EC2190" w14:paraId="4561EF25" w14:textId="77777777" w:rsidTr="007922EC">
        <w:trPr>
          <w:trHeight w:val="714"/>
          <w:jc w:val="center"/>
        </w:trPr>
        <w:tc>
          <w:tcPr>
            <w:tcW w:w="948" w:type="pct"/>
            <w:vAlign w:val="center"/>
          </w:tcPr>
          <w:p w14:paraId="2FF624CE" w14:textId="77777777" w:rsidR="00D27034" w:rsidRPr="007922EC" w:rsidRDefault="00D27034" w:rsidP="00E067C2">
            <w:pPr>
              <w:contextualSpacing/>
              <w:jc w:val="center"/>
              <w:rPr>
                <w:b/>
                <w:bCs/>
                <w:color w:val="000000" w:themeColor="text1"/>
                <w:sz w:val="20"/>
                <w:szCs w:val="20"/>
                <w:lang w:eastAsia="es-CO"/>
              </w:rPr>
            </w:pPr>
            <w:bookmarkStart w:id="7" w:name="_Hlk181802542"/>
            <w:r w:rsidRPr="007922EC">
              <w:rPr>
                <w:b/>
                <w:bCs/>
                <w:color w:val="000000" w:themeColor="text1"/>
                <w:sz w:val="20"/>
                <w:szCs w:val="20"/>
                <w:lang w:eastAsia="es-CO"/>
              </w:rPr>
              <w:t xml:space="preserve">Conceptos de organismos y entidades del Estado </w:t>
            </w:r>
            <w:r w:rsidRPr="007922EC">
              <w:rPr>
                <w:rFonts w:eastAsia="Cambria"/>
                <w:b/>
                <w:bCs/>
                <w:color w:val="000000" w:themeColor="text1"/>
                <w:sz w:val="20"/>
                <w:szCs w:val="20"/>
                <w:lang w:eastAsia="es-CO"/>
              </w:rPr>
              <w:t>(artículo 11 del Decreto 2067 de 1991)</w:t>
            </w:r>
            <w:r w:rsidRPr="007922EC">
              <w:rPr>
                <w:b/>
                <w:bCs/>
                <w:color w:val="000000" w:themeColor="text1"/>
                <w:sz w:val="20"/>
                <w:szCs w:val="20"/>
                <w:vertAlign w:val="superscript"/>
                <w:lang w:eastAsia="es-CO"/>
              </w:rPr>
              <w:footnoteReference w:id="5"/>
            </w:r>
            <w:r w:rsidRPr="007922EC">
              <w:rPr>
                <w:b/>
                <w:bCs/>
                <w:color w:val="000000" w:themeColor="text1"/>
                <w:sz w:val="20"/>
                <w:szCs w:val="20"/>
                <w:lang w:eastAsia="es-CO"/>
              </w:rPr>
              <w:t>.</w:t>
            </w:r>
          </w:p>
        </w:tc>
        <w:tc>
          <w:tcPr>
            <w:tcW w:w="936" w:type="pct"/>
            <w:vAlign w:val="center"/>
          </w:tcPr>
          <w:p w14:paraId="10EEBA3F" w14:textId="77777777" w:rsidR="00D27034" w:rsidRPr="007922EC" w:rsidRDefault="00D27034" w:rsidP="00E067C2">
            <w:pPr>
              <w:contextualSpacing/>
              <w:jc w:val="center"/>
              <w:rPr>
                <w:color w:val="000000" w:themeColor="text1"/>
                <w:sz w:val="20"/>
                <w:szCs w:val="20"/>
                <w:lang w:eastAsia="es-CO"/>
              </w:rPr>
            </w:pPr>
          </w:p>
          <w:p w14:paraId="400BA828" w14:textId="77777777" w:rsidR="00866352" w:rsidRPr="007922EC" w:rsidRDefault="00866352" w:rsidP="00E067C2">
            <w:pPr>
              <w:contextualSpacing/>
              <w:jc w:val="center"/>
              <w:rPr>
                <w:bCs/>
                <w:color w:val="000000" w:themeColor="text1"/>
                <w:sz w:val="20"/>
                <w:szCs w:val="20"/>
                <w:lang w:eastAsia="es-CO"/>
              </w:rPr>
            </w:pPr>
          </w:p>
          <w:p w14:paraId="316BBA56" w14:textId="0332D982" w:rsidR="00866352" w:rsidRPr="007922EC" w:rsidRDefault="00866352" w:rsidP="00E067C2">
            <w:pPr>
              <w:contextualSpacing/>
              <w:jc w:val="center"/>
              <w:rPr>
                <w:bCs/>
                <w:color w:val="000000" w:themeColor="text1"/>
                <w:sz w:val="20"/>
                <w:szCs w:val="20"/>
                <w:lang w:eastAsia="es-CO"/>
              </w:rPr>
            </w:pPr>
          </w:p>
        </w:tc>
        <w:tc>
          <w:tcPr>
            <w:tcW w:w="1131" w:type="pct"/>
            <w:vAlign w:val="center"/>
          </w:tcPr>
          <w:p w14:paraId="0CD8389B" w14:textId="77777777" w:rsidR="00D27034" w:rsidRPr="007922EC" w:rsidRDefault="00D27034" w:rsidP="00E067C2">
            <w:pPr>
              <w:contextualSpacing/>
              <w:jc w:val="center"/>
              <w:rPr>
                <w:color w:val="000000" w:themeColor="text1"/>
                <w:sz w:val="20"/>
                <w:szCs w:val="20"/>
                <w:lang w:eastAsia="es-CO"/>
              </w:rPr>
            </w:pPr>
          </w:p>
          <w:p w14:paraId="5E005119" w14:textId="1418C994" w:rsidR="00D27034" w:rsidRPr="007922EC" w:rsidRDefault="009758D4" w:rsidP="00E067C2">
            <w:pPr>
              <w:contextualSpacing/>
              <w:jc w:val="center"/>
              <w:rPr>
                <w:color w:val="000000" w:themeColor="text1"/>
                <w:sz w:val="20"/>
                <w:szCs w:val="20"/>
                <w:lang w:eastAsia="es-CO"/>
              </w:rPr>
            </w:pPr>
            <w:r w:rsidRPr="007922EC">
              <w:rPr>
                <w:color w:val="000000" w:themeColor="text1"/>
                <w:sz w:val="20"/>
                <w:szCs w:val="20"/>
                <w:lang w:eastAsia="es-CO"/>
              </w:rPr>
              <w:t>Ministerio de Justicia y del Derecho</w:t>
            </w:r>
          </w:p>
        </w:tc>
        <w:tc>
          <w:tcPr>
            <w:tcW w:w="1206" w:type="pct"/>
            <w:vAlign w:val="center"/>
          </w:tcPr>
          <w:p w14:paraId="4D340E2A" w14:textId="77777777" w:rsidR="00866352" w:rsidRPr="007922EC" w:rsidRDefault="00866352" w:rsidP="00E067C2">
            <w:pPr>
              <w:contextualSpacing/>
              <w:jc w:val="center"/>
              <w:rPr>
                <w:color w:val="000000" w:themeColor="text1"/>
                <w:sz w:val="20"/>
                <w:szCs w:val="20"/>
                <w:lang w:eastAsia="es-CO"/>
              </w:rPr>
            </w:pPr>
          </w:p>
        </w:tc>
        <w:tc>
          <w:tcPr>
            <w:tcW w:w="779" w:type="pct"/>
            <w:vAlign w:val="center"/>
          </w:tcPr>
          <w:p w14:paraId="6110322E" w14:textId="77777777" w:rsidR="00D27034" w:rsidRPr="007922EC" w:rsidRDefault="00D27034" w:rsidP="00E067C2">
            <w:pPr>
              <w:contextualSpacing/>
              <w:jc w:val="center"/>
              <w:rPr>
                <w:color w:val="000000" w:themeColor="text1"/>
                <w:sz w:val="20"/>
                <w:szCs w:val="20"/>
                <w:lang w:eastAsia="es-CO"/>
              </w:rPr>
            </w:pPr>
          </w:p>
        </w:tc>
      </w:tr>
      <w:tr w:rsidR="0004535D" w:rsidRPr="00EC2190" w14:paraId="7A80C798" w14:textId="77777777" w:rsidTr="007922EC">
        <w:trPr>
          <w:jc w:val="center"/>
        </w:trPr>
        <w:tc>
          <w:tcPr>
            <w:tcW w:w="948" w:type="pct"/>
            <w:vAlign w:val="center"/>
          </w:tcPr>
          <w:p w14:paraId="42CBA2F6" w14:textId="35EE111F" w:rsidR="00D27034" w:rsidRPr="007922EC" w:rsidRDefault="00D27034" w:rsidP="00E067C2">
            <w:pPr>
              <w:contextualSpacing/>
              <w:jc w:val="center"/>
              <w:rPr>
                <w:b/>
                <w:bCs/>
                <w:color w:val="000000" w:themeColor="text1"/>
                <w:sz w:val="20"/>
                <w:szCs w:val="20"/>
                <w:lang w:eastAsia="es-CO"/>
              </w:rPr>
            </w:pPr>
            <w:r w:rsidRPr="007922EC">
              <w:rPr>
                <w:rFonts w:eastAsia="Cambria"/>
                <w:b/>
                <w:bCs/>
                <w:color w:val="000000" w:themeColor="text1"/>
                <w:sz w:val="20"/>
                <w:szCs w:val="20"/>
                <w:lang w:eastAsia="es-CO"/>
              </w:rPr>
              <w:t>Conceptos de organizaciones, entidades y expertos invitados (artículo 13 del Decreto 2067 de 1991)</w:t>
            </w:r>
            <w:r w:rsidRPr="007922EC">
              <w:rPr>
                <w:b/>
                <w:bCs/>
                <w:color w:val="000000" w:themeColor="text1"/>
                <w:sz w:val="20"/>
                <w:szCs w:val="20"/>
                <w:shd w:val="clear" w:color="auto" w:fill="FFFFFF"/>
                <w:vertAlign w:val="superscript"/>
                <w:lang w:eastAsia="es-CO"/>
              </w:rPr>
              <w:footnoteReference w:id="6"/>
            </w:r>
            <w:r w:rsidRPr="007922EC">
              <w:rPr>
                <w:b/>
                <w:bCs/>
                <w:color w:val="000000" w:themeColor="text1"/>
                <w:sz w:val="20"/>
                <w:szCs w:val="20"/>
                <w:shd w:val="clear" w:color="auto" w:fill="FFFFFF"/>
                <w:lang w:eastAsia="es-CO"/>
              </w:rPr>
              <w:t>.</w:t>
            </w:r>
          </w:p>
        </w:tc>
        <w:tc>
          <w:tcPr>
            <w:tcW w:w="936" w:type="pct"/>
            <w:vAlign w:val="center"/>
          </w:tcPr>
          <w:p w14:paraId="19378033" w14:textId="3F671B7E" w:rsidR="00D27034" w:rsidRPr="007922EC" w:rsidRDefault="00E83D3B" w:rsidP="00E067C2">
            <w:pPr>
              <w:contextualSpacing/>
              <w:jc w:val="center"/>
              <w:rPr>
                <w:color w:val="000000" w:themeColor="text1"/>
                <w:sz w:val="20"/>
                <w:szCs w:val="20"/>
                <w:lang w:eastAsia="es-CO"/>
              </w:rPr>
            </w:pPr>
            <w:r w:rsidRPr="007922EC">
              <w:rPr>
                <w:color w:val="000000" w:themeColor="text1"/>
                <w:sz w:val="20"/>
                <w:szCs w:val="20"/>
                <w:lang w:eastAsia="es-CO"/>
              </w:rPr>
              <w:t xml:space="preserve">Pontificia Universidad Javeriana y </w:t>
            </w:r>
            <w:r w:rsidR="00207626" w:rsidRPr="007922EC">
              <w:rPr>
                <w:color w:val="000000" w:themeColor="text1"/>
                <w:sz w:val="20"/>
                <w:szCs w:val="20"/>
                <w:lang w:eastAsia="es-CO"/>
              </w:rPr>
              <w:t xml:space="preserve">la </w:t>
            </w:r>
            <w:r w:rsidRPr="007922EC">
              <w:rPr>
                <w:color w:val="000000" w:themeColor="text1"/>
                <w:sz w:val="20"/>
                <w:szCs w:val="20"/>
                <w:lang w:eastAsia="es-CO"/>
              </w:rPr>
              <w:t>Academia Colombiana de Jurisprudencia</w:t>
            </w:r>
          </w:p>
        </w:tc>
        <w:tc>
          <w:tcPr>
            <w:tcW w:w="1131" w:type="pct"/>
            <w:vAlign w:val="center"/>
          </w:tcPr>
          <w:p w14:paraId="013DED49" w14:textId="611317F0" w:rsidR="00D27034" w:rsidRPr="007922EC" w:rsidRDefault="009758D4" w:rsidP="00E067C2">
            <w:pPr>
              <w:contextualSpacing/>
              <w:jc w:val="center"/>
              <w:rPr>
                <w:color w:val="000000" w:themeColor="text1"/>
                <w:sz w:val="20"/>
                <w:szCs w:val="20"/>
                <w:lang w:eastAsia="es-CO"/>
              </w:rPr>
            </w:pPr>
            <w:r w:rsidRPr="007922EC">
              <w:rPr>
                <w:color w:val="000000" w:themeColor="text1"/>
                <w:sz w:val="20"/>
                <w:szCs w:val="20"/>
                <w:lang w:eastAsia="es-CO"/>
              </w:rPr>
              <w:t>Universidad Pontificia Bolivariana</w:t>
            </w:r>
          </w:p>
        </w:tc>
        <w:tc>
          <w:tcPr>
            <w:tcW w:w="1206" w:type="pct"/>
            <w:vAlign w:val="center"/>
          </w:tcPr>
          <w:p w14:paraId="3FC4CB4F" w14:textId="5FEE538D" w:rsidR="00D27034" w:rsidRPr="007922EC" w:rsidRDefault="009758D4" w:rsidP="00E067C2">
            <w:pPr>
              <w:jc w:val="center"/>
              <w:rPr>
                <w:color w:val="000000" w:themeColor="text1"/>
                <w:sz w:val="20"/>
                <w:szCs w:val="20"/>
                <w:lang w:eastAsia="es-CO"/>
              </w:rPr>
            </w:pPr>
            <w:r w:rsidRPr="007922EC">
              <w:rPr>
                <w:color w:val="000000" w:themeColor="text1"/>
                <w:sz w:val="20"/>
                <w:szCs w:val="20"/>
                <w:lang w:eastAsia="es-CO"/>
              </w:rPr>
              <w:t>Universidad de los Andes, Instituto Colombiano de Derecho Procesal</w:t>
            </w:r>
            <w:r w:rsidR="007922EC" w:rsidRPr="007922EC">
              <w:rPr>
                <w:color w:val="000000" w:themeColor="text1"/>
                <w:sz w:val="20"/>
                <w:szCs w:val="20"/>
                <w:lang w:eastAsia="es-CO"/>
              </w:rPr>
              <w:t xml:space="preserve"> (</w:t>
            </w:r>
            <w:r w:rsidRPr="007922EC">
              <w:rPr>
                <w:color w:val="000000" w:themeColor="text1"/>
                <w:sz w:val="20"/>
                <w:szCs w:val="20"/>
                <w:lang w:eastAsia="es-CO"/>
              </w:rPr>
              <w:t>ICDP</w:t>
            </w:r>
            <w:r w:rsidR="007922EC" w:rsidRPr="007922EC">
              <w:rPr>
                <w:color w:val="000000" w:themeColor="text1"/>
                <w:sz w:val="20"/>
                <w:szCs w:val="20"/>
                <w:lang w:eastAsia="es-CO"/>
              </w:rPr>
              <w:t>)</w:t>
            </w:r>
            <w:r w:rsidR="00E83D3B" w:rsidRPr="007922EC">
              <w:rPr>
                <w:color w:val="000000" w:themeColor="text1"/>
                <w:sz w:val="20"/>
                <w:szCs w:val="20"/>
                <w:lang w:eastAsia="es-CO"/>
              </w:rPr>
              <w:t xml:space="preserve"> y Universidad Libre de Bogotá</w:t>
            </w:r>
            <w:r w:rsidRPr="007922EC">
              <w:rPr>
                <w:color w:val="000000" w:themeColor="text1"/>
                <w:sz w:val="20"/>
                <w:szCs w:val="20"/>
                <w:lang w:eastAsia="es-CO"/>
              </w:rPr>
              <w:t xml:space="preserve"> </w:t>
            </w:r>
            <w:r w:rsidRPr="007922EC">
              <w:rPr>
                <w:iCs/>
                <w:color w:val="000000" w:themeColor="text1"/>
                <w:sz w:val="20"/>
                <w:szCs w:val="20"/>
                <w:lang w:eastAsia="es-CO"/>
              </w:rPr>
              <w:t>(respecto del artículo 177 del CPP)</w:t>
            </w:r>
          </w:p>
          <w:p w14:paraId="7BB85B9B" w14:textId="60E8C947" w:rsidR="00D27034" w:rsidRPr="007922EC" w:rsidRDefault="00D27034" w:rsidP="00E067C2">
            <w:pPr>
              <w:jc w:val="center"/>
              <w:rPr>
                <w:color w:val="000000" w:themeColor="text1"/>
                <w:sz w:val="20"/>
                <w:szCs w:val="20"/>
                <w:lang w:eastAsia="es-CO"/>
              </w:rPr>
            </w:pPr>
          </w:p>
        </w:tc>
        <w:tc>
          <w:tcPr>
            <w:tcW w:w="779" w:type="pct"/>
            <w:vAlign w:val="center"/>
          </w:tcPr>
          <w:p w14:paraId="6A9F40AB" w14:textId="5D7E9F8E" w:rsidR="00D27034" w:rsidRPr="007922EC" w:rsidRDefault="00D27034" w:rsidP="00E067C2">
            <w:pPr>
              <w:jc w:val="center"/>
              <w:rPr>
                <w:color w:val="000000" w:themeColor="text1"/>
                <w:sz w:val="20"/>
                <w:szCs w:val="20"/>
                <w:lang w:eastAsia="es-CO"/>
              </w:rPr>
            </w:pPr>
          </w:p>
        </w:tc>
      </w:tr>
      <w:tr w:rsidR="0004535D" w:rsidRPr="00EC2190" w14:paraId="4B10B3B8" w14:textId="77777777" w:rsidTr="007922EC">
        <w:trPr>
          <w:jc w:val="center"/>
        </w:trPr>
        <w:tc>
          <w:tcPr>
            <w:tcW w:w="948" w:type="pct"/>
            <w:vAlign w:val="center"/>
          </w:tcPr>
          <w:p w14:paraId="39760C81" w14:textId="77777777" w:rsidR="00D27034" w:rsidRPr="007922EC" w:rsidRDefault="00D27034" w:rsidP="00E067C2">
            <w:pPr>
              <w:contextualSpacing/>
              <w:jc w:val="center"/>
              <w:rPr>
                <w:rFonts w:eastAsia="Cambria"/>
                <w:b/>
                <w:bCs/>
                <w:color w:val="000000" w:themeColor="text1"/>
                <w:sz w:val="20"/>
                <w:szCs w:val="20"/>
                <w:lang w:eastAsia="es-CO"/>
              </w:rPr>
            </w:pPr>
          </w:p>
          <w:p w14:paraId="00CA7521" w14:textId="3E30855A" w:rsidR="00D27034" w:rsidRPr="007922EC" w:rsidRDefault="00D27034" w:rsidP="00E067C2">
            <w:pPr>
              <w:contextualSpacing/>
              <w:jc w:val="center"/>
              <w:rPr>
                <w:rFonts w:eastAsia="Cambria"/>
                <w:b/>
                <w:bCs/>
                <w:color w:val="000000" w:themeColor="text1"/>
                <w:sz w:val="20"/>
                <w:szCs w:val="20"/>
                <w:lang w:eastAsia="es-CO"/>
              </w:rPr>
            </w:pPr>
            <w:r w:rsidRPr="007922EC">
              <w:rPr>
                <w:rFonts w:eastAsia="Cambria"/>
                <w:b/>
                <w:bCs/>
                <w:color w:val="000000" w:themeColor="text1"/>
                <w:sz w:val="20"/>
                <w:szCs w:val="20"/>
                <w:lang w:eastAsia="es-CO"/>
              </w:rPr>
              <w:lastRenderedPageBreak/>
              <w:t>Intervenciones ciudadanas (artículo 7 del Decreto 2067 de 1991)</w:t>
            </w:r>
          </w:p>
          <w:p w14:paraId="71FC124E" w14:textId="77777777" w:rsidR="00D27034" w:rsidRPr="007922EC" w:rsidRDefault="00D27034" w:rsidP="00E067C2">
            <w:pPr>
              <w:contextualSpacing/>
              <w:jc w:val="center"/>
              <w:rPr>
                <w:rFonts w:eastAsia="Cambria"/>
                <w:b/>
                <w:bCs/>
                <w:color w:val="000000" w:themeColor="text1"/>
                <w:sz w:val="20"/>
                <w:szCs w:val="20"/>
                <w:lang w:eastAsia="es-CO"/>
              </w:rPr>
            </w:pPr>
          </w:p>
        </w:tc>
        <w:tc>
          <w:tcPr>
            <w:tcW w:w="936" w:type="pct"/>
            <w:vAlign w:val="center"/>
          </w:tcPr>
          <w:p w14:paraId="6E5737B1" w14:textId="77777777" w:rsidR="00D27034" w:rsidRPr="007922EC" w:rsidRDefault="00D27034" w:rsidP="00E067C2">
            <w:pPr>
              <w:contextualSpacing/>
              <w:jc w:val="center"/>
              <w:rPr>
                <w:color w:val="000000" w:themeColor="text1"/>
                <w:sz w:val="20"/>
                <w:szCs w:val="20"/>
                <w:lang w:eastAsia="es-CO"/>
              </w:rPr>
            </w:pPr>
          </w:p>
        </w:tc>
        <w:tc>
          <w:tcPr>
            <w:tcW w:w="1131" w:type="pct"/>
            <w:vAlign w:val="center"/>
          </w:tcPr>
          <w:p w14:paraId="23006256" w14:textId="77777777" w:rsidR="00D27034" w:rsidRPr="007922EC" w:rsidRDefault="00D27034" w:rsidP="00E067C2">
            <w:pPr>
              <w:contextualSpacing/>
              <w:jc w:val="center"/>
              <w:rPr>
                <w:color w:val="000000" w:themeColor="text1"/>
                <w:sz w:val="20"/>
                <w:szCs w:val="20"/>
                <w:lang w:eastAsia="es-CO"/>
              </w:rPr>
            </w:pPr>
          </w:p>
        </w:tc>
        <w:tc>
          <w:tcPr>
            <w:tcW w:w="1206" w:type="pct"/>
            <w:vAlign w:val="center"/>
          </w:tcPr>
          <w:p w14:paraId="22AC4584" w14:textId="5508414E" w:rsidR="00D27034" w:rsidRPr="007922EC" w:rsidRDefault="005320A6" w:rsidP="00E067C2">
            <w:pPr>
              <w:jc w:val="center"/>
              <w:rPr>
                <w:iCs/>
                <w:color w:val="000000" w:themeColor="text1"/>
                <w:sz w:val="20"/>
                <w:szCs w:val="20"/>
                <w:lang w:eastAsia="es-CO"/>
              </w:rPr>
            </w:pPr>
            <w:r w:rsidRPr="007922EC">
              <w:rPr>
                <w:iCs/>
                <w:color w:val="000000" w:themeColor="text1"/>
                <w:sz w:val="20"/>
                <w:szCs w:val="20"/>
                <w:lang w:eastAsia="es-CO"/>
              </w:rPr>
              <w:t xml:space="preserve">Fundación Jurídica </w:t>
            </w:r>
            <w:r w:rsidRPr="007922EC">
              <w:rPr>
                <w:iCs/>
                <w:color w:val="000000" w:themeColor="text1"/>
                <w:sz w:val="20"/>
                <w:szCs w:val="20"/>
                <w:lang w:eastAsia="es-CO"/>
              </w:rPr>
              <w:lastRenderedPageBreak/>
              <w:t>Proyecto Inocencia (respecto del artículo 177 del CPP)</w:t>
            </w:r>
            <w:r w:rsidR="00E83D3B" w:rsidRPr="007922EC">
              <w:rPr>
                <w:iCs/>
                <w:color w:val="000000" w:themeColor="text1"/>
                <w:sz w:val="20"/>
                <w:szCs w:val="20"/>
                <w:lang w:eastAsia="es-CO"/>
              </w:rPr>
              <w:t xml:space="preserve"> y Universidad de San </w:t>
            </w:r>
            <w:r w:rsidR="00A92DF0" w:rsidRPr="007922EC">
              <w:rPr>
                <w:iCs/>
                <w:color w:val="000000" w:themeColor="text1"/>
                <w:sz w:val="20"/>
                <w:szCs w:val="20"/>
                <w:lang w:eastAsia="es-CO"/>
              </w:rPr>
              <w:t>Buenaventura</w:t>
            </w:r>
            <w:r w:rsidR="00E83D3B" w:rsidRPr="007922EC">
              <w:rPr>
                <w:iCs/>
                <w:color w:val="000000" w:themeColor="text1"/>
                <w:sz w:val="20"/>
                <w:szCs w:val="20"/>
                <w:lang w:eastAsia="es-CO"/>
              </w:rPr>
              <w:t xml:space="preserve"> sede Bogotá</w:t>
            </w:r>
          </w:p>
        </w:tc>
        <w:tc>
          <w:tcPr>
            <w:tcW w:w="779" w:type="pct"/>
            <w:vAlign w:val="center"/>
          </w:tcPr>
          <w:p w14:paraId="45F3A0A9" w14:textId="77777777" w:rsidR="00D27034" w:rsidRPr="007922EC" w:rsidRDefault="00D27034" w:rsidP="00E067C2">
            <w:pPr>
              <w:jc w:val="center"/>
              <w:rPr>
                <w:iCs/>
                <w:color w:val="000000" w:themeColor="text1"/>
                <w:sz w:val="20"/>
                <w:szCs w:val="20"/>
                <w:lang w:eastAsia="es-CO"/>
              </w:rPr>
            </w:pPr>
          </w:p>
          <w:p w14:paraId="2E6746B7" w14:textId="0CFC5741" w:rsidR="00D27034" w:rsidRPr="007922EC" w:rsidRDefault="00D27034" w:rsidP="00E067C2">
            <w:pPr>
              <w:jc w:val="center"/>
              <w:rPr>
                <w:iCs/>
                <w:color w:val="000000" w:themeColor="text1"/>
                <w:sz w:val="20"/>
                <w:szCs w:val="20"/>
                <w:lang w:eastAsia="es-CO"/>
              </w:rPr>
            </w:pPr>
          </w:p>
        </w:tc>
      </w:tr>
      <w:bookmarkEnd w:id="7"/>
      <w:tr w:rsidR="00977834" w:rsidRPr="00EC2190" w14:paraId="40EB4305" w14:textId="77777777" w:rsidTr="007922EC">
        <w:trPr>
          <w:jc w:val="center"/>
        </w:trPr>
        <w:tc>
          <w:tcPr>
            <w:tcW w:w="948" w:type="pct"/>
            <w:vAlign w:val="center"/>
          </w:tcPr>
          <w:p w14:paraId="5ACB807F" w14:textId="168E72A0" w:rsidR="00D27034" w:rsidRPr="007922EC" w:rsidRDefault="00D27034" w:rsidP="00E067C2">
            <w:pPr>
              <w:contextualSpacing/>
              <w:jc w:val="center"/>
              <w:rPr>
                <w:rFonts w:eastAsia="Cambria"/>
                <w:b/>
                <w:bCs/>
                <w:color w:val="000000" w:themeColor="text1"/>
                <w:sz w:val="20"/>
                <w:szCs w:val="20"/>
                <w:lang w:eastAsia="es-CO"/>
              </w:rPr>
            </w:pPr>
            <w:r w:rsidRPr="007922EC">
              <w:rPr>
                <w:rFonts w:eastAsia="Cambria"/>
                <w:b/>
                <w:bCs/>
                <w:color w:val="000000" w:themeColor="text1"/>
                <w:sz w:val="20"/>
                <w:szCs w:val="20"/>
                <w:lang w:eastAsia="es-CO"/>
              </w:rPr>
              <w:lastRenderedPageBreak/>
              <w:t xml:space="preserve">Concepto </w:t>
            </w:r>
            <w:r w:rsidR="00E83D3B" w:rsidRPr="007922EC">
              <w:rPr>
                <w:rFonts w:eastAsia="Cambria"/>
                <w:b/>
                <w:bCs/>
                <w:color w:val="000000" w:themeColor="text1"/>
                <w:sz w:val="20"/>
                <w:szCs w:val="20"/>
                <w:lang w:eastAsia="es-CO"/>
              </w:rPr>
              <w:t xml:space="preserve">del </w:t>
            </w:r>
            <w:r w:rsidR="00B25B97" w:rsidRPr="007922EC">
              <w:rPr>
                <w:rFonts w:eastAsia="Cambria"/>
                <w:b/>
                <w:bCs/>
                <w:color w:val="000000" w:themeColor="text1"/>
                <w:sz w:val="20"/>
                <w:szCs w:val="20"/>
                <w:lang w:eastAsia="es-CO"/>
              </w:rPr>
              <w:t>v</w:t>
            </w:r>
            <w:r w:rsidR="00E83D3B" w:rsidRPr="007922EC">
              <w:rPr>
                <w:rFonts w:eastAsia="Cambria"/>
                <w:b/>
                <w:bCs/>
                <w:color w:val="000000" w:themeColor="text1"/>
                <w:sz w:val="20"/>
                <w:szCs w:val="20"/>
                <w:lang w:eastAsia="es-CO"/>
              </w:rPr>
              <w:t xml:space="preserve">iceprocurador </w:t>
            </w:r>
            <w:r w:rsidR="00B25B97" w:rsidRPr="007922EC">
              <w:rPr>
                <w:rFonts w:eastAsia="Cambria"/>
                <w:b/>
                <w:bCs/>
                <w:color w:val="000000" w:themeColor="text1"/>
                <w:sz w:val="20"/>
                <w:szCs w:val="20"/>
                <w:lang w:eastAsia="es-CO"/>
              </w:rPr>
              <w:t>g</w:t>
            </w:r>
            <w:r w:rsidR="00E83D3B" w:rsidRPr="007922EC">
              <w:rPr>
                <w:rFonts w:eastAsia="Cambria"/>
                <w:b/>
                <w:bCs/>
                <w:color w:val="000000" w:themeColor="text1"/>
                <w:sz w:val="20"/>
                <w:szCs w:val="20"/>
                <w:lang w:eastAsia="es-CO"/>
              </w:rPr>
              <w:t xml:space="preserve">eneral de la Nación </w:t>
            </w:r>
            <w:r w:rsidRPr="007922EC">
              <w:rPr>
                <w:rFonts w:eastAsia="Cambria"/>
                <w:b/>
                <w:bCs/>
                <w:color w:val="000000" w:themeColor="text1"/>
                <w:sz w:val="20"/>
                <w:szCs w:val="20"/>
                <w:lang w:eastAsia="es-CO"/>
              </w:rPr>
              <w:t>(artículos 38 y 7 del Decreto 2067 de 1991)</w:t>
            </w:r>
          </w:p>
        </w:tc>
        <w:tc>
          <w:tcPr>
            <w:tcW w:w="4052" w:type="pct"/>
            <w:gridSpan w:val="4"/>
            <w:vAlign w:val="center"/>
          </w:tcPr>
          <w:p w14:paraId="3EC905AB" w14:textId="38BE3B8E" w:rsidR="00D27034" w:rsidRPr="007922EC" w:rsidRDefault="00D27034" w:rsidP="00E067C2">
            <w:pPr>
              <w:jc w:val="center"/>
              <w:rPr>
                <w:color w:val="000000" w:themeColor="text1"/>
                <w:sz w:val="20"/>
                <w:szCs w:val="20"/>
                <w:lang w:eastAsia="es-CO"/>
              </w:rPr>
            </w:pPr>
            <w:r w:rsidRPr="007922EC">
              <w:rPr>
                <w:color w:val="000000" w:themeColor="text1"/>
                <w:sz w:val="20"/>
                <w:szCs w:val="20"/>
                <w:lang w:eastAsia="es-CO"/>
              </w:rPr>
              <w:t xml:space="preserve">Solicita </w:t>
            </w:r>
            <w:r w:rsidR="00AB026E" w:rsidRPr="007922EC">
              <w:rPr>
                <w:color w:val="000000" w:themeColor="text1"/>
                <w:sz w:val="20"/>
                <w:szCs w:val="20"/>
                <w:lang w:eastAsia="es-CO"/>
              </w:rPr>
              <w:t>a la Corte proferir una decisión inhibitoria</w:t>
            </w:r>
          </w:p>
        </w:tc>
      </w:tr>
    </w:tbl>
    <w:p w14:paraId="1C76DEC0" w14:textId="77777777" w:rsidR="00D27034" w:rsidRPr="007922EC" w:rsidRDefault="00D27034" w:rsidP="00E067C2">
      <w:pPr>
        <w:widowControl w:val="0"/>
        <w:contextualSpacing/>
        <w:jc w:val="both"/>
        <w:rPr>
          <w:rFonts w:eastAsiaTheme="minorHAnsi"/>
          <w:color w:val="000000" w:themeColor="text1"/>
          <w:sz w:val="28"/>
          <w:szCs w:val="28"/>
          <w:lang w:eastAsia="en-US"/>
        </w:rPr>
      </w:pPr>
    </w:p>
    <w:p w14:paraId="174C2D9D" w14:textId="77777777" w:rsidR="00D27034" w:rsidRPr="007922EC" w:rsidRDefault="00D27034" w:rsidP="00E067C2">
      <w:pPr>
        <w:widowControl w:val="0"/>
        <w:numPr>
          <w:ilvl w:val="2"/>
          <w:numId w:val="12"/>
        </w:numPr>
        <w:ind w:left="1134" w:hanging="578"/>
        <w:jc w:val="both"/>
        <w:outlineLvl w:val="0"/>
        <w:rPr>
          <w:rFonts w:eastAsia="Cambria"/>
          <w:b/>
          <w:bCs/>
          <w:color w:val="000000" w:themeColor="text1"/>
          <w:sz w:val="28"/>
          <w:szCs w:val="28"/>
          <w:lang w:eastAsia="es-CO"/>
        </w:rPr>
      </w:pPr>
      <w:r w:rsidRPr="007922EC">
        <w:rPr>
          <w:rFonts w:eastAsia="Cambria"/>
          <w:b/>
          <w:bCs/>
          <w:color w:val="000000" w:themeColor="text1"/>
          <w:sz w:val="28"/>
          <w:szCs w:val="28"/>
          <w:lang w:eastAsia="es-CO"/>
        </w:rPr>
        <w:t xml:space="preserve">Argumentos de inhibición </w:t>
      </w:r>
    </w:p>
    <w:p w14:paraId="2566A401" w14:textId="77777777" w:rsidR="008D62CF" w:rsidRPr="007922EC" w:rsidRDefault="008D62CF"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0D186ED3" w14:textId="101DED52" w:rsidR="008143E8" w:rsidRPr="007922EC"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7922EC">
        <w:rPr>
          <w:rFonts w:eastAsia="Cambria"/>
          <w:color w:val="000000" w:themeColor="text1"/>
          <w:sz w:val="28"/>
          <w:szCs w:val="28"/>
          <w:lang w:val="es-CO" w:eastAsia="es-CO"/>
        </w:rPr>
        <w:t xml:space="preserve">Como petición principal, </w:t>
      </w:r>
      <w:r w:rsidR="00207626" w:rsidRPr="007922EC">
        <w:rPr>
          <w:rFonts w:eastAsia="Cambria"/>
          <w:color w:val="000000" w:themeColor="text1"/>
          <w:sz w:val="28"/>
          <w:szCs w:val="28"/>
          <w:lang w:val="es-CO" w:eastAsia="es-CO"/>
        </w:rPr>
        <w:t xml:space="preserve">la </w:t>
      </w:r>
      <w:r w:rsidR="00207626" w:rsidRPr="007922EC">
        <w:rPr>
          <w:rFonts w:eastAsia="Cambria"/>
          <w:b/>
          <w:bCs/>
          <w:color w:val="000000" w:themeColor="text1"/>
          <w:sz w:val="28"/>
          <w:szCs w:val="28"/>
          <w:lang w:val="es-CO" w:eastAsia="es-CO"/>
        </w:rPr>
        <w:t>Pontificia Universidad Javeriana</w:t>
      </w:r>
      <w:r w:rsidR="00B32042" w:rsidRPr="007922EC">
        <w:rPr>
          <w:rStyle w:val="Refdenotaalpie"/>
          <w:rFonts w:eastAsia="Cambria"/>
          <w:color w:val="000000" w:themeColor="text1"/>
          <w:lang w:val="es-CO" w:eastAsia="es-CO"/>
        </w:rPr>
        <w:footnoteReference w:id="7"/>
      </w:r>
      <w:r w:rsidR="00207626" w:rsidRPr="007922EC">
        <w:rPr>
          <w:rFonts w:eastAsia="Cambria"/>
          <w:b/>
          <w:bCs/>
          <w:color w:val="000000" w:themeColor="text1"/>
          <w:sz w:val="28"/>
          <w:szCs w:val="28"/>
          <w:lang w:val="es-CO" w:eastAsia="es-CO"/>
        </w:rPr>
        <w:t xml:space="preserve"> </w:t>
      </w:r>
      <w:r w:rsidR="00207626" w:rsidRPr="007922EC">
        <w:rPr>
          <w:rFonts w:eastAsia="Cambria"/>
          <w:color w:val="000000" w:themeColor="text1"/>
          <w:sz w:val="28"/>
          <w:szCs w:val="28"/>
          <w:lang w:val="es-CO" w:eastAsia="es-CO"/>
        </w:rPr>
        <w:t xml:space="preserve">y la </w:t>
      </w:r>
      <w:r w:rsidR="00716608" w:rsidRPr="007922EC">
        <w:rPr>
          <w:rFonts w:eastAsia="Cambria"/>
          <w:b/>
          <w:bCs/>
          <w:color w:val="000000" w:themeColor="text1"/>
          <w:sz w:val="28"/>
          <w:szCs w:val="28"/>
          <w:lang w:val="es-CO" w:eastAsia="es-CO"/>
        </w:rPr>
        <w:t>Academia Colombiana de Jurisprudencia</w:t>
      </w:r>
      <w:r w:rsidR="00B32042" w:rsidRPr="007922EC">
        <w:rPr>
          <w:rStyle w:val="Refdenotaalpie"/>
          <w:rFonts w:eastAsia="Cambria"/>
          <w:color w:val="000000" w:themeColor="text1"/>
          <w:lang w:val="es-CO" w:eastAsia="es-CO"/>
        </w:rPr>
        <w:footnoteReference w:id="8"/>
      </w:r>
      <w:r w:rsidR="00716608" w:rsidRPr="007922EC">
        <w:rPr>
          <w:rFonts w:eastAsia="Cambria"/>
          <w:b/>
          <w:bCs/>
          <w:color w:val="000000" w:themeColor="text1"/>
          <w:sz w:val="28"/>
          <w:szCs w:val="28"/>
          <w:lang w:val="es-CO" w:eastAsia="es-CO"/>
        </w:rPr>
        <w:t xml:space="preserve"> </w:t>
      </w:r>
      <w:r w:rsidRPr="007922EC">
        <w:rPr>
          <w:bCs/>
          <w:color w:val="000000" w:themeColor="text1"/>
          <w:sz w:val="28"/>
          <w:szCs w:val="28"/>
          <w:lang w:val="es-CO" w:eastAsia="es-ES"/>
        </w:rPr>
        <w:t xml:space="preserve">solicitaron </w:t>
      </w:r>
      <w:r w:rsidR="00A663AA" w:rsidRPr="007922EC">
        <w:rPr>
          <w:bCs/>
          <w:color w:val="000000" w:themeColor="text1"/>
          <w:sz w:val="28"/>
          <w:szCs w:val="28"/>
          <w:lang w:val="es-CO" w:eastAsia="es-ES"/>
        </w:rPr>
        <w:t xml:space="preserve">a la Corte proferir </w:t>
      </w:r>
      <w:r w:rsidRPr="007922EC">
        <w:rPr>
          <w:bCs/>
          <w:color w:val="000000" w:themeColor="text1"/>
          <w:sz w:val="28"/>
          <w:szCs w:val="28"/>
          <w:lang w:val="es-CO" w:eastAsia="es-ES"/>
        </w:rPr>
        <w:t xml:space="preserve">una decisión inhibitoria. </w:t>
      </w:r>
      <w:r w:rsidR="000F3319" w:rsidRPr="007922EC">
        <w:rPr>
          <w:iCs/>
          <w:color w:val="000000" w:themeColor="text1"/>
          <w:sz w:val="28"/>
          <w:szCs w:val="28"/>
          <w:lang w:val="es-CO"/>
        </w:rPr>
        <w:t>A</w:t>
      </w:r>
      <w:r w:rsidRPr="007922EC">
        <w:rPr>
          <w:iCs/>
          <w:color w:val="000000" w:themeColor="text1"/>
          <w:sz w:val="28"/>
          <w:szCs w:val="28"/>
          <w:lang w:val="es-CO"/>
        </w:rPr>
        <w:t>dvirtieron que</w:t>
      </w:r>
      <w:r w:rsidR="007922EC" w:rsidRPr="007922EC">
        <w:rPr>
          <w:iCs/>
          <w:color w:val="000000" w:themeColor="text1"/>
          <w:sz w:val="28"/>
          <w:szCs w:val="28"/>
          <w:lang w:val="es-CO"/>
        </w:rPr>
        <w:t>,</w:t>
      </w:r>
      <w:r w:rsidRPr="007922EC">
        <w:rPr>
          <w:iCs/>
          <w:color w:val="000000" w:themeColor="text1"/>
          <w:sz w:val="28"/>
          <w:szCs w:val="28"/>
          <w:lang w:val="es-CO"/>
        </w:rPr>
        <w:t xml:space="preserve"> </w:t>
      </w:r>
      <w:r w:rsidR="008143E8" w:rsidRPr="007922EC">
        <w:rPr>
          <w:iCs/>
          <w:color w:val="000000" w:themeColor="text1"/>
          <w:sz w:val="28"/>
          <w:szCs w:val="28"/>
          <w:lang w:val="es-CO"/>
        </w:rPr>
        <w:t>aunque</w:t>
      </w:r>
      <w:r w:rsidR="00B25B97" w:rsidRPr="007922EC">
        <w:rPr>
          <w:iCs/>
          <w:color w:val="000000" w:themeColor="text1"/>
          <w:sz w:val="28"/>
          <w:szCs w:val="28"/>
          <w:lang w:val="es-CO"/>
        </w:rPr>
        <w:t xml:space="preserve"> la demanda</w:t>
      </w:r>
      <w:r w:rsidR="008143E8" w:rsidRPr="007922EC">
        <w:rPr>
          <w:iCs/>
          <w:color w:val="000000" w:themeColor="text1"/>
          <w:sz w:val="28"/>
          <w:szCs w:val="28"/>
          <w:lang w:val="es-CO"/>
        </w:rPr>
        <w:t xml:space="preserve"> plantea un problema jurídico válido, acude a una disposición que no está llamada a resolverlo</w:t>
      </w:r>
      <w:r w:rsidR="00B25B97" w:rsidRPr="007922EC">
        <w:rPr>
          <w:iCs/>
          <w:color w:val="000000" w:themeColor="text1"/>
          <w:sz w:val="28"/>
          <w:szCs w:val="28"/>
          <w:lang w:val="es-CO"/>
        </w:rPr>
        <w:t>,</w:t>
      </w:r>
      <w:r w:rsidR="008143E8" w:rsidRPr="007922EC">
        <w:rPr>
          <w:iCs/>
          <w:color w:val="000000" w:themeColor="text1"/>
          <w:sz w:val="28"/>
          <w:szCs w:val="28"/>
          <w:lang w:val="es-CO"/>
        </w:rPr>
        <w:t xml:space="preserve"> pues la suspensión condicional de la pena contenida en el artículo 63 del CP y los efectos de los recursos previstos en el artículo 177 del CPP no regulan lo atinente a la materialización de la privación de la libertad desde el momento de la decisión, en los eventos de sentencia condenatoria, sino que ello está expresamente </w:t>
      </w:r>
      <w:r w:rsidR="00CB0FD7" w:rsidRPr="007922EC">
        <w:rPr>
          <w:iCs/>
          <w:color w:val="000000" w:themeColor="text1"/>
          <w:sz w:val="28"/>
          <w:szCs w:val="28"/>
          <w:lang w:val="es-CO"/>
        </w:rPr>
        <w:t>reglamentado en el artículo 450 del CPP</w:t>
      </w:r>
      <w:r w:rsidR="007922EC" w:rsidRPr="007922EC">
        <w:rPr>
          <w:rStyle w:val="Refdenotaalpie"/>
          <w:iCs/>
          <w:color w:val="000000" w:themeColor="text1"/>
          <w:lang w:val="es-CO"/>
        </w:rPr>
        <w:footnoteReference w:id="9"/>
      </w:r>
      <w:r w:rsidR="00CB0FD7" w:rsidRPr="007922EC">
        <w:rPr>
          <w:iCs/>
          <w:color w:val="000000" w:themeColor="text1"/>
          <w:sz w:val="28"/>
          <w:szCs w:val="28"/>
          <w:lang w:val="es-CO"/>
        </w:rPr>
        <w:t>, frente al cual la Corte ya se pronunció sobre si transgrede o no el derecho fundamental a la presunción de inocencia</w:t>
      </w:r>
      <w:r w:rsidR="00B25B97" w:rsidRPr="007922EC">
        <w:rPr>
          <w:iCs/>
          <w:color w:val="000000" w:themeColor="text1"/>
          <w:sz w:val="28"/>
          <w:szCs w:val="28"/>
          <w:lang w:val="es-CO"/>
        </w:rPr>
        <w:t>,</w:t>
      </w:r>
      <w:r w:rsidR="00CB0FD7" w:rsidRPr="007922EC">
        <w:rPr>
          <w:iCs/>
          <w:color w:val="000000" w:themeColor="text1"/>
          <w:sz w:val="28"/>
          <w:szCs w:val="28"/>
          <w:lang w:val="es-CO"/>
        </w:rPr>
        <w:t xml:space="preserve"> en la sentencia C-342 de 2017</w:t>
      </w:r>
      <w:r w:rsidR="008A4873" w:rsidRPr="008A4873">
        <w:rPr>
          <w:rStyle w:val="Refdenotaalpie"/>
          <w:iCs/>
          <w:color w:val="000000" w:themeColor="text1"/>
          <w:lang w:val="es-CO"/>
        </w:rPr>
        <w:footnoteReference w:id="10"/>
      </w:r>
      <w:r w:rsidR="00CB0FD7" w:rsidRPr="007922EC">
        <w:rPr>
          <w:iCs/>
          <w:color w:val="000000" w:themeColor="text1"/>
          <w:sz w:val="28"/>
          <w:szCs w:val="28"/>
          <w:lang w:val="es-CO"/>
        </w:rPr>
        <w:t>.</w:t>
      </w:r>
    </w:p>
    <w:p w14:paraId="440A4E66" w14:textId="77777777" w:rsidR="008143E8" w:rsidRPr="007922EC" w:rsidRDefault="008143E8"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5CA72B9F" w14:textId="6631FE73" w:rsidR="00C73988" w:rsidRPr="007922EC" w:rsidRDefault="00CB0FD7"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7922EC">
        <w:rPr>
          <w:iCs/>
          <w:color w:val="000000" w:themeColor="text1"/>
          <w:sz w:val="28"/>
          <w:szCs w:val="28"/>
          <w:lang w:val="es-CO"/>
        </w:rPr>
        <w:t xml:space="preserve">En consecuencia, señalaron que la Corte debe proferir un fallo inhibitorio al haber operado el fenómeno de la cosa juzgada </w:t>
      </w:r>
      <w:r w:rsidR="00CD5828" w:rsidRPr="007922EC">
        <w:rPr>
          <w:iCs/>
          <w:color w:val="000000" w:themeColor="text1"/>
          <w:sz w:val="28"/>
          <w:szCs w:val="28"/>
          <w:lang w:val="es-CO"/>
        </w:rPr>
        <w:t xml:space="preserve">respecto de la sentencia C-342 de 2017, </w:t>
      </w:r>
      <w:r w:rsidR="00C73988" w:rsidRPr="007922EC">
        <w:rPr>
          <w:iCs/>
          <w:color w:val="000000" w:themeColor="text1"/>
          <w:sz w:val="28"/>
          <w:szCs w:val="28"/>
          <w:lang w:val="es-CO"/>
        </w:rPr>
        <w:t>que decidió sobre la constitucionalidad del artículo 450 del CPP</w:t>
      </w:r>
      <w:r w:rsidR="00C5381B" w:rsidRPr="007922EC">
        <w:rPr>
          <w:iCs/>
          <w:color w:val="000000" w:themeColor="text1"/>
          <w:sz w:val="28"/>
          <w:szCs w:val="28"/>
          <w:lang w:val="es-CO"/>
        </w:rPr>
        <w:t>,</w:t>
      </w:r>
      <w:r w:rsidR="00CD5828" w:rsidRPr="007922EC">
        <w:rPr>
          <w:iCs/>
          <w:color w:val="000000" w:themeColor="text1"/>
          <w:sz w:val="28"/>
          <w:szCs w:val="28"/>
          <w:lang w:val="es-CO"/>
        </w:rPr>
        <w:t xml:space="preserve"> </w:t>
      </w:r>
      <w:r w:rsidR="00C5381B" w:rsidRPr="007922EC">
        <w:rPr>
          <w:iCs/>
          <w:color w:val="000000" w:themeColor="text1"/>
          <w:sz w:val="28"/>
          <w:szCs w:val="28"/>
          <w:lang w:val="es-CO"/>
        </w:rPr>
        <w:t xml:space="preserve">reiterando que es esta disposición </w:t>
      </w:r>
      <w:r w:rsidR="00C73988" w:rsidRPr="007922EC">
        <w:rPr>
          <w:iCs/>
          <w:color w:val="000000" w:themeColor="text1"/>
          <w:sz w:val="28"/>
          <w:szCs w:val="28"/>
          <w:lang w:val="es-CO"/>
        </w:rPr>
        <w:t xml:space="preserve">la que está llamada a resolver el problema jurídico que formula el demandante. </w:t>
      </w:r>
    </w:p>
    <w:p w14:paraId="120B9B3F" w14:textId="77777777" w:rsidR="00C73988" w:rsidRPr="007922EC" w:rsidRDefault="00C73988" w:rsidP="00E067C2">
      <w:pPr>
        <w:pStyle w:val="Prrafodelista"/>
        <w:adjustRightInd w:val="0"/>
        <w:ind w:left="0"/>
        <w:jc w:val="both"/>
        <w:rPr>
          <w:iCs/>
          <w:color w:val="000000" w:themeColor="text1"/>
          <w:sz w:val="28"/>
          <w:szCs w:val="28"/>
          <w:lang w:val="es-CO"/>
        </w:rPr>
      </w:pPr>
    </w:p>
    <w:p w14:paraId="7619B115" w14:textId="77777777" w:rsidR="00D27034" w:rsidRPr="007922EC" w:rsidRDefault="00D27034" w:rsidP="00E067C2">
      <w:pPr>
        <w:widowControl w:val="0"/>
        <w:numPr>
          <w:ilvl w:val="0"/>
          <w:numId w:val="26"/>
        </w:numPr>
        <w:ind w:left="1134" w:hanging="567"/>
        <w:jc w:val="both"/>
        <w:outlineLvl w:val="0"/>
        <w:rPr>
          <w:rFonts w:eastAsia="Cambria"/>
          <w:b/>
          <w:bCs/>
          <w:color w:val="000000" w:themeColor="text1"/>
          <w:sz w:val="28"/>
          <w:szCs w:val="28"/>
          <w:lang w:eastAsia="es-CO"/>
        </w:rPr>
      </w:pPr>
      <w:r w:rsidRPr="007922EC">
        <w:rPr>
          <w:rFonts w:eastAsia="Cambria"/>
          <w:b/>
          <w:bCs/>
          <w:color w:val="000000" w:themeColor="text1"/>
          <w:sz w:val="28"/>
          <w:szCs w:val="28"/>
          <w:lang w:eastAsia="es-CO"/>
        </w:rPr>
        <w:t xml:space="preserve">Argumentos de </w:t>
      </w:r>
      <w:proofErr w:type="spellStart"/>
      <w:r w:rsidRPr="007922EC">
        <w:rPr>
          <w:rFonts w:eastAsia="Cambria"/>
          <w:b/>
          <w:bCs/>
          <w:color w:val="000000" w:themeColor="text1"/>
          <w:sz w:val="28"/>
          <w:szCs w:val="28"/>
          <w:lang w:eastAsia="es-CO"/>
        </w:rPr>
        <w:t>exequibilidad</w:t>
      </w:r>
      <w:proofErr w:type="spellEnd"/>
    </w:p>
    <w:p w14:paraId="52AB5F59" w14:textId="77777777" w:rsidR="00D27034" w:rsidRPr="007922EC" w:rsidRDefault="00D27034" w:rsidP="00E067C2">
      <w:pPr>
        <w:pStyle w:val="Prrafodelista"/>
        <w:adjustRightInd w:val="0"/>
        <w:ind w:left="0"/>
        <w:jc w:val="both"/>
        <w:rPr>
          <w:iCs/>
          <w:color w:val="000000" w:themeColor="text1"/>
          <w:sz w:val="28"/>
          <w:szCs w:val="28"/>
          <w:lang w:val="es-CO"/>
        </w:rPr>
      </w:pPr>
    </w:p>
    <w:p w14:paraId="19A27B85" w14:textId="320C811A" w:rsidR="00554576" w:rsidRPr="008A4873"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0"/>
          <w:szCs w:val="20"/>
          <w:lang w:val="es-CO"/>
        </w:rPr>
      </w:pPr>
      <w:r w:rsidRPr="008A4873">
        <w:rPr>
          <w:iCs/>
          <w:color w:val="000000" w:themeColor="text1"/>
          <w:sz w:val="28"/>
          <w:szCs w:val="28"/>
          <w:lang w:val="es-CO"/>
        </w:rPr>
        <w:t>E</w:t>
      </w:r>
      <w:r w:rsidRPr="008A4873">
        <w:rPr>
          <w:rFonts w:eastAsia="Cambria"/>
          <w:color w:val="000000" w:themeColor="text1"/>
          <w:sz w:val="28"/>
          <w:szCs w:val="28"/>
          <w:lang w:val="es-CO" w:eastAsia="es-CO"/>
        </w:rPr>
        <w:t>l</w:t>
      </w:r>
      <w:r w:rsidR="00CB0FD7" w:rsidRPr="008A4873">
        <w:rPr>
          <w:b/>
          <w:color w:val="000000" w:themeColor="text1"/>
          <w:sz w:val="28"/>
          <w:szCs w:val="28"/>
          <w:lang w:val="es-CO" w:eastAsia="es-ES"/>
        </w:rPr>
        <w:t xml:space="preserve"> Ministerio de Justicia y del Derecho</w:t>
      </w:r>
      <w:r w:rsidR="00CB0FD7" w:rsidRPr="008A4873">
        <w:rPr>
          <w:rStyle w:val="Refdenotaalpie"/>
          <w:bCs/>
          <w:color w:val="000000" w:themeColor="text1"/>
          <w:lang w:val="es-CO" w:eastAsia="es-ES"/>
        </w:rPr>
        <w:footnoteReference w:id="11"/>
      </w:r>
      <w:r w:rsidR="00CB0FD7" w:rsidRPr="008A4873">
        <w:rPr>
          <w:bCs/>
          <w:color w:val="000000" w:themeColor="text1"/>
          <w:sz w:val="28"/>
          <w:szCs w:val="28"/>
          <w:lang w:val="es-CO" w:eastAsia="es-ES"/>
        </w:rPr>
        <w:t xml:space="preserve"> y la </w:t>
      </w:r>
      <w:r w:rsidR="00CB0FD7" w:rsidRPr="008A4873">
        <w:rPr>
          <w:b/>
          <w:color w:val="000000" w:themeColor="text1"/>
          <w:sz w:val="28"/>
          <w:szCs w:val="28"/>
          <w:lang w:val="es-CO" w:eastAsia="es-ES"/>
        </w:rPr>
        <w:t>Universidad Pontificia Bolivariana</w:t>
      </w:r>
      <w:r w:rsidR="00CB0FD7" w:rsidRPr="008A4873">
        <w:rPr>
          <w:rStyle w:val="Refdenotaalpie"/>
          <w:bCs/>
          <w:color w:val="000000" w:themeColor="text1"/>
          <w:lang w:val="es-CO" w:eastAsia="es-ES"/>
        </w:rPr>
        <w:footnoteReference w:id="12"/>
      </w:r>
      <w:r w:rsidR="00990067" w:rsidRPr="008A4873">
        <w:rPr>
          <w:bCs/>
          <w:color w:val="000000" w:themeColor="text1"/>
          <w:sz w:val="28"/>
          <w:szCs w:val="28"/>
          <w:lang w:val="es-CO" w:eastAsia="es-ES"/>
        </w:rPr>
        <w:t xml:space="preserve">, </w:t>
      </w:r>
      <w:r w:rsidR="00007F75" w:rsidRPr="008A4873">
        <w:rPr>
          <w:bCs/>
          <w:color w:val="000000" w:themeColor="text1"/>
          <w:sz w:val="28"/>
          <w:szCs w:val="28"/>
          <w:lang w:val="es-CO" w:eastAsia="es-ES"/>
        </w:rPr>
        <w:t>como pretensión</w:t>
      </w:r>
      <w:r w:rsidRPr="008A4873">
        <w:rPr>
          <w:bCs/>
          <w:color w:val="000000" w:themeColor="text1"/>
          <w:sz w:val="28"/>
          <w:szCs w:val="28"/>
          <w:lang w:val="es-CO" w:eastAsia="es-ES"/>
        </w:rPr>
        <w:t xml:space="preserve"> </w:t>
      </w:r>
      <w:r w:rsidR="00CB0FD7" w:rsidRPr="008A4873">
        <w:rPr>
          <w:bCs/>
          <w:color w:val="000000" w:themeColor="text1"/>
          <w:sz w:val="28"/>
          <w:szCs w:val="28"/>
          <w:lang w:val="es-CO" w:eastAsia="es-ES"/>
        </w:rPr>
        <w:t>principal</w:t>
      </w:r>
      <w:r w:rsidR="00B25B97" w:rsidRPr="008A4873">
        <w:rPr>
          <w:bCs/>
          <w:color w:val="000000" w:themeColor="text1"/>
          <w:sz w:val="28"/>
          <w:szCs w:val="28"/>
          <w:lang w:val="es-CO" w:eastAsia="es-ES"/>
        </w:rPr>
        <w:t>,</w:t>
      </w:r>
      <w:r w:rsidR="00CB0FD7" w:rsidRPr="008A4873">
        <w:rPr>
          <w:bCs/>
          <w:color w:val="000000" w:themeColor="text1"/>
          <w:sz w:val="28"/>
          <w:szCs w:val="28"/>
          <w:lang w:val="es-CO" w:eastAsia="es-ES"/>
        </w:rPr>
        <w:t xml:space="preserve"> </w:t>
      </w:r>
      <w:r w:rsidR="007446A8" w:rsidRPr="008A4873">
        <w:rPr>
          <w:bCs/>
          <w:color w:val="000000" w:themeColor="text1"/>
          <w:sz w:val="28"/>
          <w:szCs w:val="28"/>
          <w:lang w:val="es-CO" w:eastAsia="es-ES"/>
        </w:rPr>
        <w:t>sugirieron</w:t>
      </w:r>
      <w:r w:rsidR="00990067" w:rsidRPr="008A4873">
        <w:rPr>
          <w:bCs/>
          <w:color w:val="000000" w:themeColor="text1"/>
          <w:sz w:val="28"/>
          <w:szCs w:val="28"/>
          <w:lang w:val="es-CO" w:eastAsia="es-ES"/>
        </w:rPr>
        <w:t xml:space="preserve"> a la Corte declarar la </w:t>
      </w:r>
      <w:proofErr w:type="spellStart"/>
      <w:r w:rsidR="00990067" w:rsidRPr="008A4873">
        <w:rPr>
          <w:bCs/>
          <w:color w:val="000000" w:themeColor="text1"/>
          <w:sz w:val="28"/>
          <w:szCs w:val="28"/>
          <w:lang w:val="es-CO" w:eastAsia="es-ES"/>
        </w:rPr>
        <w:lastRenderedPageBreak/>
        <w:t>exequibilidad</w:t>
      </w:r>
      <w:proofErr w:type="spellEnd"/>
      <w:r w:rsidR="00CB0FD7" w:rsidRPr="008A4873">
        <w:rPr>
          <w:bCs/>
          <w:color w:val="000000" w:themeColor="text1"/>
          <w:sz w:val="28"/>
          <w:szCs w:val="28"/>
          <w:lang w:val="es-CO" w:eastAsia="es-ES"/>
        </w:rPr>
        <w:t xml:space="preserve"> de los artículos demandados</w:t>
      </w:r>
      <w:r w:rsidR="007922EC" w:rsidRPr="008A4873">
        <w:rPr>
          <w:bCs/>
          <w:color w:val="000000" w:themeColor="text1"/>
          <w:sz w:val="28"/>
          <w:szCs w:val="28"/>
          <w:lang w:val="es-CO" w:eastAsia="es-ES"/>
        </w:rPr>
        <w:t>,</w:t>
      </w:r>
      <w:r w:rsidR="00310E70" w:rsidRPr="008A4873">
        <w:rPr>
          <w:bCs/>
          <w:color w:val="000000" w:themeColor="text1"/>
          <w:sz w:val="28"/>
          <w:szCs w:val="28"/>
          <w:lang w:val="es-CO" w:eastAsia="es-ES"/>
        </w:rPr>
        <w:t xml:space="preserve"> toda vez que la transgresión alegada por la demanda de los preceptos cuestionados es aparente</w:t>
      </w:r>
      <w:r w:rsidR="00990067" w:rsidRPr="008A4873">
        <w:rPr>
          <w:bCs/>
          <w:color w:val="000000" w:themeColor="text1"/>
          <w:sz w:val="28"/>
          <w:szCs w:val="28"/>
          <w:lang w:val="es-CO" w:eastAsia="es-ES"/>
        </w:rPr>
        <w:t xml:space="preserve">. </w:t>
      </w:r>
      <w:r w:rsidR="00554576" w:rsidRPr="008A4873">
        <w:rPr>
          <w:color w:val="000000" w:themeColor="text1"/>
          <w:sz w:val="28"/>
          <w:szCs w:val="28"/>
          <w:lang w:val="es-CO"/>
        </w:rPr>
        <w:t xml:space="preserve">Así, destacaron que el problema jurídico que motiva el presente proceso se relaciona con el que fue resuelto por la Corte en la sentencia C-342 de 2017, que avaló la constitucionalidad del artículo 450 del CPP. En consecuencia, </w:t>
      </w:r>
      <w:r w:rsidR="00554576" w:rsidRPr="008A4873">
        <w:rPr>
          <w:iCs/>
          <w:color w:val="000000" w:themeColor="text1"/>
          <w:sz w:val="28"/>
          <w:szCs w:val="28"/>
          <w:lang w:val="es-CO"/>
        </w:rPr>
        <w:t>p</w:t>
      </w:r>
      <w:r w:rsidR="00944028" w:rsidRPr="008A4873">
        <w:rPr>
          <w:iCs/>
          <w:color w:val="000000" w:themeColor="text1"/>
          <w:sz w:val="28"/>
          <w:szCs w:val="28"/>
          <w:lang w:val="es-CO"/>
        </w:rPr>
        <w:t>ara</w:t>
      </w:r>
      <w:r w:rsidR="00310E70" w:rsidRPr="008A4873">
        <w:rPr>
          <w:iCs/>
          <w:color w:val="000000" w:themeColor="text1"/>
          <w:sz w:val="28"/>
          <w:szCs w:val="28"/>
          <w:lang w:val="es-CO"/>
        </w:rPr>
        <w:t xml:space="preserve"> los intervinientes, </w:t>
      </w:r>
      <w:r w:rsidR="00554576" w:rsidRPr="008A4873">
        <w:rPr>
          <w:color w:val="000000" w:themeColor="text1"/>
          <w:sz w:val="28"/>
          <w:szCs w:val="28"/>
          <w:lang w:val="es-CO"/>
        </w:rPr>
        <w:t>las disposiciones acusadas no desconocen la presunción de inocencia</w:t>
      </w:r>
      <w:r w:rsidR="00B25B97" w:rsidRPr="008A4873">
        <w:rPr>
          <w:color w:val="000000" w:themeColor="text1"/>
          <w:sz w:val="28"/>
          <w:szCs w:val="28"/>
          <w:lang w:val="es-CO"/>
        </w:rPr>
        <w:t>,</w:t>
      </w:r>
      <w:r w:rsidR="00554576" w:rsidRPr="008A4873">
        <w:rPr>
          <w:color w:val="000000" w:themeColor="text1"/>
          <w:sz w:val="28"/>
          <w:szCs w:val="28"/>
          <w:lang w:val="es-CO"/>
        </w:rPr>
        <w:t xml:space="preserve"> por cuanto (i) son el desarrollo del amplio margen de potestad</w:t>
      </w:r>
      <w:r w:rsidR="008A4873">
        <w:rPr>
          <w:color w:val="000000" w:themeColor="text1"/>
          <w:sz w:val="28"/>
          <w:szCs w:val="28"/>
          <w:lang w:val="es-CO"/>
        </w:rPr>
        <w:t xml:space="preserve"> de configuración normativa</w:t>
      </w:r>
      <w:r w:rsidR="00554576" w:rsidRPr="008A4873">
        <w:rPr>
          <w:color w:val="000000" w:themeColor="text1"/>
          <w:sz w:val="28"/>
          <w:szCs w:val="28"/>
          <w:lang w:val="es-CO"/>
        </w:rPr>
        <w:t xml:space="preserve"> del Legislador, (</w:t>
      </w:r>
      <w:proofErr w:type="spellStart"/>
      <w:r w:rsidR="00554576" w:rsidRPr="008A4873">
        <w:rPr>
          <w:color w:val="000000" w:themeColor="text1"/>
          <w:sz w:val="28"/>
          <w:szCs w:val="28"/>
          <w:lang w:val="es-CO"/>
        </w:rPr>
        <w:t>ii</w:t>
      </w:r>
      <w:proofErr w:type="spellEnd"/>
      <w:r w:rsidR="00554576" w:rsidRPr="008A4873">
        <w:rPr>
          <w:color w:val="000000" w:themeColor="text1"/>
          <w:sz w:val="28"/>
          <w:szCs w:val="28"/>
          <w:lang w:val="es-CO"/>
        </w:rPr>
        <w:t xml:space="preserve">) la suspensión de los efectos de la decisión de primera instancia </w:t>
      </w:r>
      <w:r w:rsidR="008A4873" w:rsidRPr="008A4873">
        <w:rPr>
          <w:color w:val="000000" w:themeColor="text1"/>
          <w:sz w:val="28"/>
          <w:szCs w:val="28"/>
          <w:lang w:val="es-CO"/>
        </w:rPr>
        <w:t>–</w:t>
      </w:r>
      <w:r w:rsidR="00554576" w:rsidRPr="008A4873">
        <w:rPr>
          <w:color w:val="000000" w:themeColor="text1"/>
          <w:sz w:val="28"/>
          <w:szCs w:val="28"/>
          <w:lang w:val="es-CO"/>
        </w:rPr>
        <w:t>que se deriva del recurso de apelación</w:t>
      </w:r>
      <w:r w:rsidR="008A4873" w:rsidRPr="008A4873">
        <w:rPr>
          <w:color w:val="000000" w:themeColor="text1"/>
          <w:sz w:val="28"/>
          <w:szCs w:val="28"/>
          <w:lang w:val="es-CO"/>
        </w:rPr>
        <w:t>–</w:t>
      </w:r>
      <w:r w:rsidR="00554576" w:rsidRPr="008A4873">
        <w:rPr>
          <w:color w:val="000000" w:themeColor="text1"/>
          <w:sz w:val="28"/>
          <w:szCs w:val="28"/>
          <w:lang w:val="es-CO"/>
        </w:rPr>
        <w:t xml:space="preserve"> no puede confundirse con la vigencia de la medida de aseguramiento</w:t>
      </w:r>
      <w:r w:rsidR="008A4873" w:rsidRPr="008A4873">
        <w:rPr>
          <w:color w:val="000000" w:themeColor="text1"/>
          <w:sz w:val="28"/>
          <w:szCs w:val="28"/>
          <w:lang w:val="es-CO"/>
        </w:rPr>
        <w:t>,</w:t>
      </w:r>
      <w:r w:rsidR="00554576" w:rsidRPr="008A4873">
        <w:rPr>
          <w:color w:val="000000" w:themeColor="text1"/>
          <w:sz w:val="28"/>
          <w:szCs w:val="28"/>
          <w:lang w:val="es-CO"/>
        </w:rPr>
        <w:t xml:space="preserve"> y (</w:t>
      </w:r>
      <w:proofErr w:type="spellStart"/>
      <w:r w:rsidR="00554576" w:rsidRPr="008A4873">
        <w:rPr>
          <w:color w:val="000000" w:themeColor="text1"/>
          <w:sz w:val="28"/>
          <w:szCs w:val="28"/>
          <w:lang w:val="es-CO"/>
        </w:rPr>
        <w:t>iii</w:t>
      </w:r>
      <w:proofErr w:type="spellEnd"/>
      <w:r w:rsidR="00554576" w:rsidRPr="008A4873">
        <w:rPr>
          <w:color w:val="000000" w:themeColor="text1"/>
          <w:sz w:val="28"/>
          <w:szCs w:val="28"/>
          <w:lang w:val="es-CO"/>
        </w:rPr>
        <w:t xml:space="preserve">) la jurisprudencia constitucional ya </w:t>
      </w:r>
      <w:r w:rsidR="008A4873" w:rsidRPr="008A4873">
        <w:rPr>
          <w:color w:val="000000" w:themeColor="text1"/>
          <w:sz w:val="28"/>
          <w:szCs w:val="28"/>
          <w:lang w:val="es-CO"/>
        </w:rPr>
        <w:t>admitió</w:t>
      </w:r>
      <w:r w:rsidR="00554576" w:rsidRPr="008A4873">
        <w:rPr>
          <w:color w:val="000000" w:themeColor="text1"/>
          <w:sz w:val="28"/>
          <w:szCs w:val="28"/>
          <w:lang w:val="es-CO"/>
        </w:rPr>
        <w:t xml:space="preserve"> que la medida de aseguramiento privativa de la libertad y la disposición consagrada en el artículo 450 del CPP no son contrarias al artículo 29 de la Constitución.</w:t>
      </w:r>
    </w:p>
    <w:p w14:paraId="096960A5" w14:textId="77777777" w:rsidR="00554576" w:rsidRPr="008A4873" w:rsidRDefault="00554576" w:rsidP="00E067C2">
      <w:pPr>
        <w:rPr>
          <w:iCs/>
          <w:color w:val="000000" w:themeColor="text1"/>
          <w:sz w:val="28"/>
          <w:szCs w:val="28"/>
        </w:rPr>
      </w:pPr>
    </w:p>
    <w:p w14:paraId="2E4B7ED5" w14:textId="65FF4ACA" w:rsidR="00D27034" w:rsidRPr="008A4873" w:rsidRDefault="00554576"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0"/>
          <w:szCs w:val="20"/>
          <w:lang w:val="es-CO"/>
        </w:rPr>
      </w:pPr>
      <w:r w:rsidRPr="008A4873">
        <w:rPr>
          <w:iCs/>
          <w:color w:val="000000" w:themeColor="text1"/>
          <w:sz w:val="28"/>
          <w:szCs w:val="28"/>
          <w:lang w:val="es-CO"/>
        </w:rPr>
        <w:t xml:space="preserve">En este sentido, explicaron que </w:t>
      </w:r>
      <w:r w:rsidR="002F019A" w:rsidRPr="008A4873">
        <w:rPr>
          <w:iCs/>
          <w:color w:val="000000" w:themeColor="text1"/>
          <w:sz w:val="28"/>
          <w:szCs w:val="28"/>
          <w:lang w:val="es-CO"/>
        </w:rPr>
        <w:t xml:space="preserve">la decisión que </w:t>
      </w:r>
      <w:r w:rsidR="008A4873" w:rsidRPr="008A4873">
        <w:rPr>
          <w:iCs/>
          <w:color w:val="000000" w:themeColor="text1"/>
          <w:sz w:val="28"/>
          <w:szCs w:val="28"/>
          <w:lang w:val="es-CO"/>
        </w:rPr>
        <w:t>imponga</w:t>
      </w:r>
      <w:r w:rsidR="002F019A" w:rsidRPr="008A4873">
        <w:rPr>
          <w:iCs/>
          <w:color w:val="000000" w:themeColor="text1"/>
          <w:sz w:val="28"/>
          <w:szCs w:val="28"/>
          <w:lang w:val="es-CO"/>
        </w:rPr>
        <w:t xml:space="preserve"> la restricción de la libertad debe estar precedida por un deber de motivación y justificación por parte del operador judicial, tal como quedó expuesto en la sentencia C-342 de 2017, es decir, no procede de forma </w:t>
      </w:r>
      <w:r w:rsidR="002F019A" w:rsidRPr="008A4873">
        <w:rPr>
          <w:i/>
          <w:color w:val="000000" w:themeColor="text1"/>
          <w:sz w:val="28"/>
          <w:szCs w:val="28"/>
          <w:lang w:val="es-CO"/>
        </w:rPr>
        <w:t>automática</w:t>
      </w:r>
      <w:r w:rsidR="00006C62" w:rsidRPr="008A4873">
        <w:rPr>
          <w:iCs/>
          <w:color w:val="000000" w:themeColor="text1"/>
          <w:sz w:val="28"/>
          <w:szCs w:val="28"/>
          <w:lang w:val="es-CO"/>
        </w:rPr>
        <w:t>, sino que está ligada a criterios de necesidad que deben armonizarse con los artículos 54 y 63 del CP, los cuales fijan las reglas de determinación de la punibilidad y los mecanismos sustitutivos de la pena privativa de la libertad. Posición que fue adoptada por la Sala de Casación Penal de la Corte Suprema de Justicia</w:t>
      </w:r>
      <w:r w:rsidR="00973CE1" w:rsidRPr="008A4873">
        <w:rPr>
          <w:iCs/>
          <w:color w:val="000000" w:themeColor="text1"/>
          <w:sz w:val="28"/>
          <w:szCs w:val="28"/>
          <w:lang w:val="es-CO"/>
        </w:rPr>
        <w:t>,</w:t>
      </w:r>
      <w:r w:rsidR="00006C62" w:rsidRPr="008A4873">
        <w:rPr>
          <w:iCs/>
          <w:color w:val="000000" w:themeColor="text1"/>
          <w:sz w:val="28"/>
          <w:szCs w:val="28"/>
          <w:lang w:val="es-CO"/>
        </w:rPr>
        <w:t xml:space="preserve"> </w:t>
      </w:r>
      <w:r w:rsidR="00973CE1" w:rsidRPr="008A4873">
        <w:rPr>
          <w:iCs/>
          <w:color w:val="000000" w:themeColor="text1"/>
          <w:sz w:val="28"/>
          <w:szCs w:val="28"/>
          <w:lang w:val="es-CO"/>
        </w:rPr>
        <w:t>a partir de la sentencia STP 8591 (130847) del 2023.</w:t>
      </w:r>
    </w:p>
    <w:p w14:paraId="4044F9F4" w14:textId="77777777" w:rsidR="002F019A" w:rsidRPr="008A4873" w:rsidRDefault="002F019A" w:rsidP="00E067C2">
      <w:pPr>
        <w:pStyle w:val="Prrafodelista"/>
        <w:rPr>
          <w:color w:val="000000" w:themeColor="text1"/>
          <w:sz w:val="20"/>
          <w:szCs w:val="20"/>
          <w:lang w:val="es-CO"/>
        </w:rPr>
      </w:pPr>
    </w:p>
    <w:p w14:paraId="23DF1568" w14:textId="600BFBB4" w:rsidR="002F019A" w:rsidRPr="009C269C" w:rsidRDefault="00006C62"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0"/>
          <w:szCs w:val="20"/>
          <w:lang w:val="es-CO"/>
        </w:rPr>
      </w:pPr>
      <w:r w:rsidRPr="008A4873">
        <w:rPr>
          <w:color w:val="000000" w:themeColor="text1"/>
          <w:sz w:val="28"/>
          <w:szCs w:val="28"/>
          <w:lang w:val="es-CO"/>
        </w:rPr>
        <w:t>Además, destacaron que las decisiones sobre la libertad en la etapa inicial, donde se debate la imposición o no de una medida de aseguramiento, en relación con las que podrían adoptarse en la etapa final del proceso penal</w:t>
      </w:r>
      <w:r w:rsidR="008A4873">
        <w:rPr>
          <w:color w:val="000000" w:themeColor="text1"/>
          <w:sz w:val="28"/>
          <w:szCs w:val="28"/>
          <w:lang w:val="es-CO"/>
        </w:rPr>
        <w:t>,</w:t>
      </w:r>
      <w:r w:rsidRPr="008A4873">
        <w:rPr>
          <w:color w:val="000000" w:themeColor="text1"/>
          <w:sz w:val="28"/>
          <w:szCs w:val="28"/>
          <w:lang w:val="es-CO"/>
        </w:rPr>
        <w:t xml:space="preserve"> difieren en cuanto a sus requisitos y</w:t>
      </w:r>
      <w:r w:rsidR="008A4873">
        <w:rPr>
          <w:color w:val="000000" w:themeColor="text1"/>
          <w:sz w:val="28"/>
          <w:szCs w:val="28"/>
          <w:lang w:val="es-CO"/>
        </w:rPr>
        <w:t>,</w:t>
      </w:r>
      <w:r w:rsidRPr="008A4873">
        <w:rPr>
          <w:color w:val="000000" w:themeColor="text1"/>
          <w:sz w:val="28"/>
          <w:szCs w:val="28"/>
          <w:lang w:val="es-CO"/>
        </w:rPr>
        <w:t xml:space="preserve"> por</w:t>
      </w:r>
      <w:r w:rsidR="008A4873">
        <w:rPr>
          <w:color w:val="000000" w:themeColor="text1"/>
          <w:sz w:val="28"/>
          <w:szCs w:val="28"/>
          <w:lang w:val="es-CO"/>
        </w:rPr>
        <w:t xml:space="preserve"> lo</w:t>
      </w:r>
      <w:r w:rsidRPr="008A4873">
        <w:rPr>
          <w:color w:val="000000" w:themeColor="text1"/>
          <w:sz w:val="28"/>
          <w:szCs w:val="28"/>
          <w:lang w:val="es-CO"/>
        </w:rPr>
        <w:t xml:space="preserve"> tanto</w:t>
      </w:r>
      <w:r w:rsidR="008A4873">
        <w:rPr>
          <w:color w:val="000000" w:themeColor="text1"/>
          <w:sz w:val="28"/>
          <w:szCs w:val="28"/>
          <w:lang w:val="es-CO"/>
        </w:rPr>
        <w:t>,</w:t>
      </w:r>
      <w:r w:rsidRPr="008A4873">
        <w:rPr>
          <w:color w:val="000000" w:themeColor="text1"/>
          <w:sz w:val="28"/>
          <w:szCs w:val="28"/>
          <w:lang w:val="es-CO"/>
        </w:rPr>
        <w:t xml:space="preserve"> tienen incidencia en el grado de motivación. En el primero de los casos, la ley exige rigurosos requisitos de procedencia para la privación de la libertad</w:t>
      </w:r>
      <w:r w:rsidR="004F460C" w:rsidRPr="008A4873">
        <w:rPr>
          <w:color w:val="000000" w:themeColor="text1"/>
          <w:sz w:val="28"/>
          <w:szCs w:val="28"/>
          <w:lang w:val="es-CO"/>
        </w:rPr>
        <w:t>,</w:t>
      </w:r>
      <w:r w:rsidRPr="008A4873">
        <w:rPr>
          <w:color w:val="000000" w:themeColor="text1"/>
          <w:sz w:val="28"/>
          <w:szCs w:val="28"/>
          <w:lang w:val="es-CO"/>
        </w:rPr>
        <w:t xml:space="preserve"> porque, en estricto sentido, la presunción de inocencia cobra mayor fuerza de cara al principio de acusación. En contraste, al momento de anunciarse el sentido del fallo condenatorio</w:t>
      </w:r>
      <w:r w:rsidRPr="009C269C">
        <w:rPr>
          <w:color w:val="000000" w:themeColor="text1"/>
          <w:sz w:val="28"/>
          <w:szCs w:val="28"/>
          <w:lang w:val="es-CO"/>
        </w:rPr>
        <w:t>, ya existe un principio de responsabilidad</w:t>
      </w:r>
      <w:r w:rsidR="008A4873" w:rsidRPr="009C269C">
        <w:rPr>
          <w:color w:val="000000" w:themeColor="text1"/>
          <w:sz w:val="28"/>
          <w:szCs w:val="28"/>
          <w:lang w:val="es-CO"/>
        </w:rPr>
        <w:t xml:space="preserve">, </w:t>
      </w:r>
      <w:r w:rsidRPr="009C269C">
        <w:rPr>
          <w:color w:val="000000" w:themeColor="text1"/>
          <w:sz w:val="28"/>
          <w:szCs w:val="28"/>
          <w:lang w:val="es-CO"/>
        </w:rPr>
        <w:t>al haberse superad</w:t>
      </w:r>
      <w:r w:rsidR="00906A84" w:rsidRPr="009C269C">
        <w:rPr>
          <w:color w:val="000000" w:themeColor="text1"/>
          <w:sz w:val="28"/>
          <w:szCs w:val="28"/>
          <w:lang w:val="es-CO"/>
        </w:rPr>
        <w:t>o</w:t>
      </w:r>
      <w:r w:rsidRPr="009C269C">
        <w:rPr>
          <w:color w:val="000000" w:themeColor="text1"/>
          <w:sz w:val="28"/>
          <w:szCs w:val="28"/>
          <w:lang w:val="es-CO"/>
        </w:rPr>
        <w:t xml:space="preserve"> la primera etapa judicial</w:t>
      </w:r>
      <w:r w:rsidR="008A4873" w:rsidRPr="009C269C">
        <w:rPr>
          <w:color w:val="000000" w:themeColor="text1"/>
          <w:sz w:val="28"/>
          <w:szCs w:val="28"/>
          <w:lang w:val="es-CO"/>
        </w:rPr>
        <w:t>,</w:t>
      </w:r>
      <w:r w:rsidRPr="009C269C">
        <w:rPr>
          <w:color w:val="000000" w:themeColor="text1"/>
          <w:sz w:val="28"/>
          <w:szCs w:val="28"/>
          <w:lang w:val="es-CO"/>
        </w:rPr>
        <w:t xml:space="preserve"> con resultados adversos al procesado. </w:t>
      </w:r>
    </w:p>
    <w:p w14:paraId="6AD44AC3" w14:textId="77777777" w:rsidR="00FE19AC" w:rsidRPr="009C269C" w:rsidRDefault="00FE19AC" w:rsidP="00E067C2">
      <w:pPr>
        <w:pStyle w:val="Textoindependiente"/>
        <w:widowControl w:val="0"/>
        <w:tabs>
          <w:tab w:val="left" w:pos="567"/>
        </w:tabs>
        <w:autoSpaceDE w:val="0"/>
        <w:autoSpaceDN w:val="0"/>
        <w:spacing w:after="0"/>
        <w:ind w:right="19"/>
        <w:jc w:val="both"/>
        <w:rPr>
          <w:color w:val="000000" w:themeColor="text1"/>
          <w:sz w:val="20"/>
          <w:szCs w:val="20"/>
          <w:lang w:val="es-CO"/>
        </w:rPr>
      </w:pPr>
    </w:p>
    <w:p w14:paraId="359DE3A1" w14:textId="186A532C" w:rsidR="00D27034" w:rsidRPr="009C269C" w:rsidRDefault="00D27034" w:rsidP="00E067C2">
      <w:pPr>
        <w:pStyle w:val="Prrafodelista"/>
        <w:widowControl w:val="0"/>
        <w:numPr>
          <w:ilvl w:val="0"/>
          <w:numId w:val="26"/>
        </w:numPr>
        <w:ind w:left="1134" w:hanging="567"/>
        <w:jc w:val="both"/>
        <w:outlineLvl w:val="0"/>
        <w:rPr>
          <w:rFonts w:eastAsia="Cambria"/>
          <w:b/>
          <w:bCs/>
          <w:color w:val="000000" w:themeColor="text1"/>
          <w:sz w:val="28"/>
          <w:szCs w:val="28"/>
          <w:lang w:val="es-CO" w:eastAsia="es-CO"/>
        </w:rPr>
      </w:pPr>
      <w:r w:rsidRPr="009C269C">
        <w:rPr>
          <w:rFonts w:eastAsia="Cambria"/>
          <w:b/>
          <w:bCs/>
          <w:color w:val="000000" w:themeColor="text1"/>
          <w:sz w:val="28"/>
          <w:szCs w:val="28"/>
          <w:lang w:val="es-CO" w:eastAsia="es-CO"/>
        </w:rPr>
        <w:t xml:space="preserve">Argumentos de </w:t>
      </w:r>
      <w:proofErr w:type="spellStart"/>
      <w:r w:rsidR="00F9750B" w:rsidRPr="009C269C">
        <w:rPr>
          <w:rFonts w:eastAsia="Cambria"/>
          <w:b/>
          <w:bCs/>
          <w:color w:val="000000" w:themeColor="text1"/>
          <w:sz w:val="28"/>
          <w:szCs w:val="28"/>
          <w:lang w:val="es-CO" w:eastAsia="es-CO"/>
        </w:rPr>
        <w:t>exequibilidad</w:t>
      </w:r>
      <w:proofErr w:type="spellEnd"/>
      <w:r w:rsidR="00F9750B" w:rsidRPr="009C269C">
        <w:rPr>
          <w:rFonts w:eastAsia="Cambria"/>
          <w:b/>
          <w:bCs/>
          <w:color w:val="000000" w:themeColor="text1"/>
          <w:sz w:val="28"/>
          <w:szCs w:val="28"/>
          <w:lang w:val="es-CO" w:eastAsia="es-CO"/>
        </w:rPr>
        <w:t xml:space="preserve"> condicionada</w:t>
      </w:r>
    </w:p>
    <w:p w14:paraId="05327634" w14:textId="77777777" w:rsidR="00D27034" w:rsidRPr="009C269C" w:rsidRDefault="00D27034" w:rsidP="00E067C2">
      <w:pPr>
        <w:widowControl w:val="0"/>
        <w:jc w:val="both"/>
        <w:outlineLvl w:val="0"/>
        <w:rPr>
          <w:rFonts w:eastAsia="Cambria"/>
          <w:b/>
          <w:bCs/>
          <w:color w:val="000000" w:themeColor="text1"/>
          <w:sz w:val="28"/>
          <w:szCs w:val="28"/>
          <w:lang w:eastAsia="es-CO"/>
        </w:rPr>
      </w:pPr>
    </w:p>
    <w:p w14:paraId="7E536488" w14:textId="6884E54F" w:rsidR="00126042" w:rsidRPr="00F80773"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9C269C">
        <w:rPr>
          <w:bCs/>
          <w:color w:val="000000" w:themeColor="text1"/>
          <w:sz w:val="28"/>
          <w:szCs w:val="28"/>
          <w:lang w:val="es-CO" w:eastAsia="es-ES"/>
        </w:rPr>
        <w:t>La</w:t>
      </w:r>
      <w:r w:rsidRPr="009C269C">
        <w:rPr>
          <w:bCs/>
          <w:i/>
          <w:iCs/>
          <w:color w:val="000000" w:themeColor="text1"/>
          <w:sz w:val="28"/>
          <w:szCs w:val="28"/>
          <w:lang w:val="es-CO" w:eastAsia="es-ES"/>
        </w:rPr>
        <w:t xml:space="preserve"> </w:t>
      </w:r>
      <w:r w:rsidR="006526BC" w:rsidRPr="009C269C">
        <w:rPr>
          <w:b/>
          <w:color w:val="000000" w:themeColor="text1"/>
          <w:sz w:val="28"/>
          <w:szCs w:val="28"/>
          <w:lang w:val="es-CO" w:eastAsia="es-ES"/>
        </w:rPr>
        <w:t>Universidad de los Andes</w:t>
      </w:r>
      <w:r w:rsidR="00DB5B30" w:rsidRPr="009C269C">
        <w:rPr>
          <w:rStyle w:val="Refdenotaalpie"/>
          <w:bCs/>
          <w:color w:val="000000" w:themeColor="text1"/>
          <w:lang w:val="es-CO" w:eastAsia="es-ES"/>
        </w:rPr>
        <w:footnoteReference w:id="13"/>
      </w:r>
      <w:r w:rsidR="006526BC" w:rsidRPr="009C269C">
        <w:rPr>
          <w:bCs/>
          <w:color w:val="000000" w:themeColor="text1"/>
          <w:sz w:val="28"/>
          <w:szCs w:val="28"/>
          <w:lang w:val="es-CO" w:eastAsia="es-ES"/>
        </w:rPr>
        <w:t xml:space="preserve">, el </w:t>
      </w:r>
      <w:r w:rsidR="006526BC" w:rsidRPr="009C269C">
        <w:rPr>
          <w:b/>
          <w:color w:val="000000" w:themeColor="text1"/>
          <w:sz w:val="28"/>
          <w:szCs w:val="28"/>
          <w:lang w:val="es-CO" w:eastAsia="es-ES"/>
        </w:rPr>
        <w:t xml:space="preserve">Instituto Colombiano de Derecho Procesal </w:t>
      </w:r>
      <w:r w:rsidR="008A4873" w:rsidRPr="009C269C">
        <w:rPr>
          <w:b/>
          <w:color w:val="000000" w:themeColor="text1"/>
          <w:sz w:val="28"/>
          <w:szCs w:val="28"/>
          <w:lang w:val="es-CO" w:eastAsia="es-ES"/>
        </w:rPr>
        <w:t>(</w:t>
      </w:r>
      <w:r w:rsidR="006526BC" w:rsidRPr="009C269C">
        <w:rPr>
          <w:b/>
          <w:color w:val="000000" w:themeColor="text1"/>
          <w:sz w:val="28"/>
          <w:szCs w:val="28"/>
          <w:lang w:val="es-CO" w:eastAsia="es-ES"/>
        </w:rPr>
        <w:t>ICDP</w:t>
      </w:r>
      <w:r w:rsidR="008A4873" w:rsidRPr="009C269C">
        <w:rPr>
          <w:b/>
          <w:color w:val="000000" w:themeColor="text1"/>
          <w:sz w:val="28"/>
          <w:szCs w:val="28"/>
          <w:lang w:val="es-CO" w:eastAsia="es-ES"/>
        </w:rPr>
        <w:t>)</w:t>
      </w:r>
      <w:r w:rsidR="00DB5B30" w:rsidRPr="009C269C">
        <w:rPr>
          <w:rStyle w:val="Refdenotaalpie"/>
          <w:bCs/>
          <w:color w:val="000000" w:themeColor="text1"/>
          <w:lang w:val="es-CO" w:eastAsia="es-ES"/>
        </w:rPr>
        <w:footnoteReference w:id="14"/>
      </w:r>
      <w:r w:rsidR="006526BC" w:rsidRPr="009C269C">
        <w:rPr>
          <w:bCs/>
          <w:color w:val="000000" w:themeColor="text1"/>
          <w:sz w:val="28"/>
          <w:szCs w:val="28"/>
          <w:lang w:val="es-CO" w:eastAsia="es-ES"/>
        </w:rPr>
        <w:t xml:space="preserve">, la </w:t>
      </w:r>
      <w:r w:rsidR="006526BC" w:rsidRPr="009C269C">
        <w:rPr>
          <w:b/>
          <w:color w:val="000000" w:themeColor="text1"/>
          <w:sz w:val="28"/>
          <w:szCs w:val="28"/>
          <w:lang w:val="es-CO" w:eastAsia="es-ES"/>
        </w:rPr>
        <w:t>Universidad Libre de Bogotá</w:t>
      </w:r>
      <w:r w:rsidR="00DB5B30" w:rsidRPr="009C269C">
        <w:rPr>
          <w:rStyle w:val="Refdenotaalpie"/>
          <w:bCs/>
          <w:color w:val="000000" w:themeColor="text1"/>
          <w:lang w:val="es-CO" w:eastAsia="es-ES"/>
        </w:rPr>
        <w:footnoteReference w:id="15"/>
      </w:r>
      <w:r w:rsidR="006526BC" w:rsidRPr="009C269C">
        <w:rPr>
          <w:bCs/>
          <w:color w:val="000000" w:themeColor="text1"/>
          <w:sz w:val="28"/>
          <w:szCs w:val="28"/>
          <w:lang w:val="es-CO" w:eastAsia="es-ES"/>
        </w:rPr>
        <w:t>, la</w:t>
      </w:r>
      <w:r w:rsidR="006526BC" w:rsidRPr="009C269C">
        <w:rPr>
          <w:b/>
          <w:color w:val="000000" w:themeColor="text1"/>
          <w:sz w:val="28"/>
          <w:szCs w:val="28"/>
          <w:lang w:val="es-CO" w:eastAsia="es-ES"/>
        </w:rPr>
        <w:t xml:space="preserve"> Fundación Jurídica Proyecto Inocencia</w:t>
      </w:r>
      <w:r w:rsidR="00DB5B30" w:rsidRPr="009C269C">
        <w:rPr>
          <w:rStyle w:val="Refdenotaalpie"/>
          <w:b/>
          <w:color w:val="000000" w:themeColor="text1"/>
          <w:lang w:val="es-CO" w:eastAsia="es-ES"/>
        </w:rPr>
        <w:footnoteReference w:id="16"/>
      </w:r>
      <w:r w:rsidR="006526BC" w:rsidRPr="009C269C">
        <w:rPr>
          <w:b/>
          <w:color w:val="000000" w:themeColor="text1"/>
          <w:sz w:val="28"/>
          <w:szCs w:val="28"/>
          <w:lang w:val="es-CO" w:eastAsia="es-ES"/>
        </w:rPr>
        <w:t xml:space="preserve"> </w:t>
      </w:r>
      <w:r w:rsidR="006526BC" w:rsidRPr="009C269C">
        <w:rPr>
          <w:bCs/>
          <w:color w:val="000000" w:themeColor="text1"/>
          <w:sz w:val="28"/>
          <w:szCs w:val="28"/>
          <w:lang w:val="es-CO" w:eastAsia="es-ES"/>
        </w:rPr>
        <w:t>y la</w:t>
      </w:r>
      <w:r w:rsidR="006526BC" w:rsidRPr="009C269C">
        <w:rPr>
          <w:b/>
          <w:color w:val="000000" w:themeColor="text1"/>
          <w:sz w:val="28"/>
          <w:szCs w:val="28"/>
          <w:lang w:val="es-CO" w:eastAsia="es-ES"/>
        </w:rPr>
        <w:t xml:space="preserve"> Universidad </w:t>
      </w:r>
      <w:r w:rsidR="009C269C" w:rsidRPr="009C269C">
        <w:rPr>
          <w:b/>
          <w:color w:val="000000" w:themeColor="text1"/>
          <w:sz w:val="28"/>
          <w:szCs w:val="28"/>
          <w:lang w:val="es-CO" w:eastAsia="es-ES"/>
        </w:rPr>
        <w:t xml:space="preserve">de </w:t>
      </w:r>
      <w:r w:rsidR="006526BC" w:rsidRPr="009C269C">
        <w:rPr>
          <w:b/>
          <w:color w:val="000000" w:themeColor="text1"/>
          <w:sz w:val="28"/>
          <w:szCs w:val="28"/>
          <w:lang w:val="es-CO" w:eastAsia="es-ES"/>
        </w:rPr>
        <w:t xml:space="preserve">San </w:t>
      </w:r>
      <w:r w:rsidR="00B7263F" w:rsidRPr="009C269C">
        <w:rPr>
          <w:b/>
          <w:color w:val="000000" w:themeColor="text1"/>
          <w:sz w:val="28"/>
          <w:szCs w:val="28"/>
          <w:lang w:val="es-CO" w:eastAsia="es-ES"/>
        </w:rPr>
        <w:t>Buenaventura</w:t>
      </w:r>
      <w:r w:rsidR="006526BC" w:rsidRPr="009C269C">
        <w:rPr>
          <w:b/>
          <w:color w:val="000000" w:themeColor="text1"/>
          <w:sz w:val="28"/>
          <w:szCs w:val="28"/>
          <w:lang w:val="es-CO" w:eastAsia="es-ES"/>
        </w:rPr>
        <w:t xml:space="preserve"> </w:t>
      </w:r>
      <w:r w:rsidR="009C269C" w:rsidRPr="009C269C">
        <w:rPr>
          <w:b/>
          <w:color w:val="000000" w:themeColor="text1"/>
          <w:sz w:val="28"/>
          <w:szCs w:val="28"/>
          <w:lang w:val="es-CO" w:eastAsia="es-ES"/>
        </w:rPr>
        <w:t>(</w:t>
      </w:r>
      <w:r w:rsidR="006526BC" w:rsidRPr="009C269C">
        <w:rPr>
          <w:b/>
          <w:color w:val="000000" w:themeColor="text1"/>
          <w:sz w:val="28"/>
          <w:szCs w:val="28"/>
          <w:lang w:val="es-CO" w:eastAsia="es-ES"/>
        </w:rPr>
        <w:t>sede Bogotá</w:t>
      </w:r>
      <w:r w:rsidR="009C269C" w:rsidRPr="009C269C">
        <w:rPr>
          <w:b/>
          <w:color w:val="000000" w:themeColor="text1"/>
          <w:sz w:val="28"/>
          <w:szCs w:val="28"/>
          <w:lang w:val="es-CO" w:eastAsia="es-ES"/>
        </w:rPr>
        <w:t>)</w:t>
      </w:r>
      <w:r w:rsidR="00DB5B30" w:rsidRPr="009C269C">
        <w:rPr>
          <w:rStyle w:val="Refdenotaalpie"/>
          <w:b/>
          <w:color w:val="000000" w:themeColor="text1"/>
          <w:lang w:val="es-CO" w:eastAsia="es-ES"/>
        </w:rPr>
        <w:footnoteReference w:id="17"/>
      </w:r>
      <w:r w:rsidR="006526BC" w:rsidRPr="009C269C">
        <w:rPr>
          <w:b/>
          <w:color w:val="000000" w:themeColor="text1"/>
          <w:sz w:val="28"/>
          <w:szCs w:val="28"/>
          <w:lang w:val="es-CO" w:eastAsia="es-ES"/>
        </w:rPr>
        <w:t xml:space="preserve"> </w:t>
      </w:r>
      <w:r w:rsidR="00EC7D32" w:rsidRPr="009C269C">
        <w:rPr>
          <w:bCs/>
          <w:color w:val="000000" w:themeColor="text1"/>
          <w:sz w:val="28"/>
          <w:szCs w:val="28"/>
          <w:lang w:val="es-CO" w:eastAsia="es-ES"/>
        </w:rPr>
        <w:t xml:space="preserve">solicitaron a la Corte declarar la </w:t>
      </w:r>
      <w:proofErr w:type="spellStart"/>
      <w:r w:rsidR="00EC7D32" w:rsidRPr="009C269C">
        <w:rPr>
          <w:bCs/>
          <w:color w:val="000000" w:themeColor="text1"/>
          <w:sz w:val="28"/>
          <w:szCs w:val="28"/>
          <w:lang w:val="es-CO" w:eastAsia="es-ES"/>
        </w:rPr>
        <w:t>exequibilidad</w:t>
      </w:r>
      <w:proofErr w:type="spellEnd"/>
      <w:r w:rsidR="00EC7D32" w:rsidRPr="009C269C">
        <w:rPr>
          <w:bCs/>
          <w:color w:val="000000" w:themeColor="text1"/>
          <w:sz w:val="28"/>
          <w:szCs w:val="28"/>
          <w:lang w:val="es-CO" w:eastAsia="es-ES"/>
        </w:rPr>
        <w:t xml:space="preserve"> condicionada del artículo 177 del CPP</w:t>
      </w:r>
      <w:r w:rsidR="009C269C" w:rsidRPr="009C269C">
        <w:rPr>
          <w:bCs/>
          <w:color w:val="000000" w:themeColor="text1"/>
          <w:sz w:val="28"/>
          <w:szCs w:val="28"/>
          <w:lang w:val="es-CO" w:eastAsia="es-ES"/>
        </w:rPr>
        <w:t>,</w:t>
      </w:r>
      <w:r w:rsidR="00EC7D32" w:rsidRPr="009C269C">
        <w:rPr>
          <w:bCs/>
          <w:color w:val="000000" w:themeColor="text1"/>
          <w:sz w:val="28"/>
          <w:szCs w:val="28"/>
          <w:lang w:val="es-CO" w:eastAsia="es-ES"/>
        </w:rPr>
        <w:t xml:space="preserve"> al considerar que</w:t>
      </w:r>
      <w:r w:rsidR="0010407E" w:rsidRPr="009C269C">
        <w:rPr>
          <w:bCs/>
          <w:color w:val="000000" w:themeColor="text1"/>
          <w:sz w:val="28"/>
          <w:szCs w:val="28"/>
          <w:lang w:val="es-CO" w:eastAsia="es-ES"/>
        </w:rPr>
        <w:t>,</w:t>
      </w:r>
      <w:r w:rsidR="00EC7D32" w:rsidRPr="009C269C">
        <w:rPr>
          <w:bCs/>
          <w:color w:val="000000" w:themeColor="text1"/>
          <w:sz w:val="28"/>
          <w:szCs w:val="28"/>
          <w:lang w:val="es-CO" w:eastAsia="es-ES"/>
        </w:rPr>
        <w:t xml:space="preserve"> </w:t>
      </w:r>
      <w:r w:rsidR="00176F49" w:rsidRPr="009C269C">
        <w:rPr>
          <w:bCs/>
          <w:color w:val="000000" w:themeColor="text1"/>
          <w:sz w:val="28"/>
          <w:szCs w:val="28"/>
          <w:lang w:val="es-CO" w:eastAsia="es-ES"/>
        </w:rPr>
        <w:t xml:space="preserve">aun cuando existe una libertad de configuración legislativa </w:t>
      </w:r>
      <w:r w:rsidR="00176F49" w:rsidRPr="00F80773">
        <w:rPr>
          <w:bCs/>
          <w:color w:val="000000" w:themeColor="text1"/>
          <w:sz w:val="28"/>
          <w:szCs w:val="28"/>
          <w:lang w:val="es-CO" w:eastAsia="es-ES"/>
        </w:rPr>
        <w:lastRenderedPageBreak/>
        <w:t xml:space="preserve">para la creación de normas procesales, </w:t>
      </w:r>
      <w:r w:rsidR="009C269C" w:rsidRPr="00F80773">
        <w:rPr>
          <w:bCs/>
          <w:color w:val="000000" w:themeColor="text1"/>
          <w:sz w:val="28"/>
          <w:szCs w:val="28"/>
          <w:lang w:val="es-CO" w:eastAsia="es-ES"/>
        </w:rPr>
        <w:t>el texto mencionado</w:t>
      </w:r>
      <w:r w:rsidR="00CA3961" w:rsidRPr="00F80773">
        <w:rPr>
          <w:bCs/>
          <w:color w:val="000000" w:themeColor="text1"/>
          <w:sz w:val="28"/>
          <w:szCs w:val="28"/>
          <w:lang w:val="es-CO" w:eastAsia="es-ES"/>
        </w:rPr>
        <w:t xml:space="preserve"> vulnera los derechos al debido proceso y a la presunción de inocencia</w:t>
      </w:r>
      <w:r w:rsidR="004F460C" w:rsidRPr="00F80773">
        <w:rPr>
          <w:bCs/>
          <w:color w:val="000000" w:themeColor="text1"/>
          <w:sz w:val="28"/>
          <w:szCs w:val="28"/>
          <w:lang w:val="es-CO" w:eastAsia="es-ES"/>
        </w:rPr>
        <w:t>,</w:t>
      </w:r>
      <w:r w:rsidR="00CA3961" w:rsidRPr="00F80773">
        <w:rPr>
          <w:bCs/>
          <w:color w:val="000000" w:themeColor="text1"/>
          <w:sz w:val="28"/>
          <w:szCs w:val="28"/>
          <w:lang w:val="es-CO" w:eastAsia="es-ES"/>
        </w:rPr>
        <w:t xml:space="preserve"> pues al suspenderse únicamente la </w:t>
      </w:r>
      <w:r w:rsidR="00CA3961" w:rsidRPr="00F80773">
        <w:rPr>
          <w:bCs/>
          <w:i/>
          <w:iCs/>
          <w:color w:val="000000" w:themeColor="text1"/>
          <w:sz w:val="28"/>
          <w:szCs w:val="28"/>
          <w:lang w:val="es-CO" w:eastAsia="es-ES"/>
        </w:rPr>
        <w:t>competencia</w:t>
      </w:r>
      <w:r w:rsidR="00CA3961" w:rsidRPr="00F80773">
        <w:rPr>
          <w:bCs/>
          <w:color w:val="000000" w:themeColor="text1"/>
          <w:sz w:val="28"/>
          <w:szCs w:val="28"/>
          <w:lang w:val="es-CO" w:eastAsia="es-ES"/>
        </w:rPr>
        <w:t xml:space="preserve"> del juez que profirió la sentencia condenatoria</w:t>
      </w:r>
      <w:r w:rsidR="004F460C" w:rsidRPr="00F80773">
        <w:rPr>
          <w:bCs/>
          <w:color w:val="000000" w:themeColor="text1"/>
          <w:sz w:val="28"/>
          <w:szCs w:val="28"/>
          <w:lang w:val="es-CO" w:eastAsia="es-ES"/>
        </w:rPr>
        <w:t>,</w:t>
      </w:r>
      <w:r w:rsidR="00CA3961" w:rsidRPr="00F80773">
        <w:rPr>
          <w:bCs/>
          <w:color w:val="000000" w:themeColor="text1"/>
          <w:sz w:val="28"/>
          <w:szCs w:val="28"/>
          <w:lang w:val="es-CO" w:eastAsia="es-ES"/>
        </w:rPr>
        <w:t xml:space="preserve"> </w:t>
      </w:r>
      <w:r w:rsidR="009C269C" w:rsidRPr="00F80773">
        <w:rPr>
          <w:bCs/>
          <w:color w:val="000000" w:themeColor="text1"/>
          <w:sz w:val="28"/>
          <w:szCs w:val="28"/>
          <w:lang w:val="es-CO" w:eastAsia="es-ES"/>
        </w:rPr>
        <w:t>se mantiene</w:t>
      </w:r>
      <w:r w:rsidR="00F80773" w:rsidRPr="00F80773">
        <w:rPr>
          <w:bCs/>
          <w:color w:val="000000" w:themeColor="text1"/>
          <w:sz w:val="28"/>
          <w:szCs w:val="28"/>
          <w:lang w:val="es-CO" w:eastAsia="es-ES"/>
        </w:rPr>
        <w:t>n</w:t>
      </w:r>
      <w:r w:rsidR="009C269C" w:rsidRPr="00F80773">
        <w:rPr>
          <w:bCs/>
          <w:color w:val="000000" w:themeColor="text1"/>
          <w:sz w:val="28"/>
          <w:szCs w:val="28"/>
          <w:lang w:val="es-CO" w:eastAsia="es-ES"/>
        </w:rPr>
        <w:t xml:space="preserve"> </w:t>
      </w:r>
      <w:r w:rsidR="00CA3961" w:rsidRPr="00F80773">
        <w:rPr>
          <w:bCs/>
          <w:color w:val="000000" w:themeColor="text1"/>
          <w:sz w:val="28"/>
          <w:szCs w:val="28"/>
          <w:lang w:val="es-CO" w:eastAsia="es-ES"/>
        </w:rPr>
        <w:t>vigente</w:t>
      </w:r>
      <w:r w:rsidR="00F80773" w:rsidRPr="00F80773">
        <w:rPr>
          <w:bCs/>
          <w:color w:val="000000" w:themeColor="text1"/>
          <w:sz w:val="28"/>
          <w:szCs w:val="28"/>
          <w:lang w:val="es-CO" w:eastAsia="es-ES"/>
        </w:rPr>
        <w:t>s</w:t>
      </w:r>
      <w:r w:rsidR="00CA3961" w:rsidRPr="00F80773">
        <w:rPr>
          <w:bCs/>
          <w:color w:val="000000" w:themeColor="text1"/>
          <w:sz w:val="28"/>
          <w:szCs w:val="28"/>
          <w:lang w:val="es-CO" w:eastAsia="es-ES"/>
        </w:rPr>
        <w:t xml:space="preserve"> los efectos de esa decisión</w:t>
      </w:r>
      <w:r w:rsidR="009C269C" w:rsidRPr="00F80773">
        <w:rPr>
          <w:bCs/>
          <w:color w:val="000000" w:themeColor="text1"/>
          <w:sz w:val="28"/>
          <w:szCs w:val="28"/>
          <w:lang w:val="es-CO" w:eastAsia="es-ES"/>
        </w:rPr>
        <w:t>,</w:t>
      </w:r>
      <w:r w:rsidR="00CA3961" w:rsidRPr="00F80773">
        <w:rPr>
          <w:bCs/>
          <w:color w:val="000000" w:themeColor="text1"/>
          <w:sz w:val="28"/>
          <w:szCs w:val="28"/>
          <w:lang w:val="es-CO" w:eastAsia="es-ES"/>
        </w:rPr>
        <w:t xml:space="preserve"> mientras se resuelve la apelación, </w:t>
      </w:r>
      <w:r w:rsidR="00F80773" w:rsidRPr="00F80773">
        <w:rPr>
          <w:bCs/>
          <w:color w:val="000000" w:themeColor="text1"/>
          <w:sz w:val="28"/>
          <w:szCs w:val="28"/>
          <w:lang w:val="es-CO" w:eastAsia="es-ES"/>
        </w:rPr>
        <w:t xml:space="preserve">con lo que puede producirse </w:t>
      </w:r>
      <w:r w:rsidR="00CA3961" w:rsidRPr="00F80773">
        <w:rPr>
          <w:bCs/>
          <w:color w:val="000000" w:themeColor="text1"/>
          <w:sz w:val="28"/>
          <w:szCs w:val="28"/>
          <w:lang w:val="es-CO" w:eastAsia="es-ES"/>
        </w:rPr>
        <w:t>una privación de la libertad</w:t>
      </w:r>
      <w:r w:rsidR="00F80773" w:rsidRPr="00F80773">
        <w:rPr>
          <w:bCs/>
          <w:color w:val="000000" w:themeColor="text1"/>
          <w:sz w:val="28"/>
          <w:szCs w:val="28"/>
          <w:lang w:val="es-CO" w:eastAsia="es-ES"/>
        </w:rPr>
        <w:t>,</w:t>
      </w:r>
      <w:r w:rsidR="00CA3961" w:rsidRPr="00F80773">
        <w:rPr>
          <w:bCs/>
          <w:color w:val="000000" w:themeColor="text1"/>
          <w:sz w:val="28"/>
          <w:szCs w:val="28"/>
          <w:lang w:val="es-CO" w:eastAsia="es-ES"/>
        </w:rPr>
        <w:t xml:space="preserve"> sin que exista una sentencia en firme.</w:t>
      </w:r>
    </w:p>
    <w:p w14:paraId="004DED9E" w14:textId="77777777" w:rsidR="00A067B8" w:rsidRPr="00F80773" w:rsidRDefault="00A067B8"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22C1E102" w14:textId="3D1A4B23" w:rsidR="007227BD" w:rsidRPr="00F80773" w:rsidRDefault="00A067B8"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F80773">
        <w:rPr>
          <w:color w:val="000000" w:themeColor="text1"/>
          <w:sz w:val="28"/>
          <w:szCs w:val="28"/>
          <w:lang w:val="es-CO"/>
        </w:rPr>
        <w:t>Esta contrariedad genera una tensión que</w:t>
      </w:r>
      <w:r w:rsidR="00F80773" w:rsidRPr="00F80773">
        <w:rPr>
          <w:color w:val="000000" w:themeColor="text1"/>
          <w:sz w:val="28"/>
          <w:szCs w:val="28"/>
          <w:lang w:val="es-CO"/>
        </w:rPr>
        <w:t>,</w:t>
      </w:r>
      <w:r w:rsidRPr="00F80773">
        <w:rPr>
          <w:color w:val="000000" w:themeColor="text1"/>
          <w:sz w:val="28"/>
          <w:szCs w:val="28"/>
          <w:lang w:val="es-CO"/>
        </w:rPr>
        <w:t xml:space="preserve"> </w:t>
      </w:r>
      <w:r w:rsidR="00F80773" w:rsidRPr="00F80773">
        <w:rPr>
          <w:color w:val="000000" w:themeColor="text1"/>
          <w:sz w:val="28"/>
          <w:szCs w:val="28"/>
          <w:lang w:val="es-CO"/>
        </w:rPr>
        <w:t xml:space="preserve">sin </w:t>
      </w:r>
      <w:r w:rsidRPr="00F80773">
        <w:rPr>
          <w:color w:val="000000" w:themeColor="text1"/>
          <w:sz w:val="28"/>
          <w:szCs w:val="28"/>
          <w:lang w:val="es-CO"/>
        </w:rPr>
        <w:t>una debida motivación del juez de conocimiento para decidir sobre la misma en la sentencia de primera instancia, puede llegar a vulnerar los principios aludidos por el accionante.</w:t>
      </w:r>
      <w:r w:rsidR="00F80773" w:rsidRPr="00F80773">
        <w:rPr>
          <w:color w:val="000000" w:themeColor="text1"/>
          <w:sz w:val="28"/>
          <w:szCs w:val="28"/>
          <w:lang w:val="es-CO"/>
        </w:rPr>
        <w:t xml:space="preserve"> En este sentido, </w:t>
      </w:r>
      <w:r w:rsidR="00F80773" w:rsidRPr="00F80773">
        <w:rPr>
          <w:iCs/>
          <w:color w:val="000000" w:themeColor="text1"/>
          <w:sz w:val="28"/>
          <w:szCs w:val="28"/>
          <w:lang w:val="es-CO"/>
        </w:rPr>
        <w:t>le asiste razón a este último al cuestionar la interpretación de la CSJ,</w:t>
      </w:r>
      <w:r w:rsidR="007D306E" w:rsidRPr="00F80773">
        <w:rPr>
          <w:iCs/>
          <w:color w:val="000000" w:themeColor="text1"/>
          <w:sz w:val="28"/>
          <w:szCs w:val="28"/>
          <w:lang w:val="es-CO"/>
        </w:rPr>
        <w:t xml:space="preserve"> toda vez que </w:t>
      </w:r>
      <w:r w:rsidR="00F80773" w:rsidRPr="00F80773">
        <w:rPr>
          <w:iCs/>
          <w:color w:val="000000" w:themeColor="text1"/>
          <w:sz w:val="28"/>
          <w:szCs w:val="28"/>
          <w:lang w:val="es-CO"/>
        </w:rPr>
        <w:t>ha</w:t>
      </w:r>
      <w:r w:rsidR="007D306E" w:rsidRPr="00F80773">
        <w:rPr>
          <w:iCs/>
          <w:color w:val="000000" w:themeColor="text1"/>
          <w:sz w:val="28"/>
          <w:szCs w:val="28"/>
          <w:lang w:val="es-CO"/>
        </w:rPr>
        <w:t xml:space="preserve"> llevado a aplicar los efectos de una sentencia condenatoria, sin importar que la decisión haya sido apelada, permitiendo que el ciudadano inicie el cumplimiento de una </w:t>
      </w:r>
      <w:r w:rsidR="00F80773" w:rsidRPr="00F80773">
        <w:rPr>
          <w:iCs/>
          <w:color w:val="000000" w:themeColor="text1"/>
          <w:sz w:val="28"/>
          <w:szCs w:val="28"/>
          <w:lang w:val="es-CO"/>
        </w:rPr>
        <w:t>providencia</w:t>
      </w:r>
      <w:r w:rsidR="007D306E" w:rsidRPr="00F80773">
        <w:rPr>
          <w:iCs/>
          <w:color w:val="000000" w:themeColor="text1"/>
          <w:sz w:val="28"/>
          <w:szCs w:val="28"/>
          <w:lang w:val="es-CO"/>
        </w:rPr>
        <w:t xml:space="preserve"> sobre la que se desconoce su futuro</w:t>
      </w:r>
      <w:r w:rsidR="00F90E63" w:rsidRPr="00F80773">
        <w:rPr>
          <w:iCs/>
          <w:color w:val="000000" w:themeColor="text1"/>
          <w:sz w:val="28"/>
          <w:szCs w:val="28"/>
          <w:lang w:val="es-CO"/>
        </w:rPr>
        <w:t>.</w:t>
      </w:r>
      <w:r w:rsidR="007B03DF" w:rsidRPr="00F80773">
        <w:rPr>
          <w:color w:val="000000" w:themeColor="text1"/>
          <w:sz w:val="28"/>
          <w:szCs w:val="28"/>
          <w:lang w:val="es-CO"/>
        </w:rPr>
        <w:t xml:space="preserve"> Por consiguiente, destacaron que el poder punitivo del Estado se torna excesivo al someter a un procesado a la ejecución de una sentencia que no ha cobrado fuerza ejecutoria.</w:t>
      </w:r>
      <w:r w:rsidR="00F80773">
        <w:rPr>
          <w:color w:val="000000" w:themeColor="text1"/>
          <w:sz w:val="28"/>
          <w:szCs w:val="28"/>
          <w:lang w:val="es-CO"/>
        </w:rPr>
        <w:t xml:space="preserve"> Por ello, se propone un condicionamiento en el sentido de entender que se suspenden tanto los efectos del fallo cuestionado, como la competencia de la autoridad que lo profirió.</w:t>
      </w:r>
    </w:p>
    <w:p w14:paraId="1778065C" w14:textId="77777777" w:rsidR="001E57CA" w:rsidRPr="00F80773" w:rsidRDefault="001E57CA" w:rsidP="00E067C2">
      <w:pPr>
        <w:pStyle w:val="Prrafodelista"/>
        <w:rPr>
          <w:color w:val="000000" w:themeColor="text1"/>
          <w:sz w:val="28"/>
          <w:szCs w:val="28"/>
          <w:lang w:val="es-CO"/>
        </w:rPr>
      </w:pPr>
    </w:p>
    <w:p w14:paraId="665CF6E1" w14:textId="2E422856" w:rsidR="001E57CA" w:rsidRPr="00F80773" w:rsidRDefault="00F80773"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F80773">
        <w:rPr>
          <w:color w:val="000000" w:themeColor="text1"/>
          <w:sz w:val="28"/>
          <w:szCs w:val="28"/>
          <w:lang w:val="es-CO"/>
        </w:rPr>
        <w:t>Por otra parte,</w:t>
      </w:r>
      <w:r w:rsidR="00935089" w:rsidRPr="00F80773">
        <w:rPr>
          <w:color w:val="000000" w:themeColor="text1"/>
          <w:sz w:val="28"/>
          <w:szCs w:val="28"/>
          <w:lang w:val="es-CO"/>
        </w:rPr>
        <w:t xml:space="preserve"> la Universidad </w:t>
      </w:r>
      <w:r w:rsidRPr="00F80773">
        <w:rPr>
          <w:color w:val="000000" w:themeColor="text1"/>
          <w:sz w:val="28"/>
          <w:szCs w:val="28"/>
          <w:lang w:val="es-CO"/>
        </w:rPr>
        <w:t xml:space="preserve">de </w:t>
      </w:r>
      <w:r w:rsidR="001E57CA" w:rsidRPr="00F80773">
        <w:rPr>
          <w:color w:val="000000" w:themeColor="text1"/>
          <w:sz w:val="28"/>
          <w:szCs w:val="28"/>
          <w:lang w:val="es-CO"/>
        </w:rPr>
        <w:t xml:space="preserve">San </w:t>
      </w:r>
      <w:r w:rsidR="00B06E9C" w:rsidRPr="00F80773">
        <w:rPr>
          <w:color w:val="000000" w:themeColor="text1"/>
          <w:sz w:val="28"/>
          <w:szCs w:val="28"/>
          <w:lang w:val="es-CO"/>
        </w:rPr>
        <w:t>Buenaventura</w:t>
      </w:r>
      <w:r w:rsidR="00935089" w:rsidRPr="00F80773">
        <w:rPr>
          <w:color w:val="000000" w:themeColor="text1"/>
          <w:sz w:val="28"/>
          <w:szCs w:val="28"/>
          <w:lang w:val="es-CO"/>
        </w:rPr>
        <w:t xml:space="preserve"> fue la única que solicitó la declaratoria de </w:t>
      </w:r>
      <w:proofErr w:type="spellStart"/>
      <w:r w:rsidR="00935089" w:rsidRPr="00F80773">
        <w:rPr>
          <w:color w:val="000000" w:themeColor="text1"/>
          <w:sz w:val="28"/>
          <w:szCs w:val="28"/>
          <w:lang w:val="es-CO"/>
        </w:rPr>
        <w:t>exequibilidad</w:t>
      </w:r>
      <w:proofErr w:type="spellEnd"/>
      <w:r w:rsidR="00935089" w:rsidRPr="00F80773">
        <w:rPr>
          <w:color w:val="000000" w:themeColor="text1"/>
          <w:sz w:val="28"/>
          <w:szCs w:val="28"/>
          <w:lang w:val="es-CO"/>
        </w:rPr>
        <w:t xml:space="preserve"> condicionada de las dos disposiciones cuestionadas</w:t>
      </w:r>
      <w:r w:rsidR="004F460C" w:rsidRPr="00F80773">
        <w:rPr>
          <w:color w:val="000000" w:themeColor="text1"/>
          <w:sz w:val="28"/>
          <w:szCs w:val="28"/>
          <w:lang w:val="es-CO"/>
        </w:rPr>
        <w:t>,</w:t>
      </w:r>
      <w:r w:rsidR="00935089" w:rsidRPr="00F80773">
        <w:rPr>
          <w:color w:val="000000" w:themeColor="text1"/>
          <w:sz w:val="28"/>
          <w:szCs w:val="28"/>
          <w:lang w:val="es-CO"/>
        </w:rPr>
        <w:t xml:space="preserve"> al considerar que la problemática radica en que si los requisitos del artículo 63 del CP</w:t>
      </w:r>
      <w:r w:rsidRPr="00F80773">
        <w:rPr>
          <w:color w:val="000000" w:themeColor="text1"/>
          <w:sz w:val="28"/>
          <w:szCs w:val="28"/>
          <w:lang w:val="es-CO"/>
        </w:rPr>
        <w:t>,</w:t>
      </w:r>
      <w:r w:rsidR="00935089" w:rsidRPr="00F80773">
        <w:rPr>
          <w:color w:val="000000" w:themeColor="text1"/>
          <w:sz w:val="28"/>
          <w:szCs w:val="28"/>
          <w:lang w:val="es-CO"/>
        </w:rPr>
        <w:t xml:space="preserve"> para la ejecución de la pena no se cumplen, la captura debe ser ejecutada inmediatamente, aun </w:t>
      </w:r>
      <w:r w:rsidR="00DD267A" w:rsidRPr="00F80773">
        <w:rPr>
          <w:color w:val="000000" w:themeColor="text1"/>
          <w:sz w:val="28"/>
          <w:szCs w:val="28"/>
          <w:lang w:val="es-CO"/>
        </w:rPr>
        <w:t>habiendo</w:t>
      </w:r>
      <w:r w:rsidR="00935089" w:rsidRPr="00F80773">
        <w:rPr>
          <w:color w:val="000000" w:themeColor="text1"/>
          <w:sz w:val="28"/>
          <w:szCs w:val="28"/>
          <w:lang w:val="es-CO"/>
        </w:rPr>
        <w:t xml:space="preserve"> </w:t>
      </w:r>
      <w:r w:rsidR="00E635C3" w:rsidRPr="00F80773">
        <w:rPr>
          <w:color w:val="000000" w:themeColor="text1"/>
          <w:sz w:val="28"/>
          <w:szCs w:val="28"/>
          <w:lang w:val="es-CO"/>
        </w:rPr>
        <w:t>sentido del fallo, sentencia no ejecutoriada o apelación, situaciones en las que</w:t>
      </w:r>
      <w:r w:rsidR="00DD267A" w:rsidRPr="00F80773">
        <w:rPr>
          <w:color w:val="000000" w:themeColor="text1"/>
          <w:sz w:val="28"/>
          <w:szCs w:val="28"/>
          <w:lang w:val="es-CO"/>
        </w:rPr>
        <w:t>, a juicio del accionante,</w:t>
      </w:r>
      <w:r w:rsidR="00E635C3" w:rsidRPr="00F80773">
        <w:rPr>
          <w:color w:val="000000" w:themeColor="text1"/>
          <w:sz w:val="28"/>
          <w:szCs w:val="28"/>
          <w:lang w:val="es-CO"/>
        </w:rPr>
        <w:t xml:space="preserve"> se estaría violando la presunción de inocencia y el debido proceso.</w:t>
      </w:r>
    </w:p>
    <w:p w14:paraId="4BE1FA61" w14:textId="77777777" w:rsidR="00AD3ADB" w:rsidRPr="00F80773" w:rsidRDefault="00AD3ADB" w:rsidP="00E067C2">
      <w:pPr>
        <w:pStyle w:val="Prrafodelista"/>
        <w:rPr>
          <w:color w:val="000000" w:themeColor="text1"/>
          <w:sz w:val="28"/>
          <w:szCs w:val="28"/>
          <w:lang w:val="es-CO"/>
        </w:rPr>
      </w:pPr>
    </w:p>
    <w:p w14:paraId="68EFA035" w14:textId="71F179BA" w:rsidR="00AD3ADB" w:rsidRPr="00F80773" w:rsidRDefault="00AD3ADB"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F80773">
        <w:rPr>
          <w:color w:val="000000" w:themeColor="text1"/>
          <w:sz w:val="28"/>
          <w:szCs w:val="28"/>
          <w:lang w:val="es-CO"/>
        </w:rPr>
        <w:t xml:space="preserve">Por último, la Fundación Jurídica Proyecto Inocencia consideró </w:t>
      </w:r>
      <w:r w:rsidR="0070292F" w:rsidRPr="00F80773">
        <w:rPr>
          <w:color w:val="000000" w:themeColor="text1"/>
          <w:sz w:val="28"/>
          <w:szCs w:val="28"/>
          <w:lang w:val="es-CO"/>
        </w:rPr>
        <w:t xml:space="preserve">que </w:t>
      </w:r>
      <w:r w:rsidR="0028457B" w:rsidRPr="00F80773">
        <w:rPr>
          <w:color w:val="000000" w:themeColor="text1"/>
          <w:sz w:val="28"/>
          <w:szCs w:val="28"/>
          <w:lang w:val="es-CO"/>
        </w:rPr>
        <w:t>existe una omisión legislativa relativa</w:t>
      </w:r>
      <w:r w:rsidR="004F460C" w:rsidRPr="00F80773">
        <w:rPr>
          <w:color w:val="000000" w:themeColor="text1"/>
          <w:sz w:val="28"/>
          <w:szCs w:val="28"/>
          <w:lang w:val="es-CO"/>
        </w:rPr>
        <w:t>,</w:t>
      </w:r>
      <w:r w:rsidR="0028457B" w:rsidRPr="00F80773">
        <w:rPr>
          <w:color w:val="000000" w:themeColor="text1"/>
          <w:sz w:val="28"/>
          <w:szCs w:val="28"/>
          <w:lang w:val="es-CO"/>
        </w:rPr>
        <w:t xml:space="preserve"> dado que </w:t>
      </w:r>
      <w:r w:rsidR="0070292F" w:rsidRPr="00F80773">
        <w:rPr>
          <w:color w:val="000000" w:themeColor="text1"/>
          <w:sz w:val="28"/>
          <w:szCs w:val="28"/>
          <w:lang w:val="es-CO"/>
        </w:rPr>
        <w:t xml:space="preserve">el yerro contenido en el artículo 177 del CPP lleva </w:t>
      </w:r>
      <w:r w:rsidR="004F460C" w:rsidRPr="00F80773">
        <w:rPr>
          <w:color w:val="000000" w:themeColor="text1"/>
          <w:sz w:val="28"/>
          <w:szCs w:val="28"/>
          <w:lang w:val="es-CO"/>
        </w:rPr>
        <w:t xml:space="preserve">a </w:t>
      </w:r>
      <w:r w:rsidR="0070292F" w:rsidRPr="00F80773">
        <w:rPr>
          <w:color w:val="000000" w:themeColor="text1"/>
          <w:sz w:val="28"/>
          <w:szCs w:val="28"/>
          <w:lang w:val="es-CO"/>
        </w:rPr>
        <w:t>que las personas sean capturadas para cumplir una pena no ejecutoriada</w:t>
      </w:r>
      <w:r w:rsidR="00F80773" w:rsidRPr="00F80773">
        <w:rPr>
          <w:color w:val="000000" w:themeColor="text1"/>
          <w:sz w:val="28"/>
          <w:szCs w:val="28"/>
          <w:lang w:val="es-CO"/>
        </w:rPr>
        <w:t>,</w:t>
      </w:r>
      <w:r w:rsidR="0070292F" w:rsidRPr="00F80773">
        <w:rPr>
          <w:color w:val="000000" w:themeColor="text1"/>
          <w:sz w:val="28"/>
          <w:szCs w:val="28"/>
          <w:lang w:val="es-CO"/>
        </w:rPr>
        <w:t xml:space="preserve"> sin límite temporal para dicha restricción de la libertad, por cuanto no existe vencimiento de términos, error que es una evidente violación de la garantía de</w:t>
      </w:r>
      <w:r w:rsidR="00F80773" w:rsidRPr="00F80773">
        <w:rPr>
          <w:color w:val="000000" w:themeColor="text1"/>
          <w:sz w:val="28"/>
          <w:szCs w:val="28"/>
          <w:lang w:val="es-CO"/>
        </w:rPr>
        <w:t xml:space="preserve"> la</w:t>
      </w:r>
      <w:r w:rsidR="0070292F" w:rsidRPr="00F80773">
        <w:rPr>
          <w:color w:val="000000" w:themeColor="text1"/>
          <w:sz w:val="28"/>
          <w:szCs w:val="28"/>
          <w:lang w:val="es-CO"/>
        </w:rPr>
        <w:t xml:space="preserve"> presunción de inocencia.</w:t>
      </w:r>
    </w:p>
    <w:p w14:paraId="28C9A0F2" w14:textId="77777777" w:rsidR="007227BD" w:rsidRPr="00F80773" w:rsidRDefault="007227BD"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7D9815CE" w14:textId="26387E76" w:rsidR="00176F49" w:rsidRPr="00F80773" w:rsidRDefault="007B03DF"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F80773">
        <w:rPr>
          <w:color w:val="000000" w:themeColor="text1"/>
          <w:sz w:val="28"/>
          <w:szCs w:val="28"/>
          <w:lang w:val="es-CO"/>
        </w:rPr>
        <w:t>De otro lado</w:t>
      </w:r>
      <w:r w:rsidR="007227BD" w:rsidRPr="00F80773">
        <w:rPr>
          <w:color w:val="000000" w:themeColor="text1"/>
          <w:sz w:val="28"/>
          <w:szCs w:val="28"/>
          <w:lang w:val="es-CO"/>
        </w:rPr>
        <w:t>, la mayoría de los intervinientes sostuvieron que no puede predicarse la misma consecuencia respecto del artículo 63 del CP, también cuestionado en la demanda, toda vez que esta disposición no incide directamente en la presunción de inocencia</w:t>
      </w:r>
      <w:r w:rsidR="00176F49" w:rsidRPr="00F80773">
        <w:rPr>
          <w:color w:val="000000" w:themeColor="text1"/>
          <w:sz w:val="28"/>
          <w:szCs w:val="28"/>
          <w:lang w:val="es-CO"/>
        </w:rPr>
        <w:t xml:space="preserve">. En consecuencia, solicitaron declarar la </w:t>
      </w:r>
      <w:proofErr w:type="spellStart"/>
      <w:r w:rsidR="00176F49" w:rsidRPr="00F80773">
        <w:rPr>
          <w:color w:val="000000" w:themeColor="text1"/>
          <w:sz w:val="28"/>
          <w:szCs w:val="28"/>
          <w:lang w:val="es-CO"/>
        </w:rPr>
        <w:t>exequibilidad</w:t>
      </w:r>
      <w:proofErr w:type="spellEnd"/>
      <w:r w:rsidR="00176F49" w:rsidRPr="00F80773">
        <w:rPr>
          <w:color w:val="000000" w:themeColor="text1"/>
          <w:sz w:val="28"/>
          <w:szCs w:val="28"/>
          <w:lang w:val="es-CO"/>
        </w:rPr>
        <w:t xml:space="preserve"> del mismo</w:t>
      </w:r>
      <w:r w:rsidR="004F460C" w:rsidRPr="00F80773">
        <w:rPr>
          <w:color w:val="000000" w:themeColor="text1"/>
          <w:sz w:val="28"/>
          <w:szCs w:val="28"/>
          <w:lang w:val="es-CO"/>
        </w:rPr>
        <w:t>,</w:t>
      </w:r>
      <w:r w:rsidR="00176F49" w:rsidRPr="00F80773">
        <w:rPr>
          <w:color w:val="000000" w:themeColor="text1"/>
          <w:sz w:val="28"/>
          <w:szCs w:val="28"/>
          <w:lang w:val="es-CO"/>
        </w:rPr>
        <w:t xml:space="preserve"> dado que </w:t>
      </w:r>
      <w:r w:rsidR="00176F49" w:rsidRPr="00F80773">
        <w:rPr>
          <w:sz w:val="28"/>
          <w:szCs w:val="28"/>
          <w:lang w:val="es-ES_tradnl"/>
        </w:rPr>
        <w:t xml:space="preserve">esa disposición regula únicamente los requisitos de un subrogado penal vinculados a la naturaleza y la duración del delito. Así que dicho </w:t>
      </w:r>
      <w:r w:rsidR="000D4371" w:rsidRPr="00F80773">
        <w:rPr>
          <w:sz w:val="28"/>
          <w:szCs w:val="28"/>
          <w:lang w:val="es-ES_tradnl"/>
        </w:rPr>
        <w:t>artículo</w:t>
      </w:r>
      <w:r w:rsidR="00176F49" w:rsidRPr="00F80773">
        <w:rPr>
          <w:sz w:val="28"/>
          <w:szCs w:val="28"/>
          <w:lang w:val="es-ES_tradnl"/>
        </w:rPr>
        <w:t xml:space="preserve"> </w:t>
      </w:r>
      <w:r w:rsidR="000D4371" w:rsidRPr="00F80773">
        <w:rPr>
          <w:sz w:val="28"/>
          <w:szCs w:val="28"/>
          <w:lang w:val="es-ES_tradnl"/>
        </w:rPr>
        <w:t xml:space="preserve">no genera </w:t>
      </w:r>
      <w:r w:rsidR="00176F49" w:rsidRPr="00F80773">
        <w:rPr>
          <w:sz w:val="28"/>
          <w:szCs w:val="28"/>
          <w:lang w:val="es-ES_tradnl"/>
        </w:rPr>
        <w:t>la inaplicabilidad de otras medidas alternativas, las cuales, según la jurisprudencia</w:t>
      </w:r>
      <w:r w:rsidR="004F460C" w:rsidRPr="00F80773">
        <w:rPr>
          <w:sz w:val="28"/>
          <w:szCs w:val="28"/>
          <w:lang w:val="es-ES_tradnl"/>
        </w:rPr>
        <w:t>,</w:t>
      </w:r>
      <w:r w:rsidR="00176F49" w:rsidRPr="00F80773">
        <w:rPr>
          <w:sz w:val="28"/>
          <w:szCs w:val="28"/>
          <w:lang w:val="es-ES_tradnl"/>
        </w:rPr>
        <w:t xml:space="preserve"> constituyen excepciones a</w:t>
      </w:r>
      <w:r w:rsidR="00D278FA" w:rsidRPr="00F80773">
        <w:rPr>
          <w:sz w:val="28"/>
          <w:szCs w:val="28"/>
          <w:lang w:val="es-ES_tradnl"/>
        </w:rPr>
        <w:t>l principio general de libertad.</w:t>
      </w:r>
    </w:p>
    <w:p w14:paraId="24A12C8D" w14:textId="77777777" w:rsidR="00D27034" w:rsidRPr="00F80773" w:rsidRDefault="00D27034" w:rsidP="00E067C2">
      <w:pPr>
        <w:pStyle w:val="Prrafodelista"/>
        <w:adjustRightInd w:val="0"/>
        <w:ind w:left="0"/>
        <w:jc w:val="both"/>
        <w:rPr>
          <w:iCs/>
          <w:color w:val="000000" w:themeColor="text1"/>
          <w:sz w:val="28"/>
          <w:szCs w:val="28"/>
          <w:lang w:val="es-CO"/>
        </w:rPr>
      </w:pPr>
    </w:p>
    <w:p w14:paraId="5636E7A0" w14:textId="69DA0F13" w:rsidR="00D27034" w:rsidRPr="00F80773" w:rsidRDefault="00D27034" w:rsidP="00E067C2">
      <w:pPr>
        <w:pStyle w:val="Prrafodelista"/>
        <w:widowControl w:val="0"/>
        <w:numPr>
          <w:ilvl w:val="0"/>
          <w:numId w:val="12"/>
        </w:numPr>
        <w:ind w:left="0" w:firstLine="0"/>
        <w:jc w:val="center"/>
        <w:outlineLvl w:val="0"/>
        <w:rPr>
          <w:rFonts w:eastAsia="Cambria"/>
          <w:b/>
          <w:bCs/>
          <w:color w:val="000000" w:themeColor="text1"/>
          <w:sz w:val="28"/>
          <w:szCs w:val="28"/>
          <w:lang w:val="es-CO" w:eastAsia="es-CO"/>
        </w:rPr>
      </w:pPr>
      <w:r w:rsidRPr="00F80773">
        <w:rPr>
          <w:rFonts w:eastAsia="Cambria"/>
          <w:b/>
          <w:bCs/>
          <w:color w:val="000000" w:themeColor="text1"/>
          <w:sz w:val="28"/>
          <w:szCs w:val="28"/>
          <w:lang w:val="es-CO" w:eastAsia="es-CO"/>
        </w:rPr>
        <w:t>Concepto de la Procurad</w:t>
      </w:r>
      <w:r w:rsidR="006526BC" w:rsidRPr="00F80773">
        <w:rPr>
          <w:rFonts w:eastAsia="Cambria"/>
          <w:b/>
          <w:bCs/>
          <w:color w:val="000000" w:themeColor="text1"/>
          <w:sz w:val="28"/>
          <w:szCs w:val="28"/>
          <w:lang w:val="es-CO" w:eastAsia="es-CO"/>
        </w:rPr>
        <w:t>uría</w:t>
      </w:r>
      <w:r w:rsidRPr="00F80773">
        <w:rPr>
          <w:rFonts w:eastAsia="Cambria"/>
          <w:b/>
          <w:bCs/>
          <w:color w:val="000000" w:themeColor="text1"/>
          <w:sz w:val="28"/>
          <w:szCs w:val="28"/>
          <w:lang w:val="es-CO" w:eastAsia="es-CO"/>
        </w:rPr>
        <w:t xml:space="preserve"> General de la Nación</w:t>
      </w:r>
    </w:p>
    <w:p w14:paraId="1360CD21" w14:textId="77777777" w:rsidR="00D27034" w:rsidRPr="00F80773" w:rsidRDefault="00D27034" w:rsidP="00E067C2">
      <w:pPr>
        <w:pStyle w:val="Prrafodelista"/>
        <w:jc w:val="both"/>
        <w:rPr>
          <w:iCs/>
          <w:color w:val="000000" w:themeColor="text1"/>
          <w:sz w:val="28"/>
          <w:szCs w:val="28"/>
          <w:lang w:val="es-CO"/>
        </w:rPr>
      </w:pPr>
    </w:p>
    <w:p w14:paraId="64157F08" w14:textId="26AEC044" w:rsidR="00C622D6" w:rsidRPr="00F80773" w:rsidRDefault="00E635C3" w:rsidP="00E067C2">
      <w:pPr>
        <w:pStyle w:val="Textoindependiente"/>
        <w:widowControl w:val="0"/>
        <w:numPr>
          <w:ilvl w:val="0"/>
          <w:numId w:val="30"/>
        </w:numPr>
        <w:tabs>
          <w:tab w:val="left" w:pos="567"/>
        </w:tabs>
        <w:autoSpaceDE w:val="0"/>
        <w:autoSpaceDN w:val="0"/>
        <w:spacing w:after="0"/>
        <w:ind w:left="0" w:right="19" w:firstLine="0"/>
        <w:jc w:val="both"/>
        <w:rPr>
          <w:iCs/>
          <w:color w:val="000000" w:themeColor="text1"/>
          <w:sz w:val="28"/>
          <w:szCs w:val="28"/>
          <w:lang w:val="es-CO"/>
        </w:rPr>
      </w:pPr>
      <w:r w:rsidRPr="00F80773">
        <w:rPr>
          <w:iCs/>
          <w:color w:val="000000" w:themeColor="text1"/>
          <w:sz w:val="28"/>
          <w:szCs w:val="28"/>
          <w:lang w:val="es-CO"/>
        </w:rPr>
        <w:t>El viceprocurador general de la Nación</w:t>
      </w:r>
      <w:r w:rsidR="008D3512" w:rsidRPr="00F80773">
        <w:rPr>
          <w:iCs/>
          <w:color w:val="000000" w:themeColor="text1"/>
          <w:sz w:val="28"/>
          <w:szCs w:val="28"/>
          <w:lang w:val="es-CO"/>
        </w:rPr>
        <w:t xml:space="preserve"> estimó que </w:t>
      </w:r>
      <w:r w:rsidR="00A54E9A" w:rsidRPr="00F80773">
        <w:rPr>
          <w:iCs/>
          <w:color w:val="000000" w:themeColor="text1"/>
          <w:sz w:val="28"/>
          <w:szCs w:val="28"/>
          <w:lang w:val="es-CO"/>
        </w:rPr>
        <w:t>la demanda de la referencia es inepta para generar un juicio de constitucionalidad, en tanto el supuesto fáctico que se considera contrario a la Constitución no se deriva de las disposiciones acusadas y, por consiguiente, la argumentación carece de certeza.</w:t>
      </w:r>
    </w:p>
    <w:p w14:paraId="52735D45" w14:textId="77777777" w:rsidR="00A54E9A" w:rsidRPr="00F80773" w:rsidRDefault="00A54E9A" w:rsidP="00E067C2">
      <w:pPr>
        <w:pStyle w:val="Textoindependiente"/>
        <w:widowControl w:val="0"/>
        <w:tabs>
          <w:tab w:val="left" w:pos="567"/>
        </w:tabs>
        <w:autoSpaceDE w:val="0"/>
        <w:autoSpaceDN w:val="0"/>
        <w:spacing w:after="0"/>
        <w:ind w:right="19"/>
        <w:jc w:val="both"/>
        <w:rPr>
          <w:iCs/>
          <w:color w:val="000000" w:themeColor="text1"/>
          <w:sz w:val="28"/>
          <w:szCs w:val="28"/>
          <w:lang w:val="es-CO"/>
        </w:rPr>
      </w:pPr>
    </w:p>
    <w:p w14:paraId="4C52EB9C" w14:textId="51E37E9D" w:rsidR="00A54E9A" w:rsidRPr="00F80773" w:rsidRDefault="0045052C" w:rsidP="00E067C2">
      <w:pPr>
        <w:pStyle w:val="Textoindependiente"/>
        <w:widowControl w:val="0"/>
        <w:numPr>
          <w:ilvl w:val="0"/>
          <w:numId w:val="30"/>
        </w:numPr>
        <w:tabs>
          <w:tab w:val="left" w:pos="567"/>
        </w:tabs>
        <w:autoSpaceDE w:val="0"/>
        <w:autoSpaceDN w:val="0"/>
        <w:spacing w:after="0"/>
        <w:ind w:left="0" w:right="19" w:firstLine="0"/>
        <w:jc w:val="both"/>
        <w:rPr>
          <w:iCs/>
          <w:color w:val="000000" w:themeColor="text1"/>
          <w:sz w:val="28"/>
          <w:szCs w:val="28"/>
          <w:lang w:val="es-CO"/>
        </w:rPr>
      </w:pPr>
      <w:r w:rsidRPr="00F80773">
        <w:rPr>
          <w:iCs/>
          <w:color w:val="000000" w:themeColor="text1"/>
          <w:sz w:val="28"/>
          <w:szCs w:val="28"/>
          <w:lang w:val="es-CO"/>
        </w:rPr>
        <w:lastRenderedPageBreak/>
        <w:t>Para el Ministerio Público</w:t>
      </w:r>
      <w:r w:rsidR="004F460C" w:rsidRPr="00F80773">
        <w:rPr>
          <w:iCs/>
          <w:color w:val="000000" w:themeColor="text1"/>
          <w:sz w:val="28"/>
          <w:szCs w:val="28"/>
          <w:lang w:val="es-CO"/>
        </w:rPr>
        <w:t>,</w:t>
      </w:r>
      <w:r w:rsidRPr="00F80773">
        <w:rPr>
          <w:iCs/>
          <w:color w:val="000000" w:themeColor="text1"/>
          <w:sz w:val="28"/>
          <w:szCs w:val="28"/>
          <w:lang w:val="es-CO"/>
        </w:rPr>
        <w:t xml:space="preserve"> el demandante pretende reabrir el debate jurídico concluido en la sentencia C-342 de 2017, por medio </w:t>
      </w:r>
      <w:r w:rsidR="009C26EA">
        <w:rPr>
          <w:iCs/>
          <w:color w:val="000000" w:themeColor="text1"/>
          <w:sz w:val="28"/>
          <w:szCs w:val="28"/>
          <w:lang w:val="es-CO"/>
        </w:rPr>
        <w:t xml:space="preserve">de un </w:t>
      </w:r>
      <w:r w:rsidRPr="00F80773">
        <w:rPr>
          <w:iCs/>
          <w:color w:val="000000" w:themeColor="text1"/>
          <w:sz w:val="28"/>
          <w:szCs w:val="28"/>
          <w:lang w:val="es-CO"/>
        </w:rPr>
        <w:t xml:space="preserve">cuestionamiento </w:t>
      </w:r>
      <w:r w:rsidR="009C26EA">
        <w:rPr>
          <w:iCs/>
          <w:color w:val="000000" w:themeColor="text1"/>
          <w:sz w:val="28"/>
          <w:szCs w:val="28"/>
          <w:lang w:val="es-CO"/>
        </w:rPr>
        <w:t xml:space="preserve">dirigido a </w:t>
      </w:r>
      <w:r w:rsidRPr="00F80773">
        <w:rPr>
          <w:iCs/>
          <w:color w:val="000000" w:themeColor="text1"/>
          <w:sz w:val="28"/>
          <w:szCs w:val="28"/>
          <w:lang w:val="es-CO"/>
        </w:rPr>
        <w:t xml:space="preserve">disposiciones que </w:t>
      </w:r>
      <w:r w:rsidR="00707221" w:rsidRPr="00F80773">
        <w:rPr>
          <w:iCs/>
          <w:color w:val="000000" w:themeColor="text1"/>
          <w:sz w:val="28"/>
          <w:szCs w:val="28"/>
          <w:lang w:val="es-CO"/>
        </w:rPr>
        <w:t>no aluden al supuesto fáctico que se considera contrario a la Constitución. En este sentido, precisó que la demanda (i) se fundamenta en una interpretación asistemática de las normas que ordenan la medida de privación de la libertad</w:t>
      </w:r>
      <w:r w:rsidR="009C26EA">
        <w:rPr>
          <w:iCs/>
          <w:color w:val="000000" w:themeColor="text1"/>
          <w:sz w:val="28"/>
          <w:szCs w:val="28"/>
          <w:lang w:val="es-CO"/>
        </w:rPr>
        <w:t>,</w:t>
      </w:r>
      <w:r w:rsidR="00707221" w:rsidRPr="00F80773">
        <w:rPr>
          <w:iCs/>
          <w:color w:val="000000" w:themeColor="text1"/>
          <w:sz w:val="28"/>
          <w:szCs w:val="28"/>
          <w:lang w:val="es-CO"/>
        </w:rPr>
        <w:t xml:space="preserve"> en virtud de la sentencia condenatoria de primera instancia</w:t>
      </w:r>
      <w:r w:rsidR="009C26EA">
        <w:rPr>
          <w:iCs/>
          <w:color w:val="000000" w:themeColor="text1"/>
          <w:sz w:val="28"/>
          <w:szCs w:val="28"/>
          <w:lang w:val="es-CO"/>
        </w:rPr>
        <w:t>,</w:t>
      </w:r>
      <w:r w:rsidR="00707221" w:rsidRPr="00F80773">
        <w:rPr>
          <w:iCs/>
          <w:color w:val="000000" w:themeColor="text1"/>
          <w:sz w:val="28"/>
          <w:szCs w:val="28"/>
          <w:lang w:val="es-CO"/>
        </w:rPr>
        <w:t xml:space="preserve"> y (</w:t>
      </w:r>
      <w:proofErr w:type="spellStart"/>
      <w:r w:rsidR="00707221" w:rsidRPr="00F80773">
        <w:rPr>
          <w:iCs/>
          <w:color w:val="000000" w:themeColor="text1"/>
          <w:sz w:val="28"/>
          <w:szCs w:val="28"/>
          <w:lang w:val="es-CO"/>
        </w:rPr>
        <w:t>ii</w:t>
      </w:r>
      <w:proofErr w:type="spellEnd"/>
      <w:r w:rsidR="00707221" w:rsidRPr="00F80773">
        <w:rPr>
          <w:iCs/>
          <w:color w:val="000000" w:themeColor="text1"/>
          <w:sz w:val="28"/>
          <w:szCs w:val="28"/>
          <w:lang w:val="es-CO"/>
        </w:rPr>
        <w:t>) desconoce el precedente constitucional sobre la materia.</w:t>
      </w:r>
    </w:p>
    <w:p w14:paraId="78FF9547" w14:textId="77777777" w:rsidR="00707221" w:rsidRPr="00F80773" w:rsidRDefault="00707221" w:rsidP="00E067C2">
      <w:pPr>
        <w:pStyle w:val="Prrafodelista"/>
        <w:rPr>
          <w:iCs/>
          <w:color w:val="000000" w:themeColor="text1"/>
          <w:sz w:val="28"/>
          <w:szCs w:val="28"/>
          <w:lang w:val="es-CO"/>
        </w:rPr>
      </w:pPr>
    </w:p>
    <w:p w14:paraId="6471B37C" w14:textId="75277E43" w:rsidR="00707221" w:rsidRPr="009C26EA" w:rsidRDefault="00707221" w:rsidP="00E067C2">
      <w:pPr>
        <w:pStyle w:val="Textoindependiente"/>
        <w:widowControl w:val="0"/>
        <w:numPr>
          <w:ilvl w:val="0"/>
          <w:numId w:val="30"/>
        </w:numPr>
        <w:tabs>
          <w:tab w:val="left" w:pos="567"/>
        </w:tabs>
        <w:autoSpaceDE w:val="0"/>
        <w:autoSpaceDN w:val="0"/>
        <w:spacing w:after="0"/>
        <w:ind w:left="0" w:right="19" w:firstLine="0"/>
        <w:jc w:val="both"/>
        <w:rPr>
          <w:iCs/>
          <w:color w:val="000000" w:themeColor="text1"/>
          <w:sz w:val="28"/>
          <w:szCs w:val="28"/>
          <w:lang w:val="es-CO"/>
        </w:rPr>
      </w:pPr>
      <w:r w:rsidRPr="009C26EA">
        <w:rPr>
          <w:iCs/>
          <w:color w:val="000000" w:themeColor="text1"/>
          <w:sz w:val="28"/>
          <w:szCs w:val="28"/>
          <w:lang w:val="es-CO"/>
        </w:rPr>
        <w:t>Por consiguiente, la demanda carece de suficiencia</w:t>
      </w:r>
      <w:r w:rsidR="004F460C" w:rsidRPr="009C26EA">
        <w:rPr>
          <w:iCs/>
          <w:color w:val="000000" w:themeColor="text1"/>
          <w:sz w:val="28"/>
          <w:szCs w:val="28"/>
          <w:lang w:val="es-CO"/>
        </w:rPr>
        <w:t>,</w:t>
      </w:r>
      <w:r w:rsidRPr="009C26EA">
        <w:rPr>
          <w:iCs/>
          <w:color w:val="000000" w:themeColor="text1"/>
          <w:sz w:val="28"/>
          <w:szCs w:val="28"/>
          <w:lang w:val="es-CO"/>
        </w:rPr>
        <w:t xml:space="preserve"> ya que, al contrastarse que el </w:t>
      </w:r>
      <w:r w:rsidR="009C26EA" w:rsidRPr="009C26EA">
        <w:rPr>
          <w:iCs/>
          <w:color w:val="000000" w:themeColor="text1"/>
          <w:sz w:val="28"/>
          <w:szCs w:val="28"/>
          <w:lang w:val="es-CO"/>
        </w:rPr>
        <w:t xml:space="preserve">actor </w:t>
      </w:r>
      <w:r w:rsidRPr="009C26EA">
        <w:rPr>
          <w:iCs/>
          <w:color w:val="000000" w:themeColor="text1"/>
          <w:sz w:val="28"/>
          <w:szCs w:val="28"/>
          <w:lang w:val="es-CO"/>
        </w:rPr>
        <w:t>realizó una lectura parcializada de las disposiciones acusadas, los reproches de inconstitucionalidad pierden poder persuasivo y</w:t>
      </w:r>
      <w:r w:rsidR="004F460C" w:rsidRPr="009C26EA">
        <w:rPr>
          <w:iCs/>
          <w:color w:val="000000" w:themeColor="text1"/>
          <w:sz w:val="28"/>
          <w:szCs w:val="28"/>
          <w:lang w:val="es-CO"/>
        </w:rPr>
        <w:t>,</w:t>
      </w:r>
      <w:r w:rsidRPr="009C26EA">
        <w:rPr>
          <w:iCs/>
          <w:color w:val="000000" w:themeColor="text1"/>
          <w:sz w:val="28"/>
          <w:szCs w:val="28"/>
          <w:lang w:val="es-CO"/>
        </w:rPr>
        <w:t xml:space="preserve"> por lo tanto</w:t>
      </w:r>
      <w:r w:rsidR="004F460C" w:rsidRPr="009C26EA">
        <w:rPr>
          <w:iCs/>
          <w:color w:val="000000" w:themeColor="text1"/>
          <w:sz w:val="28"/>
          <w:szCs w:val="28"/>
          <w:lang w:val="es-CO"/>
        </w:rPr>
        <w:t>,</w:t>
      </w:r>
      <w:r w:rsidRPr="009C26EA">
        <w:rPr>
          <w:iCs/>
          <w:color w:val="000000" w:themeColor="text1"/>
          <w:sz w:val="28"/>
          <w:szCs w:val="28"/>
          <w:lang w:val="es-CO"/>
        </w:rPr>
        <w:t xml:space="preserve"> no generan duda sobre el desconocimiento de la Constitución</w:t>
      </w:r>
      <w:r w:rsidRPr="009C26EA">
        <w:rPr>
          <w:rStyle w:val="Refdenotaalpie"/>
          <w:iCs/>
          <w:color w:val="000000" w:themeColor="text1"/>
          <w:lang w:val="es-CO"/>
        </w:rPr>
        <w:footnoteReference w:id="18"/>
      </w:r>
      <w:r w:rsidRPr="009C26EA">
        <w:rPr>
          <w:iCs/>
          <w:color w:val="000000" w:themeColor="text1"/>
          <w:sz w:val="28"/>
          <w:szCs w:val="28"/>
          <w:lang w:val="es-CO"/>
        </w:rPr>
        <w:t>.</w:t>
      </w:r>
    </w:p>
    <w:p w14:paraId="3C3A3DF7" w14:textId="77777777" w:rsidR="004F16E7" w:rsidRPr="009C26EA" w:rsidRDefault="004F16E7"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0C0BAC5B" w14:textId="77777777" w:rsidR="00D27034" w:rsidRPr="009C26EA" w:rsidRDefault="00D27034" w:rsidP="00E067C2">
      <w:pPr>
        <w:widowControl w:val="0"/>
        <w:numPr>
          <w:ilvl w:val="0"/>
          <w:numId w:val="12"/>
        </w:numPr>
        <w:ind w:left="0" w:firstLine="0"/>
        <w:jc w:val="center"/>
        <w:outlineLvl w:val="0"/>
        <w:rPr>
          <w:rFonts w:eastAsia="Cambria"/>
          <w:b/>
          <w:bCs/>
          <w:color w:val="000000" w:themeColor="text1"/>
          <w:sz w:val="28"/>
          <w:szCs w:val="28"/>
          <w:lang w:eastAsia="es-CO"/>
        </w:rPr>
      </w:pPr>
      <w:r w:rsidRPr="009C26EA">
        <w:rPr>
          <w:rFonts w:eastAsia="Cambria"/>
          <w:b/>
          <w:bCs/>
          <w:color w:val="000000" w:themeColor="text1"/>
          <w:sz w:val="28"/>
          <w:szCs w:val="28"/>
          <w:lang w:eastAsia="es-CO"/>
        </w:rPr>
        <w:t>CONSIDERACIONES</w:t>
      </w:r>
    </w:p>
    <w:p w14:paraId="36DFE2CB" w14:textId="77777777" w:rsidR="00D27034" w:rsidRPr="009C26EA" w:rsidRDefault="00D27034" w:rsidP="00E067C2">
      <w:pPr>
        <w:widowControl w:val="0"/>
        <w:jc w:val="both"/>
        <w:rPr>
          <w:rFonts w:eastAsiaTheme="minorHAnsi"/>
          <w:b/>
          <w:color w:val="000000" w:themeColor="text1"/>
          <w:sz w:val="28"/>
          <w:szCs w:val="28"/>
          <w:lang w:eastAsia="en-US"/>
        </w:rPr>
      </w:pPr>
    </w:p>
    <w:p w14:paraId="460C6761" w14:textId="77777777" w:rsidR="00D27034" w:rsidRPr="009C26EA" w:rsidRDefault="00D27034" w:rsidP="00E067C2">
      <w:pPr>
        <w:widowControl w:val="0"/>
        <w:numPr>
          <w:ilvl w:val="1"/>
          <w:numId w:val="12"/>
        </w:numPr>
        <w:ind w:left="993" w:hanging="502"/>
        <w:jc w:val="both"/>
        <w:outlineLvl w:val="0"/>
        <w:rPr>
          <w:rFonts w:eastAsia="Cambria"/>
          <w:b/>
          <w:bCs/>
          <w:color w:val="000000" w:themeColor="text1"/>
          <w:sz w:val="28"/>
          <w:szCs w:val="28"/>
          <w:lang w:eastAsia="es-CO"/>
        </w:rPr>
      </w:pPr>
      <w:bookmarkStart w:id="9" w:name="_Hlk63325080"/>
      <w:r w:rsidRPr="009C26EA">
        <w:rPr>
          <w:rFonts w:eastAsia="Cambria"/>
          <w:b/>
          <w:bCs/>
          <w:color w:val="000000" w:themeColor="text1"/>
          <w:sz w:val="28"/>
          <w:szCs w:val="28"/>
          <w:lang w:eastAsia="es-CO"/>
        </w:rPr>
        <w:t>Competencia</w:t>
      </w:r>
    </w:p>
    <w:bookmarkEnd w:id="9"/>
    <w:p w14:paraId="64E6C1B6" w14:textId="77777777" w:rsidR="00D27034" w:rsidRPr="009C26EA" w:rsidRDefault="00D27034" w:rsidP="00E067C2">
      <w:pPr>
        <w:widowControl w:val="0"/>
        <w:jc w:val="both"/>
        <w:rPr>
          <w:rFonts w:eastAsiaTheme="minorHAnsi"/>
          <w:b/>
          <w:color w:val="000000" w:themeColor="text1"/>
          <w:sz w:val="28"/>
          <w:szCs w:val="28"/>
          <w:lang w:eastAsia="en-US"/>
        </w:rPr>
      </w:pPr>
    </w:p>
    <w:p w14:paraId="03A25C48" w14:textId="56DEDDED" w:rsidR="00D27034" w:rsidRPr="009C26EA" w:rsidRDefault="00D27034"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9C26EA">
        <w:rPr>
          <w:rFonts w:eastAsiaTheme="minorHAnsi"/>
          <w:color w:val="000000" w:themeColor="text1"/>
          <w:sz w:val="28"/>
          <w:szCs w:val="28"/>
          <w:lang w:val="es-CO"/>
        </w:rPr>
        <w:t xml:space="preserve">La Corte Constitucional es competente </w:t>
      </w:r>
      <w:r w:rsidR="00C82D4A" w:rsidRPr="009C26EA">
        <w:rPr>
          <w:rFonts w:eastAsiaTheme="minorHAnsi"/>
          <w:color w:val="000000" w:themeColor="text1"/>
          <w:sz w:val="28"/>
          <w:szCs w:val="28"/>
          <w:lang w:val="es-CO"/>
        </w:rPr>
        <w:t xml:space="preserve">para </w:t>
      </w:r>
      <w:r w:rsidRPr="009C26EA">
        <w:rPr>
          <w:rFonts w:eastAsiaTheme="minorHAnsi"/>
          <w:color w:val="000000" w:themeColor="text1"/>
          <w:sz w:val="28"/>
          <w:szCs w:val="28"/>
          <w:lang w:val="es-CO"/>
        </w:rPr>
        <w:t xml:space="preserve">resolver la demanda de la referencia, de conformidad con lo dispuesto en el artículo 241.4 de la Constitución, por dirigirse contra </w:t>
      </w:r>
      <w:r w:rsidR="00081573" w:rsidRPr="009C26EA">
        <w:rPr>
          <w:rFonts w:eastAsiaTheme="minorHAnsi"/>
          <w:color w:val="000000" w:themeColor="text1"/>
          <w:sz w:val="28"/>
          <w:szCs w:val="28"/>
          <w:lang w:val="es-CO"/>
        </w:rPr>
        <w:t>dos</w:t>
      </w:r>
      <w:r w:rsidRPr="009C26EA">
        <w:rPr>
          <w:rFonts w:eastAsiaTheme="minorHAnsi"/>
          <w:color w:val="000000" w:themeColor="text1"/>
          <w:sz w:val="28"/>
          <w:szCs w:val="28"/>
          <w:lang w:val="es-CO"/>
        </w:rPr>
        <w:t xml:space="preserve"> disposici</w:t>
      </w:r>
      <w:r w:rsidR="00081573" w:rsidRPr="009C26EA">
        <w:rPr>
          <w:rFonts w:eastAsiaTheme="minorHAnsi"/>
          <w:color w:val="000000" w:themeColor="text1"/>
          <w:sz w:val="28"/>
          <w:szCs w:val="28"/>
          <w:lang w:val="es-CO"/>
        </w:rPr>
        <w:t>ones</w:t>
      </w:r>
      <w:r w:rsidRPr="009C26EA">
        <w:rPr>
          <w:rFonts w:eastAsiaTheme="minorHAnsi"/>
          <w:color w:val="000000" w:themeColor="text1"/>
          <w:sz w:val="28"/>
          <w:szCs w:val="28"/>
          <w:lang w:val="es-CO"/>
        </w:rPr>
        <w:t xml:space="preserve"> contenida</w:t>
      </w:r>
      <w:r w:rsidR="00081573" w:rsidRPr="009C26EA">
        <w:rPr>
          <w:rFonts w:eastAsiaTheme="minorHAnsi"/>
          <w:color w:val="000000" w:themeColor="text1"/>
          <w:sz w:val="28"/>
          <w:szCs w:val="28"/>
          <w:lang w:val="es-CO"/>
        </w:rPr>
        <w:t>s</w:t>
      </w:r>
      <w:r w:rsidRPr="009C26EA">
        <w:rPr>
          <w:rFonts w:eastAsiaTheme="minorHAnsi"/>
          <w:color w:val="000000" w:themeColor="text1"/>
          <w:sz w:val="28"/>
          <w:szCs w:val="28"/>
          <w:lang w:val="es-CO"/>
        </w:rPr>
        <w:t xml:space="preserve"> en </w:t>
      </w:r>
      <w:r w:rsidR="00081573" w:rsidRPr="009C26EA">
        <w:rPr>
          <w:rFonts w:eastAsiaTheme="minorHAnsi"/>
          <w:color w:val="000000" w:themeColor="text1"/>
          <w:sz w:val="28"/>
          <w:szCs w:val="28"/>
          <w:lang w:val="es-CO"/>
        </w:rPr>
        <w:t xml:space="preserve">dos leyes </w:t>
      </w:r>
      <w:r w:rsidRPr="009C26EA">
        <w:rPr>
          <w:rFonts w:eastAsiaTheme="minorHAnsi"/>
          <w:color w:val="000000" w:themeColor="text1"/>
          <w:sz w:val="28"/>
          <w:szCs w:val="28"/>
          <w:lang w:val="es-CO"/>
        </w:rPr>
        <w:t>proferida</w:t>
      </w:r>
      <w:r w:rsidR="00081573" w:rsidRPr="009C26EA">
        <w:rPr>
          <w:rFonts w:eastAsiaTheme="minorHAnsi"/>
          <w:color w:val="000000" w:themeColor="text1"/>
          <w:sz w:val="28"/>
          <w:szCs w:val="28"/>
          <w:lang w:val="es-CO"/>
        </w:rPr>
        <w:t>s</w:t>
      </w:r>
      <w:r w:rsidRPr="009C26EA">
        <w:rPr>
          <w:rFonts w:eastAsiaTheme="minorHAnsi"/>
          <w:color w:val="000000" w:themeColor="text1"/>
          <w:sz w:val="28"/>
          <w:szCs w:val="28"/>
          <w:lang w:val="es-CO"/>
        </w:rPr>
        <w:t xml:space="preserve"> por el Congreso de la República, esto es,</w:t>
      </w:r>
      <w:r w:rsidR="00081573" w:rsidRPr="009C26EA">
        <w:rPr>
          <w:iCs/>
          <w:color w:val="000000" w:themeColor="text1"/>
          <w:sz w:val="28"/>
          <w:szCs w:val="28"/>
          <w:lang w:val="es-CO"/>
        </w:rPr>
        <w:t xml:space="preserve"> el Código Penal y el Código de Procedimiento Penal</w:t>
      </w:r>
      <w:r w:rsidRPr="009C26EA">
        <w:rPr>
          <w:iCs/>
          <w:color w:val="000000" w:themeColor="text1"/>
          <w:sz w:val="28"/>
          <w:szCs w:val="28"/>
          <w:lang w:val="es-CO"/>
        </w:rPr>
        <w:t>.</w:t>
      </w:r>
    </w:p>
    <w:p w14:paraId="06BADE9F" w14:textId="77777777" w:rsidR="00D27034" w:rsidRPr="000C137D" w:rsidRDefault="00D27034" w:rsidP="00E067C2">
      <w:pPr>
        <w:pStyle w:val="Prrafodelista"/>
        <w:adjustRightInd w:val="0"/>
        <w:ind w:left="0"/>
        <w:jc w:val="both"/>
        <w:rPr>
          <w:iCs/>
          <w:color w:val="000000" w:themeColor="text1"/>
          <w:sz w:val="28"/>
          <w:szCs w:val="28"/>
          <w:lang w:val="es-CO"/>
        </w:rPr>
      </w:pPr>
    </w:p>
    <w:p w14:paraId="49FB3089" w14:textId="0206381E" w:rsidR="00D27034" w:rsidRPr="000C137D" w:rsidRDefault="00D27034" w:rsidP="00E067C2">
      <w:pPr>
        <w:widowControl w:val="0"/>
        <w:numPr>
          <w:ilvl w:val="1"/>
          <w:numId w:val="12"/>
        </w:numPr>
        <w:ind w:left="993" w:hanging="502"/>
        <w:jc w:val="both"/>
        <w:outlineLvl w:val="0"/>
        <w:rPr>
          <w:rFonts w:eastAsia="Cambria"/>
          <w:b/>
          <w:bCs/>
          <w:color w:val="000000" w:themeColor="text1"/>
          <w:sz w:val="28"/>
          <w:szCs w:val="28"/>
          <w:lang w:eastAsia="es-CO"/>
        </w:rPr>
      </w:pPr>
      <w:r w:rsidRPr="000C137D">
        <w:rPr>
          <w:rFonts w:eastAsia="Cambria"/>
          <w:b/>
          <w:bCs/>
          <w:color w:val="000000" w:themeColor="text1"/>
          <w:sz w:val="28"/>
          <w:szCs w:val="28"/>
          <w:lang w:eastAsia="es-CO"/>
        </w:rPr>
        <w:t>Cuestión previa: examen de aptitud de la demanda</w:t>
      </w:r>
    </w:p>
    <w:p w14:paraId="4481C924" w14:textId="77777777" w:rsidR="00D27034" w:rsidRPr="000C137D" w:rsidRDefault="00D27034" w:rsidP="00E067C2">
      <w:pPr>
        <w:widowControl w:val="0"/>
        <w:jc w:val="both"/>
        <w:rPr>
          <w:rFonts w:eastAsiaTheme="minorHAnsi"/>
          <w:b/>
          <w:color w:val="000000" w:themeColor="text1"/>
          <w:sz w:val="28"/>
          <w:szCs w:val="28"/>
          <w:lang w:eastAsia="en-US"/>
        </w:rPr>
      </w:pPr>
    </w:p>
    <w:p w14:paraId="3DD7D2F7" w14:textId="5339B902" w:rsidR="00C82D4A" w:rsidRPr="000C137D" w:rsidRDefault="00C82D4A"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0C137D">
        <w:rPr>
          <w:bCs/>
          <w:color w:val="000000" w:themeColor="text1"/>
          <w:sz w:val="28"/>
          <w:szCs w:val="28"/>
          <w:lang w:val="es-CO"/>
        </w:rPr>
        <w:t>Siempre que los ciudadanos instauren acciones públicas de inconstitucionalidad tendrán la carga de cumplir unos mínimos argumentativos. Este mandato se deriva de lo dispuesto en el artículo 2 del Decreto 2067 de 1991, según el cual, “</w:t>
      </w:r>
      <w:r w:rsidRPr="000C137D">
        <w:rPr>
          <w:bCs/>
          <w:i/>
          <w:iCs/>
          <w:color w:val="000000" w:themeColor="text1"/>
          <w:sz w:val="28"/>
          <w:szCs w:val="28"/>
          <w:lang w:val="es-CO"/>
        </w:rPr>
        <w:t xml:space="preserve">las demandas en las acciones públicas de inconstitucionalidad </w:t>
      </w:r>
      <w:r w:rsidRPr="000C137D">
        <w:rPr>
          <w:bCs/>
          <w:color w:val="000000" w:themeColor="text1"/>
          <w:sz w:val="28"/>
          <w:szCs w:val="28"/>
          <w:lang w:val="es-CO"/>
        </w:rPr>
        <w:t>(…)” contendrán “</w:t>
      </w:r>
      <w:r w:rsidRPr="000C137D">
        <w:rPr>
          <w:bCs/>
          <w:i/>
          <w:iCs/>
          <w:color w:val="000000" w:themeColor="text1"/>
          <w:sz w:val="28"/>
          <w:szCs w:val="28"/>
          <w:lang w:val="es-CO"/>
        </w:rPr>
        <w:t>las razones</w:t>
      </w:r>
      <w:r w:rsidRPr="000C137D">
        <w:rPr>
          <w:bCs/>
          <w:color w:val="000000" w:themeColor="text1"/>
          <w:sz w:val="28"/>
          <w:szCs w:val="28"/>
          <w:lang w:val="es-CO"/>
        </w:rPr>
        <w:t>” por las cuales la Constitución, o alguno de sus artículos específicos, han sido trasgredidos. En la sentencia C-1052 de 2001, la Corte estableció que todo cargo contenido en una demanda, para ser estudiado de mérito, debe ser claro, cierto, específico, pertinente y suficiente.</w:t>
      </w:r>
    </w:p>
    <w:p w14:paraId="74106EC7" w14:textId="77777777" w:rsidR="00C82D4A" w:rsidRPr="000C137D" w:rsidRDefault="00C82D4A"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5CF443FA" w14:textId="77777777" w:rsidR="00C82D4A" w:rsidRPr="000C137D" w:rsidRDefault="00C82D4A"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0C137D">
        <w:rPr>
          <w:bCs/>
          <w:color w:val="000000" w:themeColor="text1"/>
          <w:sz w:val="28"/>
          <w:szCs w:val="28"/>
          <w:lang w:val="es-CO"/>
        </w:rPr>
        <w:t>Para la Corte, es importante que, en sus escritos, los demandantes presenten “</w:t>
      </w:r>
      <w:r w:rsidRPr="000C137D">
        <w:rPr>
          <w:bCs/>
          <w:i/>
          <w:iCs/>
          <w:color w:val="000000" w:themeColor="text1"/>
          <w:sz w:val="28"/>
          <w:szCs w:val="28"/>
          <w:lang w:val="es-CO"/>
        </w:rPr>
        <w:t xml:space="preserve">(…) </w:t>
      </w:r>
      <w:r w:rsidRPr="000C137D">
        <w:rPr>
          <w:i/>
          <w:iCs/>
          <w:color w:val="000000" w:themeColor="text1"/>
          <w:sz w:val="28"/>
          <w:szCs w:val="28"/>
          <w:shd w:val="clear" w:color="auto" w:fill="FFFFFF"/>
          <w:lang w:val="es-CO"/>
        </w:rPr>
        <w:t>razones que (i) pueden ser entendidas por cualquier ciudadano (claridad); (</w:t>
      </w:r>
      <w:proofErr w:type="spellStart"/>
      <w:r w:rsidRPr="000C137D">
        <w:rPr>
          <w:i/>
          <w:iCs/>
          <w:color w:val="000000" w:themeColor="text1"/>
          <w:sz w:val="28"/>
          <w:szCs w:val="28"/>
          <w:shd w:val="clear" w:color="auto" w:fill="FFFFFF"/>
          <w:lang w:val="es-CO"/>
        </w:rPr>
        <w:t>ii</w:t>
      </w:r>
      <w:proofErr w:type="spellEnd"/>
      <w:r w:rsidRPr="000C137D">
        <w:rPr>
          <w:i/>
          <w:iCs/>
          <w:color w:val="000000" w:themeColor="text1"/>
          <w:sz w:val="28"/>
          <w:szCs w:val="28"/>
          <w:shd w:val="clear" w:color="auto" w:fill="FFFFFF"/>
          <w:lang w:val="es-CO"/>
        </w:rPr>
        <w:t>) se encaminan a cuestionar los significados de la ley vigente (certeza); (</w:t>
      </w:r>
      <w:proofErr w:type="spellStart"/>
      <w:r w:rsidRPr="000C137D">
        <w:rPr>
          <w:i/>
          <w:iCs/>
          <w:color w:val="000000" w:themeColor="text1"/>
          <w:sz w:val="28"/>
          <w:szCs w:val="28"/>
          <w:shd w:val="clear" w:color="auto" w:fill="FFFFFF"/>
          <w:lang w:val="es-CO"/>
        </w:rPr>
        <w:t>iii</w:t>
      </w:r>
      <w:proofErr w:type="spellEnd"/>
      <w:r w:rsidRPr="000C137D">
        <w:rPr>
          <w:i/>
          <w:iCs/>
          <w:color w:val="000000" w:themeColor="text1"/>
          <w:sz w:val="28"/>
          <w:szCs w:val="28"/>
          <w:shd w:val="clear" w:color="auto" w:fill="FFFFFF"/>
          <w:lang w:val="es-CO"/>
        </w:rPr>
        <w:t>) correspondan a cuestiones constitucionales, esto es, que tengan por objeto preservar la vigencia de la Carta (pertinencia); y (</w:t>
      </w:r>
      <w:proofErr w:type="spellStart"/>
      <w:r w:rsidRPr="000C137D">
        <w:rPr>
          <w:i/>
          <w:iCs/>
          <w:color w:val="000000" w:themeColor="text1"/>
          <w:sz w:val="28"/>
          <w:szCs w:val="28"/>
          <w:shd w:val="clear" w:color="auto" w:fill="FFFFFF"/>
          <w:lang w:val="es-CO"/>
        </w:rPr>
        <w:t>iv</w:t>
      </w:r>
      <w:proofErr w:type="spellEnd"/>
      <w:r w:rsidRPr="000C137D">
        <w:rPr>
          <w:i/>
          <w:iCs/>
          <w:color w:val="000000" w:themeColor="text1"/>
          <w:sz w:val="28"/>
          <w:szCs w:val="28"/>
          <w:shd w:val="clear" w:color="auto" w:fill="FFFFFF"/>
          <w:lang w:val="es-CO"/>
        </w:rPr>
        <w:t>) planteen en qué sentido específico se produjo su infracción (especificidad). Solo así, reunidos los elementos relevantes para el juicio, se suscitará una duda mínima sobre la validez de la ley (suficiencia)</w:t>
      </w:r>
      <w:r w:rsidRPr="000C137D">
        <w:rPr>
          <w:color w:val="000000" w:themeColor="text1"/>
          <w:sz w:val="28"/>
          <w:szCs w:val="28"/>
          <w:shd w:val="clear" w:color="auto" w:fill="FFFFFF"/>
          <w:lang w:val="es-CO"/>
        </w:rPr>
        <w:t>”</w:t>
      </w:r>
      <w:r w:rsidRPr="000C137D">
        <w:rPr>
          <w:rStyle w:val="Refdenotaalpie"/>
          <w:rFonts w:eastAsiaTheme="minorHAnsi"/>
          <w:color w:val="000000" w:themeColor="text1"/>
          <w:szCs w:val="28"/>
          <w:shd w:val="clear" w:color="auto" w:fill="FFFFFF"/>
          <w:lang w:val="es-CO"/>
        </w:rPr>
        <w:footnoteReference w:id="19"/>
      </w:r>
      <w:r w:rsidRPr="000C137D">
        <w:rPr>
          <w:color w:val="000000" w:themeColor="text1"/>
          <w:sz w:val="28"/>
          <w:szCs w:val="28"/>
          <w:shd w:val="clear" w:color="auto" w:fill="FFFFFF"/>
          <w:lang w:val="es-CO"/>
        </w:rPr>
        <w:t>. </w:t>
      </w:r>
    </w:p>
    <w:p w14:paraId="21E0BBE4" w14:textId="77777777" w:rsidR="00C82D4A" w:rsidRPr="000C137D" w:rsidRDefault="00C82D4A" w:rsidP="00E067C2">
      <w:pPr>
        <w:pStyle w:val="Prrafodelista"/>
        <w:jc w:val="both"/>
        <w:rPr>
          <w:bCs/>
          <w:color w:val="000000" w:themeColor="text1"/>
          <w:sz w:val="28"/>
          <w:szCs w:val="28"/>
          <w:lang w:val="es-CO"/>
        </w:rPr>
      </w:pPr>
    </w:p>
    <w:p w14:paraId="5AE24BB5" w14:textId="12D03E5A" w:rsidR="00963ADD" w:rsidRPr="000C137D" w:rsidRDefault="000E07C2"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0C137D">
        <w:rPr>
          <w:color w:val="000000" w:themeColor="text1"/>
          <w:sz w:val="28"/>
          <w:szCs w:val="28"/>
          <w:lang w:val="es-ES_tradnl"/>
        </w:rPr>
        <w:t>Igualmente, l</w:t>
      </w:r>
      <w:r w:rsidR="00963ADD" w:rsidRPr="000C137D">
        <w:rPr>
          <w:color w:val="000000" w:themeColor="text1"/>
          <w:sz w:val="28"/>
          <w:szCs w:val="28"/>
          <w:lang w:val="es-ES_tradnl"/>
        </w:rPr>
        <w:t>a Corte</w:t>
      </w:r>
      <w:r w:rsidR="000C137D" w:rsidRPr="000C137D">
        <w:rPr>
          <w:color w:val="000000" w:themeColor="text1"/>
          <w:sz w:val="28"/>
          <w:szCs w:val="28"/>
          <w:lang w:val="es-ES_tradnl"/>
        </w:rPr>
        <w:t xml:space="preserve"> </w:t>
      </w:r>
      <w:r w:rsidR="00963ADD" w:rsidRPr="000C137D">
        <w:rPr>
          <w:color w:val="000000" w:themeColor="text1"/>
          <w:sz w:val="28"/>
          <w:szCs w:val="28"/>
          <w:lang w:val="es-ES_tradnl"/>
        </w:rPr>
        <w:t xml:space="preserve">ha </w:t>
      </w:r>
      <w:r w:rsidR="000C137D" w:rsidRPr="000C137D">
        <w:rPr>
          <w:color w:val="000000" w:themeColor="text1"/>
          <w:sz w:val="28"/>
          <w:szCs w:val="28"/>
          <w:lang w:val="es-ES_tradnl"/>
        </w:rPr>
        <w:t>señalado</w:t>
      </w:r>
      <w:r w:rsidR="00963ADD" w:rsidRPr="000C137D">
        <w:rPr>
          <w:color w:val="000000" w:themeColor="text1"/>
          <w:sz w:val="28"/>
          <w:szCs w:val="28"/>
          <w:lang w:val="es-ES_tradnl"/>
        </w:rPr>
        <w:t xml:space="preserve"> que, aunque </w:t>
      </w:r>
      <w:r w:rsidR="000C137D" w:rsidRPr="000C137D">
        <w:rPr>
          <w:color w:val="000000" w:themeColor="text1"/>
          <w:sz w:val="28"/>
          <w:szCs w:val="28"/>
          <w:lang w:val="es-ES_tradnl"/>
        </w:rPr>
        <w:t>la expedición del</w:t>
      </w:r>
      <w:r w:rsidR="00963ADD" w:rsidRPr="000C137D">
        <w:rPr>
          <w:color w:val="000000" w:themeColor="text1"/>
          <w:sz w:val="28"/>
          <w:szCs w:val="28"/>
          <w:lang w:val="es-ES_tradnl"/>
        </w:rPr>
        <w:t xml:space="preserve"> auto admisorio es el momento procesal idóneo para evaluar la aptitud de la demanda, la Sala Plena puede reabrir dicho análisis</w:t>
      </w:r>
      <w:r w:rsidR="000C137D" w:rsidRPr="000C137D">
        <w:rPr>
          <w:color w:val="000000" w:themeColor="text1"/>
          <w:sz w:val="28"/>
          <w:szCs w:val="28"/>
          <w:lang w:val="es-ES_tradnl"/>
        </w:rPr>
        <w:t>, entre otras razones,</w:t>
      </w:r>
      <w:r w:rsidR="00963ADD" w:rsidRPr="000C137D">
        <w:rPr>
          <w:color w:val="000000" w:themeColor="text1"/>
          <w:sz w:val="28"/>
          <w:szCs w:val="28"/>
          <w:lang w:val="es-ES_tradnl"/>
        </w:rPr>
        <w:t xml:space="preserve"> cuando los intervinientes, los expertos invitados</w:t>
      </w:r>
      <w:r w:rsidR="000C137D" w:rsidRPr="000C137D">
        <w:rPr>
          <w:color w:val="000000" w:themeColor="text1"/>
          <w:sz w:val="28"/>
          <w:szCs w:val="28"/>
          <w:lang w:val="es-ES_tradnl"/>
        </w:rPr>
        <w:t xml:space="preserve"> o</w:t>
      </w:r>
      <w:r w:rsidR="00963ADD" w:rsidRPr="000C137D">
        <w:rPr>
          <w:color w:val="000000" w:themeColor="text1"/>
          <w:sz w:val="28"/>
          <w:szCs w:val="28"/>
          <w:lang w:val="es-ES_tradnl"/>
        </w:rPr>
        <w:t xml:space="preserve"> la Procuraduría adviertan posibles deficiencias en la </w:t>
      </w:r>
      <w:r w:rsidR="000C137D" w:rsidRPr="000C137D">
        <w:rPr>
          <w:color w:val="000000" w:themeColor="text1"/>
          <w:sz w:val="28"/>
          <w:szCs w:val="28"/>
          <w:lang w:val="es-ES_tradnl"/>
        </w:rPr>
        <w:t xml:space="preserve">acusación </w:t>
      </w:r>
      <w:r w:rsidR="000C137D" w:rsidRPr="000C137D">
        <w:rPr>
          <w:color w:val="000000" w:themeColor="text1"/>
          <w:sz w:val="28"/>
          <w:szCs w:val="28"/>
          <w:lang w:val="es-ES_tradnl"/>
        </w:rPr>
        <w:lastRenderedPageBreak/>
        <w:t>formulada</w:t>
      </w:r>
      <w:r w:rsidR="00963ADD" w:rsidRPr="000C137D">
        <w:rPr>
          <w:color w:val="000000" w:themeColor="text1"/>
          <w:sz w:val="28"/>
          <w:szCs w:val="28"/>
          <w:lang w:val="es-ES_tradnl"/>
        </w:rPr>
        <w:t xml:space="preserve">. </w:t>
      </w:r>
      <w:r w:rsidR="000C137D" w:rsidRPr="000C137D">
        <w:rPr>
          <w:color w:val="000000" w:themeColor="text1"/>
          <w:sz w:val="28"/>
          <w:szCs w:val="28"/>
          <w:lang w:val="es-ES_tradnl"/>
        </w:rPr>
        <w:t>En efecto, sus</w:t>
      </w:r>
      <w:r w:rsidR="00963ADD" w:rsidRPr="000C137D">
        <w:rPr>
          <w:color w:val="000000" w:themeColor="text1"/>
          <w:sz w:val="28"/>
          <w:szCs w:val="28"/>
          <w:lang w:val="es-ES_tradnl"/>
        </w:rPr>
        <w:t xml:space="preserve"> contribuciones enriquecen el expediente y proporcionan elementos adicionales para efectuar un estudio completo y detallado de la competencia de la Corte para pronunciarse de fondo, teniendo en cuenta las opiniones y conceptos de todos los actores involucrados</w:t>
      </w:r>
      <w:r w:rsidR="00963ADD" w:rsidRPr="000C137D">
        <w:rPr>
          <w:rStyle w:val="Refdenotaalpie"/>
          <w:color w:val="000000" w:themeColor="text1"/>
          <w:lang w:val="es-ES_tradnl"/>
        </w:rPr>
        <w:footnoteReference w:id="20"/>
      </w:r>
      <w:r w:rsidR="00963ADD" w:rsidRPr="000C137D">
        <w:rPr>
          <w:color w:val="000000" w:themeColor="text1"/>
          <w:sz w:val="28"/>
          <w:szCs w:val="28"/>
          <w:lang w:val="es-ES_tradnl"/>
        </w:rPr>
        <w:t>.</w:t>
      </w:r>
    </w:p>
    <w:p w14:paraId="7B6BB613" w14:textId="77777777" w:rsidR="00963ADD" w:rsidRPr="000C137D" w:rsidRDefault="00963ADD" w:rsidP="00E067C2">
      <w:pPr>
        <w:rPr>
          <w:bCs/>
          <w:color w:val="000000" w:themeColor="text1"/>
          <w:sz w:val="28"/>
          <w:szCs w:val="28"/>
        </w:rPr>
      </w:pPr>
    </w:p>
    <w:p w14:paraId="14255ECB" w14:textId="2C596D14" w:rsidR="00FC7779" w:rsidRPr="000C137D" w:rsidRDefault="00FC7779" w:rsidP="00E067C2">
      <w:pPr>
        <w:pStyle w:val="Textoindependiente"/>
        <w:widowControl w:val="0"/>
        <w:numPr>
          <w:ilvl w:val="0"/>
          <w:numId w:val="30"/>
        </w:numPr>
        <w:tabs>
          <w:tab w:val="left" w:pos="567"/>
        </w:tabs>
        <w:autoSpaceDE w:val="0"/>
        <w:autoSpaceDN w:val="0"/>
        <w:spacing w:after="0"/>
        <w:ind w:left="0" w:right="19" w:firstLine="0"/>
        <w:jc w:val="both"/>
        <w:rPr>
          <w:iCs/>
          <w:color w:val="000000" w:themeColor="text1"/>
          <w:sz w:val="28"/>
          <w:szCs w:val="28"/>
          <w:lang w:val="es-ES_tradnl"/>
        </w:rPr>
      </w:pPr>
      <w:r w:rsidRPr="000C137D">
        <w:rPr>
          <w:color w:val="000000" w:themeColor="text1"/>
          <w:sz w:val="28"/>
          <w:szCs w:val="28"/>
          <w:lang w:val="es-ES_tradnl"/>
        </w:rPr>
        <w:t xml:space="preserve">En el asunto de la referencia, la Pontificia Universidad Javeriana, la Academia Colombiana de Jurisprudencia y la Procuraduría General de la Nación </w:t>
      </w:r>
      <w:r w:rsidR="00E006B5" w:rsidRPr="000C137D">
        <w:rPr>
          <w:color w:val="000000" w:themeColor="text1"/>
          <w:sz w:val="28"/>
          <w:szCs w:val="28"/>
          <w:lang w:val="es-ES_tradnl"/>
        </w:rPr>
        <w:t>solicitaron a la Corte proferir una decisión inhibitoria</w:t>
      </w:r>
      <w:r w:rsidR="004F460C" w:rsidRPr="000C137D">
        <w:rPr>
          <w:color w:val="000000" w:themeColor="text1"/>
          <w:sz w:val="28"/>
          <w:szCs w:val="28"/>
          <w:lang w:val="es-ES_tradnl"/>
        </w:rPr>
        <w:t>,</w:t>
      </w:r>
      <w:r w:rsidR="00E006B5" w:rsidRPr="000C137D">
        <w:rPr>
          <w:color w:val="000000" w:themeColor="text1"/>
          <w:sz w:val="28"/>
          <w:szCs w:val="28"/>
          <w:lang w:val="es-ES_tradnl"/>
        </w:rPr>
        <w:t xml:space="preserve"> toda vez que, en términos generales, la demanda </w:t>
      </w:r>
      <w:r w:rsidR="00E006B5" w:rsidRPr="000C137D">
        <w:rPr>
          <w:color w:val="0D0D0D" w:themeColor="text1" w:themeTint="F2"/>
          <w:sz w:val="28"/>
          <w:szCs w:val="28"/>
          <w:lang w:val="es-ES_tradnl" w:eastAsia="es-CO"/>
        </w:rPr>
        <w:t xml:space="preserve">no se refiere a la formulación de una proposición </w:t>
      </w:r>
      <w:r w:rsidR="000C137D">
        <w:rPr>
          <w:color w:val="0D0D0D" w:themeColor="text1" w:themeTint="F2"/>
          <w:sz w:val="28"/>
          <w:szCs w:val="28"/>
          <w:lang w:val="es-ES_tradnl" w:eastAsia="es-CO"/>
        </w:rPr>
        <w:t xml:space="preserve">jurídica </w:t>
      </w:r>
      <w:r w:rsidR="00E006B5" w:rsidRPr="000C137D">
        <w:rPr>
          <w:color w:val="0D0D0D" w:themeColor="text1" w:themeTint="F2"/>
          <w:sz w:val="28"/>
          <w:szCs w:val="28"/>
          <w:lang w:val="es-ES_tradnl" w:eastAsia="es-CO"/>
        </w:rPr>
        <w:t xml:space="preserve">real y existente. De manera que </w:t>
      </w:r>
      <w:r w:rsidR="00E006B5" w:rsidRPr="000C137D">
        <w:rPr>
          <w:iCs/>
          <w:color w:val="000000" w:themeColor="text1"/>
          <w:sz w:val="28"/>
          <w:szCs w:val="28"/>
          <w:lang w:val="es-ES_tradnl"/>
        </w:rPr>
        <w:t xml:space="preserve">la argumentación carece de </w:t>
      </w:r>
      <w:r w:rsidR="00E006B5" w:rsidRPr="000C137D">
        <w:rPr>
          <w:i/>
          <w:color w:val="000000" w:themeColor="text1"/>
          <w:sz w:val="28"/>
          <w:szCs w:val="28"/>
          <w:lang w:val="es-ES_tradnl"/>
        </w:rPr>
        <w:t>certeza</w:t>
      </w:r>
      <w:r w:rsidR="00E006B5" w:rsidRPr="000C137D">
        <w:rPr>
          <w:iCs/>
          <w:color w:val="000000" w:themeColor="text1"/>
          <w:sz w:val="28"/>
          <w:szCs w:val="28"/>
          <w:lang w:val="es-ES_tradnl"/>
        </w:rPr>
        <w:t>.</w:t>
      </w:r>
      <w:r w:rsidR="00A43558">
        <w:rPr>
          <w:iCs/>
          <w:color w:val="000000" w:themeColor="text1"/>
          <w:sz w:val="28"/>
          <w:szCs w:val="28"/>
          <w:lang w:val="es-ES_tradnl"/>
        </w:rPr>
        <w:t xml:space="preserve"> Además, señalaron que se configuraba la figura de la cosa juzgada, dado que el artículo 450 del CPP ya había sido declarado exequible en la sentencia C-342 de 2017.</w:t>
      </w:r>
    </w:p>
    <w:p w14:paraId="78B241B2" w14:textId="77777777" w:rsidR="00FC7779" w:rsidRPr="000C137D" w:rsidRDefault="00FC7779" w:rsidP="00E067C2">
      <w:pPr>
        <w:pStyle w:val="Prrafodelista"/>
        <w:rPr>
          <w:bCs/>
          <w:color w:val="000000" w:themeColor="text1"/>
          <w:sz w:val="28"/>
          <w:szCs w:val="28"/>
          <w:lang w:val="es-CO"/>
        </w:rPr>
      </w:pPr>
    </w:p>
    <w:p w14:paraId="5AAF1821" w14:textId="1DE68DF4" w:rsidR="009233A0" w:rsidRPr="009233A0" w:rsidRDefault="00CC1405"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9233A0">
        <w:rPr>
          <w:color w:val="000000" w:themeColor="text1"/>
          <w:sz w:val="28"/>
          <w:szCs w:val="28"/>
          <w:lang w:val="es-ES_tradnl"/>
        </w:rPr>
        <w:t xml:space="preserve">De </w:t>
      </w:r>
      <w:r w:rsidR="000C137D" w:rsidRPr="009233A0">
        <w:rPr>
          <w:color w:val="000000" w:themeColor="text1"/>
          <w:sz w:val="28"/>
          <w:szCs w:val="28"/>
          <w:lang w:val="es-ES_tradnl"/>
        </w:rPr>
        <w:t>conformidad</w:t>
      </w:r>
      <w:r w:rsidRPr="009233A0">
        <w:rPr>
          <w:color w:val="000000" w:themeColor="text1"/>
          <w:sz w:val="28"/>
          <w:szCs w:val="28"/>
          <w:lang w:val="es-ES_tradnl"/>
        </w:rPr>
        <w:t xml:space="preserve"> con </w:t>
      </w:r>
      <w:r w:rsidR="000C137D" w:rsidRPr="009233A0">
        <w:rPr>
          <w:color w:val="000000" w:themeColor="text1"/>
          <w:sz w:val="28"/>
          <w:szCs w:val="28"/>
          <w:lang w:val="es-ES_tradnl"/>
        </w:rPr>
        <w:t>los sujetos en mención</w:t>
      </w:r>
      <w:r w:rsidRPr="009233A0">
        <w:rPr>
          <w:color w:val="000000" w:themeColor="text1"/>
          <w:sz w:val="28"/>
          <w:szCs w:val="28"/>
          <w:lang w:val="es-ES_tradnl"/>
        </w:rPr>
        <w:t>, aunque la demanda articula un problema jurídico legítimo</w:t>
      </w:r>
      <w:r w:rsidRPr="009233A0">
        <w:rPr>
          <w:iCs/>
          <w:color w:val="000000" w:themeColor="text1"/>
          <w:sz w:val="28"/>
          <w:szCs w:val="28"/>
          <w:lang w:val="es-CO"/>
        </w:rPr>
        <w:t xml:space="preserve">, acude a una disposición que no está llamada a resolverlo. </w:t>
      </w:r>
      <w:r w:rsidRPr="009233A0">
        <w:rPr>
          <w:color w:val="000000" w:themeColor="text1"/>
          <w:sz w:val="28"/>
          <w:szCs w:val="28"/>
          <w:lang w:val="es-ES_tradnl"/>
        </w:rPr>
        <w:t xml:space="preserve">La suspensión condicional de la pena prevista en el artículo 63 del CP y los efectos de los recursos establecidos en el artículo 177 del CPP </w:t>
      </w:r>
      <w:r w:rsidRPr="009233A0">
        <w:rPr>
          <w:b/>
          <w:bCs/>
          <w:i/>
          <w:iCs/>
          <w:color w:val="000000" w:themeColor="text1"/>
          <w:sz w:val="28"/>
          <w:szCs w:val="28"/>
          <w:lang w:val="es-ES_tradnl"/>
        </w:rPr>
        <w:t>no regulan l</w:t>
      </w:r>
      <w:r w:rsidRPr="009233A0">
        <w:rPr>
          <w:b/>
          <w:bCs/>
          <w:i/>
          <w:iCs/>
          <w:color w:val="000000" w:themeColor="text1"/>
          <w:sz w:val="28"/>
          <w:szCs w:val="28"/>
          <w:lang w:val="es-CO"/>
        </w:rPr>
        <w:t xml:space="preserve">o atinente a la materialización de la </w:t>
      </w:r>
      <w:r w:rsidRPr="009233A0">
        <w:rPr>
          <w:b/>
          <w:bCs/>
          <w:i/>
          <w:iCs/>
          <w:color w:val="000000" w:themeColor="text1"/>
          <w:sz w:val="28"/>
          <w:szCs w:val="28"/>
          <w:lang w:val="es-ES_tradnl"/>
        </w:rPr>
        <w:t>privación de la libertad</w:t>
      </w:r>
      <w:r w:rsidR="000C137D" w:rsidRPr="009233A0">
        <w:rPr>
          <w:b/>
          <w:bCs/>
          <w:color w:val="000000" w:themeColor="text1"/>
          <w:sz w:val="28"/>
          <w:szCs w:val="28"/>
          <w:lang w:val="es-ES_tradnl"/>
        </w:rPr>
        <w:t>,</w:t>
      </w:r>
      <w:r w:rsidRPr="009233A0">
        <w:rPr>
          <w:color w:val="000000" w:themeColor="text1"/>
          <w:sz w:val="28"/>
          <w:szCs w:val="28"/>
          <w:lang w:val="es-ES_tradnl"/>
        </w:rPr>
        <w:t xml:space="preserve"> desde la emisión de la sentencia condenatoria</w:t>
      </w:r>
      <w:r w:rsidR="000C137D" w:rsidRPr="009233A0">
        <w:rPr>
          <w:color w:val="000000" w:themeColor="text1"/>
          <w:sz w:val="28"/>
          <w:szCs w:val="28"/>
          <w:lang w:val="es-ES_tradnl"/>
        </w:rPr>
        <w:t>,</w:t>
      </w:r>
      <w:r w:rsidR="0054074B" w:rsidRPr="009233A0">
        <w:rPr>
          <w:color w:val="000000" w:themeColor="text1"/>
          <w:sz w:val="28"/>
          <w:szCs w:val="28"/>
          <w:lang w:val="es-ES_tradnl"/>
        </w:rPr>
        <w:t xml:space="preserve"> cuando </w:t>
      </w:r>
      <w:r w:rsidR="000C137D" w:rsidRPr="009233A0">
        <w:rPr>
          <w:color w:val="000000" w:themeColor="text1"/>
          <w:sz w:val="28"/>
          <w:szCs w:val="28"/>
          <w:lang w:val="es-ES_tradnl"/>
        </w:rPr>
        <w:t xml:space="preserve">ella </w:t>
      </w:r>
      <w:r w:rsidR="0054074B" w:rsidRPr="009233A0">
        <w:rPr>
          <w:color w:val="000000" w:themeColor="text1"/>
          <w:sz w:val="28"/>
          <w:szCs w:val="28"/>
          <w:lang w:val="es-ES_tradnl"/>
        </w:rPr>
        <w:t>admite recurso de apelación</w:t>
      </w:r>
      <w:r w:rsidR="009233A0" w:rsidRPr="009233A0">
        <w:rPr>
          <w:color w:val="000000" w:themeColor="text1"/>
          <w:sz w:val="28"/>
          <w:szCs w:val="28"/>
          <w:lang w:val="es-ES_tradnl"/>
        </w:rPr>
        <w:t>. Dicha</w:t>
      </w:r>
      <w:r w:rsidRPr="009233A0">
        <w:rPr>
          <w:color w:val="000000" w:themeColor="text1"/>
          <w:sz w:val="28"/>
          <w:szCs w:val="28"/>
          <w:lang w:val="es-ES_tradnl"/>
        </w:rPr>
        <w:t xml:space="preserve"> materia se encuentra expresamente regulada en el artículo 450 del CPP</w:t>
      </w:r>
      <w:r w:rsidR="009233A0" w:rsidRPr="009233A0">
        <w:rPr>
          <w:rStyle w:val="Refdenotaalpie"/>
          <w:color w:val="000000" w:themeColor="text1"/>
          <w:sz w:val="22"/>
          <w:szCs w:val="22"/>
          <w:lang w:val="es-ES_tradnl"/>
        </w:rPr>
        <w:footnoteReference w:id="21"/>
      </w:r>
      <w:r w:rsidRPr="009233A0">
        <w:rPr>
          <w:color w:val="000000" w:themeColor="text1"/>
          <w:sz w:val="28"/>
          <w:szCs w:val="28"/>
          <w:lang w:val="es-ES_tradnl"/>
        </w:rPr>
        <w:t>.</w:t>
      </w:r>
      <w:r w:rsidR="009233A0" w:rsidRPr="009233A0">
        <w:rPr>
          <w:color w:val="000000" w:themeColor="text1"/>
          <w:sz w:val="28"/>
          <w:szCs w:val="28"/>
          <w:lang w:val="es-ES_tradnl"/>
        </w:rPr>
        <w:t xml:space="preserve"> Por lo</w:t>
      </w:r>
      <w:r w:rsidRPr="009233A0">
        <w:rPr>
          <w:color w:val="000000" w:themeColor="text1"/>
          <w:sz w:val="28"/>
          <w:szCs w:val="28"/>
          <w:lang w:val="es-ES_tradnl"/>
        </w:rPr>
        <w:t xml:space="preserve"> tanto, estiman que el demandante pretende reabrir un debate ya resuelto en la </w:t>
      </w:r>
      <w:r w:rsidR="004F460C" w:rsidRPr="009233A0">
        <w:rPr>
          <w:color w:val="000000" w:themeColor="text1"/>
          <w:sz w:val="28"/>
          <w:szCs w:val="28"/>
          <w:lang w:val="es-ES_tradnl"/>
        </w:rPr>
        <w:t>s</w:t>
      </w:r>
      <w:r w:rsidRPr="009233A0">
        <w:rPr>
          <w:color w:val="000000" w:themeColor="text1"/>
          <w:sz w:val="28"/>
          <w:szCs w:val="28"/>
          <w:lang w:val="es-ES_tradnl"/>
        </w:rPr>
        <w:t>entencia C-342 de 2017</w:t>
      </w:r>
      <w:r w:rsidR="009233A0" w:rsidRPr="009233A0">
        <w:rPr>
          <w:color w:val="000000" w:themeColor="text1"/>
          <w:sz w:val="28"/>
          <w:szCs w:val="28"/>
          <w:lang w:val="es-ES_tradnl"/>
        </w:rPr>
        <w:t xml:space="preserve">, en la que se declaró la </w:t>
      </w:r>
      <w:proofErr w:type="spellStart"/>
      <w:r w:rsidR="009233A0" w:rsidRPr="009233A0">
        <w:rPr>
          <w:color w:val="000000" w:themeColor="text1"/>
          <w:sz w:val="28"/>
          <w:szCs w:val="28"/>
          <w:lang w:val="es-ES_tradnl"/>
        </w:rPr>
        <w:t>exequibilidad</w:t>
      </w:r>
      <w:proofErr w:type="spellEnd"/>
      <w:r w:rsidR="009233A0" w:rsidRPr="009233A0">
        <w:rPr>
          <w:color w:val="000000" w:themeColor="text1"/>
          <w:sz w:val="28"/>
          <w:szCs w:val="28"/>
          <w:lang w:val="es-ES_tradnl"/>
        </w:rPr>
        <w:t xml:space="preserve"> del citado precepto legal, aclarando, en todo caso, que </w:t>
      </w:r>
      <w:r w:rsidR="009233A0" w:rsidRPr="009233A0">
        <w:rPr>
          <w:color w:val="000000" w:themeColor="text1"/>
          <w:sz w:val="28"/>
          <w:szCs w:val="28"/>
          <w:lang w:val="es-CO"/>
        </w:rPr>
        <w:t>el funcionario debe asumir rigurosamente que la privación de la libertad es excepcional y que, más aún, debe serlo la privación de la libertad intramural, siendo obligatorio verificar en cada caso concreto la procedencia de los subrogados penales como la prisión o detención domiciliaria, la vigilancia electrónica y la libertad provisional, pues éstas desarrollan finalidades constitucionales esenciales en el Estado Social de Derecho.</w:t>
      </w:r>
    </w:p>
    <w:p w14:paraId="7625001B" w14:textId="77777777" w:rsidR="009233A0" w:rsidRDefault="009233A0" w:rsidP="00E067C2">
      <w:pPr>
        <w:rPr>
          <w:color w:val="000000" w:themeColor="text1"/>
          <w:sz w:val="28"/>
          <w:szCs w:val="28"/>
          <w:lang w:val="es-ES_tradnl"/>
        </w:rPr>
      </w:pPr>
    </w:p>
    <w:p w14:paraId="6712F3F6" w14:textId="733491B8" w:rsidR="00FC55DC" w:rsidRPr="00BE6B1E" w:rsidRDefault="00FC55DC"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9233A0">
        <w:rPr>
          <w:color w:val="000000" w:themeColor="text1"/>
          <w:sz w:val="28"/>
          <w:szCs w:val="28"/>
          <w:lang w:val="es-ES_tradnl"/>
        </w:rPr>
        <w:t xml:space="preserve">Con base en lo expuesto, la Sala Plena debe verificar si la demanda cumple los requisitos de admisibilidad establecidos en el Decreto </w:t>
      </w:r>
      <w:r w:rsidR="009233A0" w:rsidRPr="009233A0">
        <w:rPr>
          <w:color w:val="000000" w:themeColor="text1"/>
          <w:sz w:val="28"/>
          <w:szCs w:val="28"/>
          <w:lang w:val="es-ES_tradnl"/>
        </w:rPr>
        <w:t xml:space="preserve">Ley </w:t>
      </w:r>
      <w:r w:rsidRPr="009233A0">
        <w:rPr>
          <w:color w:val="000000" w:themeColor="text1"/>
          <w:sz w:val="28"/>
          <w:szCs w:val="28"/>
          <w:lang w:val="es-ES_tradnl"/>
        </w:rPr>
        <w:t>2067 de 1991 y en la jurisprudencia constitucional, a fin de decidir si procede el examen de fondo. Sin embargo, cabe destacar que</w:t>
      </w:r>
      <w:r w:rsidR="0050799B" w:rsidRPr="009233A0">
        <w:rPr>
          <w:color w:val="000000" w:themeColor="text1"/>
          <w:sz w:val="28"/>
          <w:szCs w:val="28"/>
          <w:lang w:val="es-ES_tradnl"/>
        </w:rPr>
        <w:t>,</w:t>
      </w:r>
      <w:r w:rsidRPr="009233A0">
        <w:rPr>
          <w:color w:val="000000" w:themeColor="text1"/>
          <w:sz w:val="28"/>
          <w:szCs w:val="28"/>
          <w:lang w:val="es-ES_tradnl"/>
        </w:rPr>
        <w:t xml:space="preserve"> aunque la acción pública de inconstitucionalidad, </w:t>
      </w:r>
      <w:r w:rsidRPr="009233A0">
        <w:rPr>
          <w:i/>
          <w:iCs/>
          <w:color w:val="000000" w:themeColor="text1"/>
          <w:sz w:val="28"/>
          <w:szCs w:val="28"/>
          <w:lang w:val="es-ES_tradnl"/>
        </w:rPr>
        <w:t>prima facie</w:t>
      </w:r>
      <w:r w:rsidRPr="009233A0">
        <w:rPr>
          <w:color w:val="000000" w:themeColor="text1"/>
          <w:sz w:val="28"/>
          <w:szCs w:val="28"/>
          <w:lang w:val="es-ES_tradnl"/>
        </w:rPr>
        <w:t xml:space="preserve">, no tiene por objeto resolver controversias sobre la aplicación o interpretación de la ley, la Corte ha </w:t>
      </w:r>
      <w:r w:rsidR="009233A0">
        <w:rPr>
          <w:color w:val="000000" w:themeColor="text1"/>
          <w:sz w:val="28"/>
          <w:szCs w:val="28"/>
          <w:lang w:val="es-ES_tradnl"/>
        </w:rPr>
        <w:t>admitido</w:t>
      </w:r>
      <w:r w:rsidRPr="009233A0">
        <w:rPr>
          <w:color w:val="000000" w:themeColor="text1"/>
          <w:sz w:val="28"/>
          <w:szCs w:val="28"/>
          <w:lang w:val="es-ES_tradnl"/>
        </w:rPr>
        <w:t xml:space="preserve"> que excepcionalmente resulta admisible pronunciarse sobre interpretaciones judiciales</w:t>
      </w:r>
      <w:r w:rsidR="005D0209">
        <w:rPr>
          <w:color w:val="000000" w:themeColor="text1"/>
          <w:sz w:val="28"/>
          <w:szCs w:val="28"/>
          <w:lang w:val="es-ES_tradnl"/>
        </w:rPr>
        <w:t xml:space="preserve"> que, por vía de la labor integradora, supongan la creación de verdaderas normas jurídicas</w:t>
      </w:r>
      <w:r w:rsidR="005D0209" w:rsidRPr="005D0209">
        <w:rPr>
          <w:rStyle w:val="Refdenotaalpie"/>
          <w:color w:val="000000" w:themeColor="text1"/>
          <w:lang w:val="es-ES_tradnl"/>
        </w:rPr>
        <w:footnoteReference w:id="22"/>
      </w:r>
      <w:r w:rsidR="005D0209">
        <w:rPr>
          <w:color w:val="000000" w:themeColor="text1"/>
          <w:sz w:val="28"/>
          <w:szCs w:val="28"/>
          <w:lang w:val="es-ES_tradnl"/>
        </w:rPr>
        <w:t>, y ellas</w:t>
      </w:r>
      <w:r w:rsidRPr="009233A0">
        <w:rPr>
          <w:color w:val="000000" w:themeColor="text1"/>
          <w:sz w:val="28"/>
          <w:szCs w:val="28"/>
          <w:lang w:val="es-ES_tradnl"/>
        </w:rPr>
        <w:t xml:space="preserve"> planteen un auténtico conflicto de </w:t>
      </w:r>
      <w:r w:rsidRPr="00BE6B1E">
        <w:rPr>
          <w:color w:val="000000" w:themeColor="text1"/>
          <w:sz w:val="28"/>
          <w:szCs w:val="28"/>
          <w:lang w:val="es-ES_tradnl"/>
        </w:rPr>
        <w:lastRenderedPageBreak/>
        <w:t>exégesis constitucional</w:t>
      </w:r>
      <w:r w:rsidRPr="00BE6B1E">
        <w:rPr>
          <w:rStyle w:val="Refdenotaalpie"/>
          <w:color w:val="000000" w:themeColor="text1"/>
          <w:lang w:val="es-ES_tradnl"/>
        </w:rPr>
        <w:footnoteReference w:id="23"/>
      </w:r>
      <w:r w:rsidRPr="00BE6B1E">
        <w:rPr>
          <w:color w:val="000000" w:themeColor="text1"/>
          <w:sz w:val="28"/>
          <w:szCs w:val="28"/>
          <w:lang w:val="es-ES_tradnl"/>
        </w:rPr>
        <w:t>.</w:t>
      </w:r>
    </w:p>
    <w:p w14:paraId="392B4219" w14:textId="77777777" w:rsidR="00BD7843" w:rsidRPr="00BE6B1E" w:rsidRDefault="00BD7843" w:rsidP="00E067C2">
      <w:pPr>
        <w:pStyle w:val="Prrafodelista"/>
        <w:rPr>
          <w:color w:val="000000" w:themeColor="text1"/>
          <w:sz w:val="28"/>
          <w:szCs w:val="28"/>
          <w:lang w:val="es-ES_tradnl"/>
        </w:rPr>
      </w:pPr>
    </w:p>
    <w:p w14:paraId="27970AE9" w14:textId="103BB946" w:rsidR="00A910F6" w:rsidRPr="00BE6B1E" w:rsidRDefault="00BE6B1E"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E6B1E">
        <w:rPr>
          <w:color w:val="000000" w:themeColor="text1"/>
          <w:sz w:val="28"/>
          <w:szCs w:val="28"/>
          <w:lang w:val="es-CO"/>
        </w:rPr>
        <w:t>Así las cosas, y p</w:t>
      </w:r>
      <w:r w:rsidR="0057148E" w:rsidRPr="00BE6B1E">
        <w:rPr>
          <w:color w:val="000000" w:themeColor="text1"/>
          <w:sz w:val="28"/>
          <w:szCs w:val="28"/>
          <w:lang w:val="es-CO"/>
        </w:rPr>
        <w:t xml:space="preserve">revio a continuar con el </w:t>
      </w:r>
      <w:r w:rsidRPr="00BE6B1E">
        <w:rPr>
          <w:color w:val="000000" w:themeColor="text1"/>
          <w:sz w:val="28"/>
          <w:szCs w:val="28"/>
          <w:lang w:val="es-CO"/>
        </w:rPr>
        <w:t>examen</w:t>
      </w:r>
      <w:r w:rsidR="0057148E" w:rsidRPr="00BE6B1E">
        <w:rPr>
          <w:color w:val="000000" w:themeColor="text1"/>
          <w:sz w:val="28"/>
          <w:szCs w:val="28"/>
          <w:lang w:val="es-CO"/>
        </w:rPr>
        <w:t xml:space="preserve"> </w:t>
      </w:r>
      <w:r w:rsidRPr="00BE6B1E">
        <w:rPr>
          <w:color w:val="000000" w:themeColor="text1"/>
          <w:sz w:val="28"/>
          <w:szCs w:val="28"/>
          <w:lang w:val="es-CO"/>
        </w:rPr>
        <w:t xml:space="preserve">de idoneidad </w:t>
      </w:r>
      <w:r w:rsidR="0057148E" w:rsidRPr="00BE6B1E">
        <w:rPr>
          <w:color w:val="000000" w:themeColor="text1"/>
          <w:sz w:val="28"/>
          <w:szCs w:val="28"/>
          <w:lang w:val="es-CO"/>
        </w:rPr>
        <w:t xml:space="preserve">de la demanda de la referencia, la Corte estima </w:t>
      </w:r>
      <w:r w:rsidR="00A910F6" w:rsidRPr="00BE6B1E">
        <w:rPr>
          <w:color w:val="000000" w:themeColor="text1"/>
          <w:sz w:val="28"/>
          <w:szCs w:val="28"/>
          <w:lang w:val="es-CO"/>
        </w:rPr>
        <w:t xml:space="preserve">indispensable </w:t>
      </w:r>
      <w:r w:rsidR="0057148E" w:rsidRPr="00BE6B1E">
        <w:rPr>
          <w:color w:val="000000" w:themeColor="text1"/>
          <w:sz w:val="28"/>
          <w:szCs w:val="28"/>
          <w:lang w:val="es-CO"/>
        </w:rPr>
        <w:t>distinguir entre los conceptos de “</w:t>
      </w:r>
      <w:r w:rsidR="0057148E" w:rsidRPr="00BE6B1E">
        <w:rPr>
          <w:i/>
          <w:iCs/>
          <w:color w:val="000000" w:themeColor="text1"/>
          <w:sz w:val="28"/>
          <w:szCs w:val="28"/>
          <w:lang w:val="es-CO"/>
        </w:rPr>
        <w:t>disposición</w:t>
      </w:r>
      <w:r w:rsidR="0057148E" w:rsidRPr="00BE6B1E">
        <w:rPr>
          <w:color w:val="000000" w:themeColor="text1"/>
          <w:sz w:val="28"/>
          <w:szCs w:val="28"/>
          <w:lang w:val="es-CO"/>
        </w:rPr>
        <w:t>” y “</w:t>
      </w:r>
      <w:r w:rsidR="0057148E" w:rsidRPr="00BE6B1E">
        <w:rPr>
          <w:i/>
          <w:iCs/>
          <w:color w:val="000000" w:themeColor="text1"/>
          <w:sz w:val="28"/>
          <w:szCs w:val="28"/>
          <w:lang w:val="es-CO"/>
        </w:rPr>
        <w:t>norma</w:t>
      </w:r>
      <w:r w:rsidR="0057148E" w:rsidRPr="00BE6B1E">
        <w:rPr>
          <w:color w:val="000000" w:themeColor="text1"/>
          <w:sz w:val="28"/>
          <w:szCs w:val="28"/>
          <w:lang w:val="es-CO"/>
        </w:rPr>
        <w:t xml:space="preserve">”, a fin de aclarar </w:t>
      </w:r>
      <w:r w:rsidR="00A910F6" w:rsidRPr="00BE6B1E">
        <w:rPr>
          <w:color w:val="000000" w:themeColor="text1"/>
          <w:sz w:val="28"/>
          <w:szCs w:val="28"/>
          <w:lang w:val="es-CO"/>
        </w:rPr>
        <w:t>sobre cuál de ellos recae</w:t>
      </w:r>
      <w:r w:rsidRPr="00BE6B1E">
        <w:rPr>
          <w:color w:val="000000" w:themeColor="text1"/>
          <w:sz w:val="28"/>
          <w:szCs w:val="28"/>
          <w:lang w:val="es-CO"/>
        </w:rPr>
        <w:t xml:space="preserve"> el problema de </w:t>
      </w:r>
      <w:r w:rsidR="00A910F6" w:rsidRPr="00BE6B1E">
        <w:rPr>
          <w:color w:val="000000" w:themeColor="text1"/>
          <w:sz w:val="28"/>
          <w:szCs w:val="28"/>
          <w:lang w:val="es-CO"/>
        </w:rPr>
        <w:t>a</w:t>
      </w:r>
      <w:r w:rsidRPr="00BE6B1E">
        <w:rPr>
          <w:color w:val="000000" w:themeColor="text1"/>
          <w:sz w:val="28"/>
          <w:szCs w:val="28"/>
          <w:lang w:val="es-CO"/>
        </w:rPr>
        <w:t>ptitud</w:t>
      </w:r>
      <w:r w:rsidR="00A910F6" w:rsidRPr="00BE6B1E">
        <w:rPr>
          <w:color w:val="000000" w:themeColor="text1"/>
          <w:sz w:val="28"/>
          <w:szCs w:val="28"/>
          <w:lang w:val="es-CO"/>
        </w:rPr>
        <w:t xml:space="preserve"> </w:t>
      </w:r>
      <w:r w:rsidRPr="00BE6B1E">
        <w:rPr>
          <w:color w:val="000000" w:themeColor="text1"/>
          <w:sz w:val="28"/>
          <w:szCs w:val="28"/>
          <w:lang w:val="es-CO"/>
        </w:rPr>
        <w:t xml:space="preserve">de la acusación que se formula </w:t>
      </w:r>
      <w:r w:rsidR="00A910F6" w:rsidRPr="00BE6B1E">
        <w:rPr>
          <w:color w:val="000000" w:themeColor="text1"/>
          <w:sz w:val="28"/>
          <w:szCs w:val="28"/>
          <w:lang w:val="es-CO"/>
        </w:rPr>
        <w:t xml:space="preserve">en esta ocasión. </w:t>
      </w:r>
      <w:r w:rsidRPr="00BE6B1E">
        <w:rPr>
          <w:color w:val="000000" w:themeColor="text1"/>
          <w:sz w:val="28"/>
          <w:szCs w:val="28"/>
          <w:lang w:val="es-CO"/>
        </w:rPr>
        <w:t>Al respecto</w:t>
      </w:r>
      <w:r w:rsidR="00A910F6" w:rsidRPr="00BE6B1E">
        <w:rPr>
          <w:color w:val="000000" w:themeColor="text1"/>
          <w:sz w:val="28"/>
          <w:szCs w:val="28"/>
          <w:lang w:val="es-CO"/>
        </w:rPr>
        <w:t xml:space="preserve">, en </w:t>
      </w:r>
      <w:r w:rsidRPr="00BE6B1E">
        <w:rPr>
          <w:color w:val="000000" w:themeColor="text1"/>
          <w:sz w:val="28"/>
          <w:szCs w:val="28"/>
          <w:lang w:val="es-CO"/>
        </w:rPr>
        <w:t xml:space="preserve">la </w:t>
      </w:r>
      <w:r w:rsidR="00A910F6" w:rsidRPr="00BE6B1E">
        <w:rPr>
          <w:color w:val="000000" w:themeColor="text1"/>
          <w:sz w:val="28"/>
          <w:szCs w:val="28"/>
          <w:lang w:val="es-CO"/>
        </w:rPr>
        <w:t>sentencia C-325 de 2021</w:t>
      </w:r>
      <w:r w:rsidR="004F460C" w:rsidRPr="00BE6B1E">
        <w:rPr>
          <w:color w:val="000000" w:themeColor="text1"/>
          <w:sz w:val="28"/>
          <w:szCs w:val="28"/>
          <w:lang w:val="es-CO"/>
        </w:rPr>
        <w:t>,</w:t>
      </w:r>
      <w:r w:rsidR="00A910F6" w:rsidRPr="00BE6B1E">
        <w:rPr>
          <w:color w:val="000000" w:themeColor="text1"/>
          <w:sz w:val="28"/>
          <w:szCs w:val="28"/>
          <w:lang w:val="es-CO"/>
        </w:rPr>
        <w:t xml:space="preserve"> </w:t>
      </w:r>
      <w:r>
        <w:rPr>
          <w:color w:val="000000" w:themeColor="text1"/>
          <w:sz w:val="28"/>
          <w:szCs w:val="28"/>
          <w:lang w:val="es-CO"/>
        </w:rPr>
        <w:t>esta Corporación</w:t>
      </w:r>
      <w:r w:rsidR="00A910F6" w:rsidRPr="00BE6B1E">
        <w:rPr>
          <w:color w:val="000000" w:themeColor="text1"/>
          <w:sz w:val="28"/>
          <w:szCs w:val="28"/>
          <w:lang w:val="es-CO"/>
        </w:rPr>
        <w:t xml:space="preserve"> indicó que “</w:t>
      </w:r>
      <w:r w:rsidR="00A910F6" w:rsidRPr="00BE6B1E">
        <w:rPr>
          <w:b/>
          <w:bCs/>
          <w:i/>
          <w:iCs/>
          <w:color w:val="000000" w:themeColor="text1"/>
          <w:sz w:val="27"/>
          <w:szCs w:val="27"/>
          <w:shd w:val="clear" w:color="auto" w:fill="FFFFFF"/>
          <w:lang w:val="es-CO" w:eastAsia="es-MX"/>
        </w:rPr>
        <w:t>una disposición o enunciado</w:t>
      </w:r>
      <w:r w:rsidRPr="00BE6B1E">
        <w:rPr>
          <w:b/>
          <w:bCs/>
          <w:i/>
          <w:iCs/>
          <w:color w:val="000000" w:themeColor="text1"/>
          <w:sz w:val="27"/>
          <w:szCs w:val="27"/>
          <w:shd w:val="clear" w:color="auto" w:fill="FFFFFF"/>
          <w:lang w:val="es-CO" w:eastAsia="es-MX"/>
        </w:rPr>
        <w:t xml:space="preserve"> jurídico </w:t>
      </w:r>
      <w:r w:rsidR="00A910F6" w:rsidRPr="00BE6B1E">
        <w:rPr>
          <w:b/>
          <w:bCs/>
          <w:i/>
          <w:iCs/>
          <w:color w:val="000000" w:themeColor="text1"/>
          <w:sz w:val="27"/>
          <w:szCs w:val="27"/>
          <w:shd w:val="clear" w:color="auto" w:fill="FFFFFF"/>
          <w:lang w:val="es-CO" w:eastAsia="es-MX"/>
        </w:rPr>
        <w:t>corresponde al texto en que una norma es formulada</w:t>
      </w:r>
      <w:r w:rsidR="00A910F6" w:rsidRPr="00BE6B1E">
        <w:rPr>
          <w:i/>
          <w:iCs/>
          <w:color w:val="000000" w:themeColor="text1"/>
          <w:sz w:val="27"/>
          <w:szCs w:val="27"/>
          <w:shd w:val="clear" w:color="auto" w:fill="FFFFFF"/>
          <w:lang w:val="es-CO" w:eastAsia="es-MX"/>
        </w:rPr>
        <w:t xml:space="preserve">. De esta manera, se refiere a los </w:t>
      </w:r>
      <w:r w:rsidR="00A910F6" w:rsidRPr="00BE6B1E">
        <w:rPr>
          <w:b/>
          <w:bCs/>
          <w:i/>
          <w:iCs/>
          <w:color w:val="000000" w:themeColor="text1"/>
          <w:sz w:val="27"/>
          <w:szCs w:val="27"/>
          <w:shd w:val="clear" w:color="auto" w:fill="FFFFFF"/>
          <w:lang w:val="es-CO" w:eastAsia="es-MX"/>
        </w:rPr>
        <w:t>artículos, numerales o incisos</w:t>
      </w:r>
      <w:r w:rsidR="00A910F6" w:rsidRPr="00BE6B1E">
        <w:rPr>
          <w:i/>
          <w:iCs/>
          <w:color w:val="000000" w:themeColor="text1"/>
          <w:sz w:val="27"/>
          <w:szCs w:val="27"/>
          <w:shd w:val="clear" w:color="auto" w:fill="FFFFFF"/>
          <w:lang w:val="es-CO" w:eastAsia="es-MX"/>
        </w:rPr>
        <w:t xml:space="preserve">. Aquellos </w:t>
      </w:r>
      <w:r w:rsidR="00A910F6" w:rsidRPr="00BE6B1E">
        <w:rPr>
          <w:b/>
          <w:bCs/>
          <w:i/>
          <w:iCs/>
          <w:color w:val="000000" w:themeColor="text1"/>
          <w:sz w:val="27"/>
          <w:szCs w:val="27"/>
          <w:shd w:val="clear" w:color="auto" w:fill="FFFFFF"/>
          <w:lang w:val="es-CO" w:eastAsia="es-MX"/>
        </w:rPr>
        <w:t>también se encuentran en fragmentos más pequeños de un texto legal, como oraciones o palabras individuales</w:t>
      </w:r>
      <w:r w:rsidR="00A910F6" w:rsidRPr="00BE6B1E">
        <w:rPr>
          <w:i/>
          <w:iCs/>
          <w:color w:val="000000" w:themeColor="text1"/>
          <w:sz w:val="27"/>
          <w:szCs w:val="27"/>
          <w:shd w:val="clear" w:color="auto" w:fill="FFFFFF"/>
          <w:lang w:val="es-CO" w:eastAsia="es-MX"/>
        </w:rPr>
        <w:t>, siempre que incidan en el sentido que se puede atribuir razonablemente a cada disposición.</w:t>
      </w:r>
      <w:r w:rsidR="00A910F6" w:rsidRPr="00BE6B1E">
        <w:rPr>
          <w:b/>
          <w:bCs/>
          <w:i/>
          <w:iCs/>
          <w:color w:val="000000" w:themeColor="text1"/>
          <w:sz w:val="27"/>
          <w:szCs w:val="27"/>
          <w:shd w:val="clear" w:color="auto" w:fill="FFFFFF"/>
          <w:lang w:val="es-CO" w:eastAsia="es-MX"/>
        </w:rPr>
        <w:t xml:space="preserve"> Por su parte, las normas no son los textos legales sino su significado. Aquel solo puede hallarse por vía interpretativa</w:t>
      </w:r>
      <w:r w:rsidR="00A910F6" w:rsidRPr="00BE6B1E">
        <w:rPr>
          <w:i/>
          <w:iCs/>
          <w:color w:val="000000" w:themeColor="text1"/>
          <w:sz w:val="27"/>
          <w:szCs w:val="27"/>
          <w:shd w:val="clear" w:color="auto" w:fill="FFFFFF"/>
          <w:lang w:val="es-CO" w:eastAsia="es-MX"/>
        </w:rPr>
        <w:t xml:space="preserve"> y, en consecuencia, a un solo texto legal pueden atribuírsele (potencialmente) diversos contenidos normativos</w:t>
      </w:r>
      <w:r w:rsidR="00A910F6" w:rsidRPr="00BE6B1E">
        <w:rPr>
          <w:color w:val="000000" w:themeColor="text1"/>
          <w:sz w:val="27"/>
          <w:szCs w:val="27"/>
          <w:shd w:val="clear" w:color="auto" w:fill="FFFFFF"/>
          <w:lang w:val="es-CO" w:eastAsia="es-MX"/>
        </w:rPr>
        <w:t>”</w:t>
      </w:r>
      <w:r w:rsidR="00A910F6" w:rsidRPr="00BE6B1E">
        <w:rPr>
          <w:rStyle w:val="Refdenotaalpie"/>
          <w:color w:val="000000" w:themeColor="text1"/>
          <w:shd w:val="clear" w:color="auto" w:fill="FFFFFF"/>
          <w:lang w:val="es-CO" w:eastAsia="es-MX"/>
        </w:rPr>
        <w:footnoteReference w:id="24"/>
      </w:r>
      <w:r w:rsidR="00AA4D03" w:rsidRPr="00BE6B1E">
        <w:rPr>
          <w:color w:val="000000" w:themeColor="text1"/>
          <w:sz w:val="27"/>
          <w:szCs w:val="27"/>
          <w:shd w:val="clear" w:color="auto" w:fill="FFFFFF"/>
          <w:lang w:val="es-CO" w:eastAsia="es-MX"/>
        </w:rPr>
        <w:t>.</w:t>
      </w:r>
    </w:p>
    <w:p w14:paraId="4D65C3E2" w14:textId="77777777" w:rsidR="001F7A0F" w:rsidRPr="00BE6B1E" w:rsidRDefault="001F7A0F" w:rsidP="00E067C2">
      <w:pPr>
        <w:pStyle w:val="Prrafodelista"/>
        <w:rPr>
          <w:color w:val="000000" w:themeColor="text1"/>
          <w:sz w:val="28"/>
          <w:szCs w:val="28"/>
          <w:lang w:val="es-CO"/>
        </w:rPr>
      </w:pPr>
    </w:p>
    <w:p w14:paraId="752CA93F" w14:textId="334C9AB6" w:rsidR="001F7A0F" w:rsidRPr="006874F8" w:rsidRDefault="001F7A0F"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E6B1E">
        <w:rPr>
          <w:color w:val="000000" w:themeColor="text1"/>
          <w:sz w:val="28"/>
          <w:szCs w:val="28"/>
          <w:lang w:val="es-CO"/>
        </w:rPr>
        <w:t>Esta distinción tiene</w:t>
      </w:r>
      <w:r w:rsidR="004C297A" w:rsidRPr="00BE6B1E">
        <w:rPr>
          <w:color w:val="000000" w:themeColor="text1"/>
          <w:sz w:val="28"/>
          <w:szCs w:val="28"/>
          <w:lang w:val="es-CO"/>
        </w:rPr>
        <w:t xml:space="preserve"> efectos en el ejercicio del control que está llamado a cumplir la Corte</w:t>
      </w:r>
      <w:r w:rsidR="00BE6B1E" w:rsidRPr="00BE6B1E">
        <w:rPr>
          <w:color w:val="000000" w:themeColor="text1"/>
          <w:sz w:val="28"/>
          <w:szCs w:val="28"/>
          <w:lang w:val="es-CO"/>
        </w:rPr>
        <w:t xml:space="preserve"> en esta ocasión</w:t>
      </w:r>
      <w:r w:rsidR="004C297A" w:rsidRPr="00BE6B1E">
        <w:rPr>
          <w:color w:val="000000" w:themeColor="text1"/>
          <w:sz w:val="28"/>
          <w:szCs w:val="28"/>
          <w:lang w:val="es-CO"/>
        </w:rPr>
        <w:t>, pues</w:t>
      </w:r>
      <w:r w:rsidR="00BE6B1E" w:rsidRPr="00BE6B1E">
        <w:rPr>
          <w:color w:val="000000" w:themeColor="text1"/>
          <w:sz w:val="28"/>
          <w:szCs w:val="28"/>
          <w:lang w:val="es-CO"/>
        </w:rPr>
        <w:t>,</w:t>
      </w:r>
      <w:r w:rsidR="004C297A" w:rsidRPr="00BE6B1E">
        <w:rPr>
          <w:color w:val="000000" w:themeColor="text1"/>
          <w:sz w:val="28"/>
          <w:szCs w:val="28"/>
          <w:lang w:val="es-CO"/>
        </w:rPr>
        <w:t xml:space="preserve"> “</w:t>
      </w:r>
      <w:r w:rsidR="004C297A" w:rsidRPr="00BE6B1E">
        <w:rPr>
          <w:i/>
          <w:iCs/>
          <w:color w:val="000000" w:themeColor="text1"/>
          <w:sz w:val="28"/>
          <w:szCs w:val="28"/>
          <w:lang w:val="es-CO"/>
        </w:rPr>
        <w:t xml:space="preserve">en términos generales, el control abstracto de constitucionalidad tiene como objeto de estudio </w:t>
      </w:r>
      <w:r w:rsidR="004C297A" w:rsidRPr="00BE6B1E">
        <w:rPr>
          <w:b/>
          <w:bCs/>
          <w:i/>
          <w:iCs/>
          <w:color w:val="000000" w:themeColor="text1"/>
          <w:sz w:val="28"/>
          <w:szCs w:val="28"/>
          <w:lang w:val="es-CO"/>
        </w:rPr>
        <w:t>preceptos</w:t>
      </w:r>
      <w:r w:rsidR="004C297A" w:rsidRPr="00BE6B1E">
        <w:rPr>
          <w:i/>
          <w:iCs/>
          <w:color w:val="000000" w:themeColor="text1"/>
          <w:sz w:val="28"/>
          <w:szCs w:val="28"/>
          <w:lang w:val="es-CO"/>
        </w:rPr>
        <w:t xml:space="preserve"> o </w:t>
      </w:r>
      <w:r w:rsidR="004C297A" w:rsidRPr="00BE6B1E">
        <w:rPr>
          <w:b/>
          <w:bCs/>
          <w:i/>
          <w:iCs/>
          <w:color w:val="000000" w:themeColor="text1"/>
          <w:sz w:val="28"/>
          <w:szCs w:val="28"/>
          <w:lang w:val="es-CO"/>
        </w:rPr>
        <w:t>textos normativos</w:t>
      </w:r>
      <w:r w:rsidR="004C297A" w:rsidRPr="00BE6B1E">
        <w:rPr>
          <w:color w:val="000000" w:themeColor="text1"/>
          <w:sz w:val="28"/>
          <w:szCs w:val="28"/>
          <w:lang w:val="es-CO"/>
        </w:rPr>
        <w:t>”</w:t>
      </w:r>
      <w:r w:rsidR="00AA4D03" w:rsidRPr="00BE6B1E">
        <w:rPr>
          <w:rStyle w:val="Refdenotaalpie"/>
          <w:color w:val="000000" w:themeColor="text1"/>
          <w:lang w:val="es-CO"/>
        </w:rPr>
        <w:footnoteReference w:id="25"/>
      </w:r>
      <w:r w:rsidR="00E64318" w:rsidRPr="00BE6B1E">
        <w:rPr>
          <w:color w:val="000000" w:themeColor="text1"/>
          <w:sz w:val="28"/>
          <w:szCs w:val="28"/>
          <w:lang w:val="es-CO"/>
        </w:rPr>
        <w:t xml:space="preserve">. Por lo anterior, la Corte ha diferenciado (i) el </w:t>
      </w:r>
      <w:r w:rsidR="00E64318" w:rsidRPr="00BE6B1E">
        <w:rPr>
          <w:i/>
          <w:iCs/>
          <w:color w:val="000000" w:themeColor="text1"/>
          <w:sz w:val="28"/>
          <w:szCs w:val="28"/>
          <w:lang w:val="es-CO"/>
        </w:rPr>
        <w:t>objeto de la impugnación</w:t>
      </w:r>
      <w:r w:rsidR="00B405A1" w:rsidRPr="00BE6B1E">
        <w:rPr>
          <w:color w:val="000000" w:themeColor="text1"/>
          <w:sz w:val="28"/>
          <w:szCs w:val="28"/>
          <w:lang w:val="es-CO"/>
        </w:rPr>
        <w:t xml:space="preserve">, que se refiere a que el demandante conduzca su acusación contra textos normativos concretos, </w:t>
      </w:r>
      <w:r w:rsidR="00710FF6" w:rsidRPr="00BE6B1E">
        <w:rPr>
          <w:color w:val="000000" w:themeColor="text1"/>
          <w:sz w:val="28"/>
          <w:szCs w:val="28"/>
          <w:lang w:val="es-CO"/>
        </w:rPr>
        <w:t>en virtud de lo dispuesto en el artículo 241.1</w:t>
      </w:r>
      <w:r w:rsidR="00BE6B1E">
        <w:rPr>
          <w:color w:val="000000" w:themeColor="text1"/>
          <w:sz w:val="28"/>
          <w:szCs w:val="28"/>
          <w:lang w:val="es-CO"/>
        </w:rPr>
        <w:t xml:space="preserve"> del Texto</w:t>
      </w:r>
      <w:r w:rsidR="00710FF6" w:rsidRPr="00BE6B1E">
        <w:rPr>
          <w:color w:val="000000" w:themeColor="text1"/>
          <w:sz w:val="28"/>
          <w:szCs w:val="28"/>
          <w:lang w:val="es-CO"/>
        </w:rPr>
        <w:t xml:space="preserve"> </w:t>
      </w:r>
      <w:r w:rsidR="00BE6B1E">
        <w:rPr>
          <w:color w:val="000000" w:themeColor="text1"/>
          <w:sz w:val="28"/>
          <w:szCs w:val="28"/>
          <w:lang w:val="es-CO"/>
        </w:rPr>
        <w:t>S</w:t>
      </w:r>
      <w:r w:rsidR="00710FF6" w:rsidRPr="00BE6B1E">
        <w:rPr>
          <w:color w:val="000000" w:themeColor="text1"/>
          <w:sz w:val="28"/>
          <w:szCs w:val="28"/>
          <w:lang w:val="es-CO"/>
        </w:rPr>
        <w:t>uperior</w:t>
      </w:r>
      <w:r w:rsidR="0081174C" w:rsidRPr="00BE6B1E">
        <w:rPr>
          <w:color w:val="000000" w:themeColor="text1"/>
          <w:sz w:val="28"/>
          <w:szCs w:val="28"/>
          <w:lang w:val="es-CO"/>
        </w:rPr>
        <w:t>;</w:t>
      </w:r>
      <w:r w:rsidR="00710FF6" w:rsidRPr="00BE6B1E">
        <w:rPr>
          <w:color w:val="000000" w:themeColor="text1"/>
          <w:sz w:val="28"/>
          <w:szCs w:val="28"/>
          <w:lang w:val="es-CO"/>
        </w:rPr>
        <w:t xml:space="preserve"> (</w:t>
      </w:r>
      <w:proofErr w:type="spellStart"/>
      <w:r w:rsidR="00710FF6" w:rsidRPr="00BE6B1E">
        <w:rPr>
          <w:color w:val="000000" w:themeColor="text1"/>
          <w:sz w:val="28"/>
          <w:szCs w:val="28"/>
          <w:lang w:val="es-CO"/>
        </w:rPr>
        <w:t>ii</w:t>
      </w:r>
      <w:proofErr w:type="spellEnd"/>
      <w:r w:rsidR="00710FF6" w:rsidRPr="00BE6B1E">
        <w:rPr>
          <w:color w:val="000000" w:themeColor="text1"/>
          <w:sz w:val="28"/>
          <w:szCs w:val="28"/>
          <w:lang w:val="es-CO"/>
        </w:rPr>
        <w:t xml:space="preserve">) </w:t>
      </w:r>
      <w:r w:rsidR="0081174C" w:rsidRPr="00BE6B1E">
        <w:rPr>
          <w:color w:val="000000" w:themeColor="text1"/>
          <w:sz w:val="28"/>
          <w:szCs w:val="28"/>
          <w:lang w:val="es-CO"/>
        </w:rPr>
        <w:t>e</w:t>
      </w:r>
      <w:r w:rsidR="00710FF6" w:rsidRPr="00BE6B1E">
        <w:rPr>
          <w:color w:val="000000" w:themeColor="text1"/>
          <w:sz w:val="28"/>
          <w:szCs w:val="28"/>
          <w:lang w:val="es-CO"/>
        </w:rPr>
        <w:t xml:space="preserve">l </w:t>
      </w:r>
      <w:r w:rsidR="00710FF6" w:rsidRPr="00BE6B1E">
        <w:rPr>
          <w:i/>
          <w:iCs/>
          <w:color w:val="000000" w:themeColor="text1"/>
          <w:sz w:val="28"/>
          <w:szCs w:val="28"/>
          <w:lang w:val="es-CO"/>
        </w:rPr>
        <w:t>objeto de control</w:t>
      </w:r>
      <w:r w:rsidR="00710FF6" w:rsidRPr="00BE6B1E">
        <w:rPr>
          <w:color w:val="000000" w:themeColor="text1"/>
          <w:sz w:val="28"/>
          <w:szCs w:val="28"/>
          <w:lang w:val="es-CO"/>
        </w:rPr>
        <w:t>, que corresponde a la dimensión material del juicio de constitucionalidad, y es conformado por normas explícitas</w:t>
      </w:r>
      <w:r w:rsidR="004C4F8F" w:rsidRPr="00BE6B1E">
        <w:rPr>
          <w:color w:val="000000" w:themeColor="text1"/>
          <w:sz w:val="28"/>
          <w:szCs w:val="28"/>
          <w:lang w:val="es-CO"/>
        </w:rPr>
        <w:t xml:space="preserve"> o implícitas, situaciones jurídicas derivadas de sistemas normativos, interpretaciones o relaciones </w:t>
      </w:r>
      <w:proofErr w:type="spellStart"/>
      <w:r w:rsidR="004C4F8F" w:rsidRPr="00BE6B1E">
        <w:rPr>
          <w:color w:val="000000" w:themeColor="text1"/>
          <w:sz w:val="28"/>
          <w:szCs w:val="28"/>
          <w:lang w:val="es-CO"/>
        </w:rPr>
        <w:t>internormativas</w:t>
      </w:r>
      <w:proofErr w:type="spellEnd"/>
      <w:r w:rsidR="00BE6B1E">
        <w:rPr>
          <w:color w:val="000000" w:themeColor="text1"/>
          <w:sz w:val="28"/>
          <w:szCs w:val="28"/>
          <w:lang w:val="es-CO"/>
        </w:rPr>
        <w:t>;</w:t>
      </w:r>
      <w:r w:rsidR="004C4F8F" w:rsidRPr="00BE6B1E">
        <w:rPr>
          <w:color w:val="000000" w:themeColor="text1"/>
          <w:sz w:val="28"/>
          <w:szCs w:val="28"/>
          <w:lang w:val="es-CO"/>
        </w:rPr>
        <w:t xml:space="preserve"> </w:t>
      </w:r>
      <w:r w:rsidR="0081174C" w:rsidRPr="00BE6B1E">
        <w:rPr>
          <w:color w:val="000000" w:themeColor="text1"/>
          <w:sz w:val="28"/>
          <w:szCs w:val="28"/>
          <w:lang w:val="es-CO"/>
        </w:rPr>
        <w:t>y</w:t>
      </w:r>
      <w:r w:rsidR="004C4F8F" w:rsidRPr="00BE6B1E">
        <w:rPr>
          <w:color w:val="000000" w:themeColor="text1"/>
          <w:sz w:val="28"/>
          <w:szCs w:val="28"/>
          <w:lang w:val="es-CO"/>
        </w:rPr>
        <w:t xml:space="preserve"> (</w:t>
      </w:r>
      <w:proofErr w:type="spellStart"/>
      <w:r w:rsidR="004C4F8F" w:rsidRPr="00BE6B1E">
        <w:rPr>
          <w:color w:val="000000" w:themeColor="text1"/>
          <w:sz w:val="28"/>
          <w:szCs w:val="28"/>
          <w:lang w:val="es-CO"/>
        </w:rPr>
        <w:t>iii</w:t>
      </w:r>
      <w:proofErr w:type="spellEnd"/>
      <w:r w:rsidR="004C4F8F" w:rsidRPr="00BE6B1E">
        <w:rPr>
          <w:color w:val="000000" w:themeColor="text1"/>
          <w:sz w:val="28"/>
          <w:szCs w:val="28"/>
          <w:lang w:val="es-CO"/>
        </w:rPr>
        <w:t xml:space="preserve">) el </w:t>
      </w:r>
      <w:r w:rsidR="004C4F8F" w:rsidRPr="00BE6B1E">
        <w:rPr>
          <w:i/>
          <w:iCs/>
          <w:color w:val="000000" w:themeColor="text1"/>
          <w:sz w:val="28"/>
          <w:szCs w:val="28"/>
          <w:lang w:val="es-CO"/>
        </w:rPr>
        <w:t>objeto de pronunciamiento</w:t>
      </w:r>
      <w:r w:rsidR="004C4F8F" w:rsidRPr="00BE6B1E">
        <w:rPr>
          <w:color w:val="000000" w:themeColor="text1"/>
          <w:sz w:val="28"/>
          <w:szCs w:val="28"/>
          <w:lang w:val="es-CO"/>
        </w:rPr>
        <w:t xml:space="preserve">, que corresponde a la forma en la que el Tribunal constitucional </w:t>
      </w:r>
      <w:r w:rsidR="004C4F8F" w:rsidRPr="006874F8">
        <w:rPr>
          <w:color w:val="000000" w:themeColor="text1"/>
          <w:sz w:val="28"/>
          <w:szCs w:val="28"/>
          <w:lang w:val="es-CO"/>
        </w:rPr>
        <w:t xml:space="preserve">resuelve la inconstitucionalidad </w:t>
      </w:r>
      <w:r w:rsidR="00BE6B1E" w:rsidRPr="006874F8">
        <w:rPr>
          <w:color w:val="000000" w:themeColor="text1"/>
          <w:sz w:val="28"/>
          <w:szCs w:val="28"/>
          <w:lang w:val="es-CO"/>
        </w:rPr>
        <w:t>planteada</w:t>
      </w:r>
      <w:r w:rsidR="004C4F8F" w:rsidRPr="006874F8">
        <w:rPr>
          <w:color w:val="000000" w:themeColor="text1"/>
          <w:sz w:val="28"/>
          <w:szCs w:val="28"/>
          <w:lang w:val="es-CO"/>
        </w:rPr>
        <w:t xml:space="preserve">. </w:t>
      </w:r>
    </w:p>
    <w:p w14:paraId="27126ADC" w14:textId="77777777" w:rsidR="007A2034" w:rsidRPr="006874F8" w:rsidRDefault="007A2034" w:rsidP="00E067C2">
      <w:pPr>
        <w:pStyle w:val="Prrafodelista"/>
        <w:rPr>
          <w:color w:val="000000" w:themeColor="text1"/>
          <w:sz w:val="28"/>
          <w:szCs w:val="28"/>
          <w:lang w:val="es-CO"/>
        </w:rPr>
      </w:pPr>
    </w:p>
    <w:p w14:paraId="5302A21F" w14:textId="1B863371" w:rsidR="007A2034" w:rsidRPr="00B25BFF" w:rsidRDefault="007A2034" w:rsidP="00F31240">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25BFF">
        <w:rPr>
          <w:color w:val="000000" w:themeColor="text1"/>
          <w:sz w:val="28"/>
          <w:szCs w:val="28"/>
          <w:lang w:val="es-CO"/>
        </w:rPr>
        <w:t xml:space="preserve">La nutrida jurisprudencia sobre el </w:t>
      </w:r>
      <w:r w:rsidRPr="00B25BFF">
        <w:rPr>
          <w:i/>
          <w:iCs/>
          <w:color w:val="000000" w:themeColor="text1"/>
          <w:sz w:val="28"/>
          <w:szCs w:val="28"/>
          <w:lang w:val="es-CO"/>
        </w:rPr>
        <w:t>derecho viviente</w:t>
      </w:r>
      <w:r w:rsidRPr="00B25BFF">
        <w:rPr>
          <w:color w:val="000000" w:themeColor="text1"/>
          <w:sz w:val="28"/>
          <w:szCs w:val="28"/>
          <w:lang w:val="es-CO"/>
        </w:rPr>
        <w:t xml:space="preserve"> ha permitido a la Corte pronunciarse</w:t>
      </w:r>
      <w:r w:rsidR="00BE6B1E" w:rsidRPr="00B25BFF">
        <w:rPr>
          <w:color w:val="000000" w:themeColor="text1"/>
          <w:sz w:val="28"/>
          <w:szCs w:val="28"/>
          <w:lang w:val="es-CO"/>
        </w:rPr>
        <w:t xml:space="preserve"> </w:t>
      </w:r>
      <w:r w:rsidRPr="00B25BFF">
        <w:rPr>
          <w:color w:val="000000" w:themeColor="text1"/>
          <w:sz w:val="28"/>
          <w:szCs w:val="28"/>
          <w:lang w:val="es-CO"/>
        </w:rPr>
        <w:t xml:space="preserve">no solo sobre las disposiciones o enunciados jurídicos, sino </w:t>
      </w:r>
      <w:r w:rsidR="00727E0A" w:rsidRPr="00B25BFF">
        <w:rPr>
          <w:color w:val="000000" w:themeColor="text1"/>
          <w:sz w:val="28"/>
          <w:szCs w:val="28"/>
          <w:lang w:val="es-CO"/>
        </w:rPr>
        <w:t xml:space="preserve">también </w:t>
      </w:r>
      <w:r w:rsidRPr="00B25BFF">
        <w:rPr>
          <w:color w:val="000000" w:themeColor="text1"/>
          <w:sz w:val="28"/>
          <w:szCs w:val="28"/>
          <w:lang w:val="es-CO"/>
        </w:rPr>
        <w:t>sobre la</w:t>
      </w:r>
      <w:r w:rsidR="00A1307C" w:rsidRPr="00B25BFF">
        <w:rPr>
          <w:color w:val="000000" w:themeColor="text1"/>
          <w:sz w:val="28"/>
          <w:szCs w:val="28"/>
          <w:lang w:val="es-CO"/>
        </w:rPr>
        <w:t>s normas</w:t>
      </w:r>
      <w:r w:rsidR="00BE6B1E" w:rsidRPr="00B25BFF">
        <w:rPr>
          <w:b/>
          <w:bCs/>
          <w:i/>
          <w:iCs/>
          <w:color w:val="000000" w:themeColor="text1"/>
          <w:sz w:val="28"/>
          <w:szCs w:val="28"/>
          <w:lang w:val="es-CO"/>
        </w:rPr>
        <w:t xml:space="preserve"> </w:t>
      </w:r>
      <w:r w:rsidR="00BE6B1E" w:rsidRPr="00B25BFF">
        <w:rPr>
          <w:color w:val="000000" w:themeColor="text1"/>
          <w:sz w:val="28"/>
          <w:szCs w:val="28"/>
          <w:lang w:val="es-CO"/>
        </w:rPr>
        <w:t xml:space="preserve">que han sido fijadas por las autoridades judiciales responsables de hacerlo, al atribuir un </w:t>
      </w:r>
      <w:r w:rsidR="00BE6B1E" w:rsidRPr="005D0209">
        <w:rPr>
          <w:color w:val="000000" w:themeColor="text1"/>
          <w:sz w:val="28"/>
          <w:szCs w:val="28"/>
          <w:lang w:val="es-CO"/>
        </w:rPr>
        <w:t xml:space="preserve">significado abstracto y real </w:t>
      </w:r>
      <w:r w:rsidR="00BE6B1E" w:rsidRPr="00B25BFF">
        <w:rPr>
          <w:color w:val="000000" w:themeColor="text1"/>
          <w:sz w:val="28"/>
          <w:szCs w:val="28"/>
          <w:lang w:val="es-CO"/>
        </w:rPr>
        <w:t>a un determinado enunciado normativo</w:t>
      </w:r>
      <w:r w:rsidR="006874F8" w:rsidRPr="00B25BFF">
        <w:rPr>
          <w:color w:val="000000" w:themeColor="text1"/>
          <w:sz w:val="28"/>
          <w:szCs w:val="28"/>
          <w:lang w:val="es-CO"/>
        </w:rPr>
        <w:t xml:space="preserve">, al punto de </w:t>
      </w:r>
      <w:r w:rsidR="006874F8" w:rsidRPr="00534FF6">
        <w:rPr>
          <w:rStyle w:val="Ttulo4Car"/>
          <w:b w:val="0"/>
          <w:bCs w:val="0"/>
          <w:lang w:val="es-CO"/>
        </w:rPr>
        <w:t xml:space="preserve">constituir </w:t>
      </w:r>
      <w:r w:rsidR="006874F8" w:rsidRPr="005D0209">
        <w:rPr>
          <w:rStyle w:val="Ttulo4Car"/>
          <w:b w:val="0"/>
          <w:bCs w:val="0"/>
          <w:lang w:val="es-CO"/>
        </w:rPr>
        <w:t>la orientación dominante o el criterio judicial obligatorio para quienes son destinatarios de la ley</w:t>
      </w:r>
      <w:r w:rsidR="00BE784D" w:rsidRPr="00BE784D">
        <w:rPr>
          <w:rStyle w:val="Refdenotaalpie"/>
          <w:color w:val="000000" w:themeColor="text1"/>
          <w:lang w:val="es-CO"/>
        </w:rPr>
        <w:footnoteReference w:id="26"/>
      </w:r>
      <w:r w:rsidR="006874F8" w:rsidRPr="00B25BFF">
        <w:rPr>
          <w:color w:val="000000" w:themeColor="text1"/>
          <w:sz w:val="28"/>
          <w:szCs w:val="28"/>
          <w:lang w:val="es-CO"/>
        </w:rPr>
        <w:t xml:space="preserve">. </w:t>
      </w:r>
      <w:r w:rsidR="00A1307C" w:rsidRPr="00B25BFF">
        <w:rPr>
          <w:color w:val="000000" w:themeColor="text1"/>
          <w:sz w:val="28"/>
          <w:szCs w:val="28"/>
          <w:lang w:val="es-CO"/>
        </w:rPr>
        <w:t>Este control es en todo caso excepcional.</w:t>
      </w:r>
      <w:r w:rsidR="00E07E87" w:rsidRPr="00B25BFF">
        <w:rPr>
          <w:color w:val="000000" w:themeColor="text1"/>
          <w:sz w:val="28"/>
          <w:szCs w:val="28"/>
          <w:lang w:val="es-CO"/>
        </w:rPr>
        <w:t xml:space="preserve"> De ahí que, para activar la competencia de la Corte</w:t>
      </w:r>
      <w:r w:rsidR="006874F8" w:rsidRPr="00B25BFF">
        <w:rPr>
          <w:color w:val="000000" w:themeColor="text1"/>
          <w:sz w:val="28"/>
          <w:szCs w:val="28"/>
          <w:lang w:val="es-CO"/>
        </w:rPr>
        <w:t>,</w:t>
      </w:r>
      <w:r w:rsidR="00E07E87" w:rsidRPr="00B25BFF">
        <w:rPr>
          <w:color w:val="000000" w:themeColor="text1"/>
          <w:sz w:val="28"/>
          <w:szCs w:val="28"/>
          <w:lang w:val="es-CO"/>
        </w:rPr>
        <w:t xml:space="preserve"> es necesario que </w:t>
      </w:r>
      <w:r w:rsidR="00727E0A" w:rsidRPr="00B25BFF">
        <w:rPr>
          <w:color w:val="000000" w:themeColor="text1"/>
          <w:sz w:val="28"/>
          <w:szCs w:val="28"/>
          <w:lang w:val="es-CO"/>
        </w:rPr>
        <w:t>exista</w:t>
      </w:r>
      <w:r w:rsidR="00F13135" w:rsidRPr="00B25BFF">
        <w:rPr>
          <w:color w:val="000000" w:themeColor="text1"/>
          <w:sz w:val="28"/>
          <w:szCs w:val="28"/>
          <w:lang w:val="es-CO"/>
        </w:rPr>
        <w:t xml:space="preserve"> </w:t>
      </w:r>
      <w:r w:rsidR="00727E0A" w:rsidRPr="00B25BFF">
        <w:rPr>
          <w:color w:val="000000" w:themeColor="text1"/>
          <w:sz w:val="28"/>
          <w:szCs w:val="28"/>
          <w:lang w:val="es-CO"/>
        </w:rPr>
        <w:t xml:space="preserve">(i) </w:t>
      </w:r>
      <w:r w:rsidR="00F13135" w:rsidRPr="00B25BFF">
        <w:rPr>
          <w:color w:val="000000" w:themeColor="text1"/>
          <w:sz w:val="28"/>
          <w:szCs w:val="28"/>
          <w:lang w:val="es-CO"/>
        </w:rPr>
        <w:t xml:space="preserve">una </w:t>
      </w:r>
      <w:r w:rsidR="002B2774" w:rsidRPr="00B25BFF">
        <w:rPr>
          <w:color w:val="000000" w:themeColor="text1"/>
          <w:sz w:val="28"/>
          <w:szCs w:val="28"/>
          <w:lang w:val="es-CO"/>
        </w:rPr>
        <w:t>diferencia</w:t>
      </w:r>
      <w:r w:rsidR="00F13135" w:rsidRPr="00B25BFF">
        <w:rPr>
          <w:color w:val="000000" w:themeColor="text1"/>
          <w:sz w:val="28"/>
          <w:szCs w:val="28"/>
          <w:lang w:val="es-CO"/>
        </w:rPr>
        <w:t xml:space="preserve"> entre las </w:t>
      </w:r>
      <w:r w:rsidR="00F13135" w:rsidRPr="00B25BFF">
        <w:rPr>
          <w:i/>
          <w:iCs/>
          <w:color w:val="000000" w:themeColor="text1"/>
          <w:sz w:val="28"/>
          <w:szCs w:val="28"/>
          <w:lang w:val="es-CO"/>
        </w:rPr>
        <w:t>disposiciones</w:t>
      </w:r>
      <w:r w:rsidR="00F13135" w:rsidRPr="00B25BFF">
        <w:rPr>
          <w:color w:val="000000" w:themeColor="text1"/>
          <w:sz w:val="28"/>
          <w:szCs w:val="28"/>
          <w:lang w:val="es-CO"/>
        </w:rPr>
        <w:t xml:space="preserve"> </w:t>
      </w:r>
      <w:r w:rsidR="006874F8" w:rsidRPr="00B25BFF">
        <w:rPr>
          <w:color w:val="000000" w:themeColor="text1"/>
          <w:sz w:val="28"/>
          <w:szCs w:val="28"/>
          <w:lang w:val="es-CO"/>
        </w:rPr>
        <w:t xml:space="preserve">en su contenido literal o en el alcance que </w:t>
      </w:r>
      <w:r w:rsidR="00727E0A" w:rsidRPr="00B25BFF">
        <w:rPr>
          <w:color w:val="000000" w:themeColor="text1"/>
          <w:sz w:val="28"/>
          <w:szCs w:val="28"/>
          <w:lang w:val="es-CO"/>
        </w:rPr>
        <w:t>lógicamente</w:t>
      </w:r>
      <w:r w:rsidR="006874F8" w:rsidRPr="00B25BFF">
        <w:rPr>
          <w:color w:val="000000" w:themeColor="text1"/>
          <w:sz w:val="28"/>
          <w:szCs w:val="28"/>
          <w:lang w:val="es-CO"/>
        </w:rPr>
        <w:t xml:space="preserve"> se infiere de su tenor normativo</w:t>
      </w:r>
      <w:r w:rsidR="00727E0A" w:rsidRPr="00B25BFF">
        <w:rPr>
          <w:color w:val="000000" w:themeColor="text1"/>
          <w:sz w:val="28"/>
          <w:szCs w:val="28"/>
          <w:lang w:val="es-CO"/>
        </w:rPr>
        <w:t xml:space="preserve"> (</w:t>
      </w:r>
      <w:r w:rsidR="00727E0A" w:rsidRPr="00B25BFF">
        <w:rPr>
          <w:i/>
          <w:iCs/>
          <w:color w:val="000000" w:themeColor="text1"/>
          <w:sz w:val="28"/>
          <w:szCs w:val="28"/>
          <w:lang w:val="es-CO"/>
        </w:rPr>
        <w:t>propia de una labor interpretativa ordinaria</w:t>
      </w:r>
      <w:r w:rsidR="00727E0A" w:rsidRPr="00B25BFF">
        <w:rPr>
          <w:color w:val="000000" w:themeColor="text1"/>
          <w:sz w:val="28"/>
          <w:szCs w:val="28"/>
          <w:lang w:val="es-CO"/>
        </w:rPr>
        <w:t xml:space="preserve">) </w:t>
      </w:r>
      <w:r w:rsidR="00F13135" w:rsidRPr="00B25BFF">
        <w:rPr>
          <w:color w:val="000000" w:themeColor="text1"/>
          <w:sz w:val="28"/>
          <w:szCs w:val="28"/>
          <w:lang w:val="es-CO"/>
        </w:rPr>
        <w:t xml:space="preserve">y las </w:t>
      </w:r>
      <w:r w:rsidR="00F13135" w:rsidRPr="00B25BFF">
        <w:rPr>
          <w:b/>
          <w:bCs/>
          <w:color w:val="000000" w:themeColor="text1"/>
          <w:sz w:val="28"/>
          <w:szCs w:val="28"/>
          <w:lang w:val="es-CO"/>
        </w:rPr>
        <w:t>normas</w:t>
      </w:r>
      <w:r w:rsidR="00727E0A" w:rsidRPr="00B25BFF">
        <w:rPr>
          <w:color w:val="000000" w:themeColor="text1"/>
          <w:sz w:val="28"/>
          <w:szCs w:val="28"/>
          <w:lang w:val="es-CO"/>
        </w:rPr>
        <w:t xml:space="preserve"> derivadas de un proceso de abstracción, en el que se precisa un contenido obligatorio y único a </w:t>
      </w:r>
      <w:r w:rsidR="00BE784D" w:rsidRPr="00B25BFF">
        <w:rPr>
          <w:color w:val="000000" w:themeColor="text1"/>
          <w:sz w:val="28"/>
          <w:szCs w:val="28"/>
          <w:lang w:val="es-CO"/>
        </w:rPr>
        <w:t xml:space="preserve">un </w:t>
      </w:r>
      <w:r w:rsidR="00727E0A" w:rsidRPr="00B25BFF">
        <w:rPr>
          <w:color w:val="000000" w:themeColor="text1"/>
          <w:sz w:val="28"/>
          <w:szCs w:val="28"/>
          <w:lang w:val="es-CO"/>
        </w:rPr>
        <w:t xml:space="preserve">enunciado legal por parte de una autoridad </w:t>
      </w:r>
      <w:r w:rsidR="00727E0A" w:rsidRPr="00B25BFF">
        <w:rPr>
          <w:color w:val="000000" w:themeColor="text1"/>
          <w:sz w:val="28"/>
          <w:szCs w:val="28"/>
          <w:lang w:val="es-CO"/>
        </w:rPr>
        <w:lastRenderedPageBreak/>
        <w:t>judicial, con ocasión de la indeterminación semántica de lo regulado (</w:t>
      </w:r>
      <w:r w:rsidR="00727E0A" w:rsidRPr="00B25BFF">
        <w:rPr>
          <w:i/>
          <w:iCs/>
          <w:color w:val="000000" w:themeColor="text1"/>
          <w:sz w:val="28"/>
          <w:szCs w:val="28"/>
          <w:lang w:val="es-CO"/>
        </w:rPr>
        <w:t>propia de la labor integradora del juez</w:t>
      </w:r>
      <w:r w:rsidR="00727E0A" w:rsidRPr="00B25BFF">
        <w:rPr>
          <w:color w:val="000000" w:themeColor="text1"/>
          <w:sz w:val="28"/>
          <w:szCs w:val="28"/>
          <w:lang w:val="es-CO"/>
        </w:rPr>
        <w:t xml:space="preserve">). Solo sobre estas últimas la Corte </w:t>
      </w:r>
      <w:r w:rsidR="00BE784D" w:rsidRPr="00B25BFF">
        <w:rPr>
          <w:color w:val="000000" w:themeColor="text1"/>
          <w:sz w:val="28"/>
          <w:szCs w:val="28"/>
          <w:lang w:val="es-CO"/>
        </w:rPr>
        <w:t>puede ejercer el control abstracto</w:t>
      </w:r>
      <w:r w:rsidR="00727E0A" w:rsidRPr="00B25BFF">
        <w:rPr>
          <w:color w:val="000000" w:themeColor="text1"/>
          <w:sz w:val="28"/>
          <w:szCs w:val="28"/>
          <w:lang w:val="es-CO"/>
        </w:rPr>
        <w:t>, por el carácter imperativo</w:t>
      </w:r>
      <w:r w:rsidR="00126B00" w:rsidRPr="00B25BFF">
        <w:rPr>
          <w:color w:val="000000" w:themeColor="text1"/>
          <w:sz w:val="28"/>
          <w:szCs w:val="28"/>
          <w:lang w:val="es-CO"/>
        </w:rPr>
        <w:t xml:space="preserve"> que adquiere el sentido fijado a la ley</w:t>
      </w:r>
      <w:r w:rsidR="00727E0A" w:rsidRPr="00B25BFF">
        <w:rPr>
          <w:color w:val="000000" w:themeColor="text1"/>
          <w:sz w:val="28"/>
          <w:szCs w:val="28"/>
          <w:lang w:val="es-CO"/>
        </w:rPr>
        <w:t>, siempre q</w:t>
      </w:r>
      <w:r w:rsidR="002B2774" w:rsidRPr="00B25BFF">
        <w:rPr>
          <w:color w:val="000000" w:themeColor="text1"/>
          <w:sz w:val="28"/>
          <w:szCs w:val="28"/>
          <w:lang w:val="es-CO"/>
        </w:rPr>
        <w:t xml:space="preserve">ue, además, </w:t>
      </w:r>
      <w:r w:rsidR="00126B00" w:rsidRPr="00B25BFF">
        <w:rPr>
          <w:color w:val="000000" w:themeColor="text1"/>
          <w:sz w:val="28"/>
          <w:szCs w:val="28"/>
          <w:lang w:val="es-CO"/>
        </w:rPr>
        <w:t>(</w:t>
      </w:r>
      <w:proofErr w:type="spellStart"/>
      <w:r w:rsidR="00126B00" w:rsidRPr="00B25BFF">
        <w:rPr>
          <w:color w:val="000000" w:themeColor="text1"/>
          <w:sz w:val="28"/>
          <w:szCs w:val="28"/>
          <w:lang w:val="es-CO"/>
        </w:rPr>
        <w:t>ii</w:t>
      </w:r>
      <w:proofErr w:type="spellEnd"/>
      <w:r w:rsidR="00126B00" w:rsidRPr="00B25BFF">
        <w:rPr>
          <w:color w:val="000000" w:themeColor="text1"/>
          <w:sz w:val="28"/>
          <w:szCs w:val="28"/>
          <w:lang w:val="es-CO"/>
        </w:rPr>
        <w:t xml:space="preserve">) se </w:t>
      </w:r>
      <w:r w:rsidR="00727E0A" w:rsidRPr="00B25BFF">
        <w:rPr>
          <w:color w:val="000000" w:themeColor="text1"/>
          <w:sz w:val="28"/>
          <w:szCs w:val="28"/>
          <w:lang w:val="es-CO"/>
        </w:rPr>
        <w:t xml:space="preserve">suscite una verdadera duda sobre su constitucionalidad, a partir de la exigencia de las cargas </w:t>
      </w:r>
      <w:r w:rsidR="00BE784D" w:rsidRPr="00B25BFF">
        <w:rPr>
          <w:color w:val="000000" w:themeColor="text1"/>
          <w:sz w:val="28"/>
          <w:szCs w:val="28"/>
          <w:lang w:val="es-CO"/>
        </w:rPr>
        <w:t>de las cuales depende</w:t>
      </w:r>
      <w:r w:rsidR="00727E0A" w:rsidRPr="00B25BFF">
        <w:rPr>
          <w:color w:val="000000" w:themeColor="text1"/>
          <w:sz w:val="28"/>
          <w:szCs w:val="28"/>
          <w:lang w:val="es-CO"/>
        </w:rPr>
        <w:t xml:space="preserve"> </w:t>
      </w:r>
      <w:r w:rsidR="00BE784D" w:rsidRPr="00B25BFF">
        <w:rPr>
          <w:color w:val="000000" w:themeColor="text1"/>
          <w:sz w:val="28"/>
          <w:szCs w:val="28"/>
          <w:lang w:val="es-CO"/>
        </w:rPr>
        <w:t>la</w:t>
      </w:r>
      <w:r w:rsidR="00727E0A" w:rsidRPr="00B25BFF">
        <w:rPr>
          <w:color w:val="000000" w:themeColor="text1"/>
          <w:sz w:val="28"/>
          <w:szCs w:val="28"/>
          <w:lang w:val="es-CO"/>
        </w:rPr>
        <w:t xml:space="preserve"> idoneidad de una demanda</w:t>
      </w:r>
      <w:r w:rsidR="00B25BFF" w:rsidRPr="00B25BFF">
        <w:rPr>
          <w:color w:val="000000" w:themeColor="text1"/>
          <w:sz w:val="28"/>
          <w:szCs w:val="28"/>
          <w:lang w:val="es-CO"/>
        </w:rPr>
        <w:t xml:space="preserve">, cuyo alcance adquiere mayor rigurosidad, a fin de </w:t>
      </w:r>
      <w:r w:rsidR="00B25BFF">
        <w:rPr>
          <w:color w:val="000000" w:themeColor="text1"/>
          <w:sz w:val="28"/>
          <w:szCs w:val="28"/>
          <w:lang w:val="es-CO"/>
        </w:rPr>
        <w:t>proteger</w:t>
      </w:r>
      <w:r w:rsidR="00B25BFF" w:rsidRPr="00B25BFF">
        <w:rPr>
          <w:color w:val="000000" w:themeColor="text1"/>
          <w:sz w:val="28"/>
          <w:szCs w:val="28"/>
          <w:lang w:val="es-CO"/>
        </w:rPr>
        <w:t xml:space="preserve"> la autonomía judicial</w:t>
      </w:r>
      <w:r w:rsidR="00745798" w:rsidRPr="006874F8">
        <w:rPr>
          <w:rStyle w:val="Refdenotaalpie"/>
          <w:color w:val="000000" w:themeColor="text1"/>
          <w:szCs w:val="28"/>
          <w:lang w:val="es-CO"/>
        </w:rPr>
        <w:footnoteReference w:id="27"/>
      </w:r>
      <w:r w:rsidR="002B2774" w:rsidRPr="00B25BFF">
        <w:rPr>
          <w:color w:val="000000" w:themeColor="text1"/>
          <w:sz w:val="28"/>
          <w:szCs w:val="28"/>
          <w:lang w:val="es-CO"/>
        </w:rPr>
        <w:t xml:space="preserve">. </w:t>
      </w:r>
      <w:r w:rsidR="007F2519" w:rsidRPr="00B25BFF">
        <w:rPr>
          <w:color w:val="000000" w:themeColor="text1"/>
          <w:sz w:val="28"/>
          <w:szCs w:val="28"/>
          <w:lang w:val="es-CO"/>
        </w:rPr>
        <w:t>En este orden de ideas, en la reciente sentencia C-097 de 2025, se explicó que:</w:t>
      </w:r>
    </w:p>
    <w:p w14:paraId="1F916029" w14:textId="77777777" w:rsidR="0057148E" w:rsidRDefault="0057148E" w:rsidP="00E067C2">
      <w:pPr>
        <w:rPr>
          <w:color w:val="000000" w:themeColor="text1"/>
          <w:sz w:val="28"/>
          <w:szCs w:val="28"/>
          <w:highlight w:val="yellow"/>
          <w:lang w:val="es-ES_tradnl"/>
        </w:rPr>
      </w:pPr>
    </w:p>
    <w:p w14:paraId="262D55DC" w14:textId="3B14D4FC" w:rsidR="007F2519" w:rsidRPr="007F2519" w:rsidRDefault="007F2519" w:rsidP="00E067C2">
      <w:pPr>
        <w:shd w:val="clear" w:color="auto" w:fill="FFFFFF"/>
        <w:ind w:left="567" w:right="617"/>
        <w:jc w:val="both"/>
        <w:textAlignment w:val="baseline"/>
        <w:rPr>
          <w:color w:val="2D2D2D"/>
          <w:sz w:val="22"/>
          <w:szCs w:val="22"/>
          <w:lang w:eastAsia="es-CO"/>
        </w:rPr>
      </w:pPr>
      <w:r w:rsidRPr="00E067C2">
        <w:rPr>
          <w:color w:val="000000"/>
          <w:sz w:val="22"/>
          <w:szCs w:val="22"/>
          <w:lang w:eastAsia="es-CO"/>
        </w:rPr>
        <w:t xml:space="preserve">“(…) </w:t>
      </w:r>
      <w:r w:rsidRPr="007F2519">
        <w:rPr>
          <w:color w:val="000000"/>
          <w:sz w:val="22"/>
          <w:szCs w:val="22"/>
          <w:lang w:eastAsia="es-CO"/>
        </w:rPr>
        <w:t>el control de constitucionalidad sobre interpretaciones judiciales únicamente procede respecto de normas de derecho viviente. Es decir, sobre el “</w:t>
      </w:r>
      <w:r w:rsidRPr="007F2519">
        <w:rPr>
          <w:i/>
          <w:iCs/>
          <w:color w:val="000000"/>
          <w:sz w:val="22"/>
          <w:szCs w:val="22"/>
          <w:lang w:eastAsia="es-CO"/>
        </w:rPr>
        <w:t xml:space="preserve">significado abstracto y real </w:t>
      </w:r>
      <w:r w:rsidRPr="007F2519">
        <w:rPr>
          <w:color w:val="000000"/>
          <w:sz w:val="22"/>
          <w:szCs w:val="22"/>
          <w:lang w:eastAsia="es-CO"/>
        </w:rPr>
        <w:t>[de la ley,]</w:t>
      </w:r>
      <w:r w:rsidRPr="007F2519">
        <w:rPr>
          <w:i/>
          <w:iCs/>
          <w:color w:val="000000"/>
          <w:sz w:val="22"/>
          <w:szCs w:val="22"/>
          <w:lang w:eastAsia="es-CO"/>
        </w:rPr>
        <w:t xml:space="preserve"> fijado por la autoridad judicial responsable</w:t>
      </w:r>
      <w:r w:rsidRPr="007F2519">
        <w:rPr>
          <w:color w:val="000000"/>
          <w:sz w:val="22"/>
          <w:szCs w:val="22"/>
          <w:lang w:eastAsia="es-CO"/>
        </w:rPr>
        <w:t>” o, lo que es lo mismo, frente al sentido normativo del artículo demandado, fijado jurisprudencialmente en el seno de una jurisdicción. En particular, surge en los órganos judiciales colegiados que están en la cima de cada una de las jurisdicciones, tal y como sucede con el Consejo de Estado, en su función de tribunal supremo de lo contencioso administrativo, y de la Corte Suprema de Justicia como máximo tribunal de la jurisdicción ordinaria.</w:t>
      </w:r>
    </w:p>
    <w:p w14:paraId="34439DEF" w14:textId="77777777" w:rsidR="007F2519" w:rsidRPr="007F2519" w:rsidRDefault="007F2519" w:rsidP="00E067C2">
      <w:pPr>
        <w:shd w:val="clear" w:color="auto" w:fill="FFFFFF"/>
        <w:ind w:left="567" w:right="617"/>
        <w:jc w:val="both"/>
        <w:textAlignment w:val="baseline"/>
        <w:rPr>
          <w:color w:val="2D2D2D"/>
          <w:sz w:val="22"/>
          <w:szCs w:val="22"/>
          <w:lang w:eastAsia="es-CO"/>
        </w:rPr>
      </w:pPr>
      <w:r w:rsidRPr="007F2519">
        <w:rPr>
          <w:color w:val="000000"/>
          <w:sz w:val="22"/>
          <w:szCs w:val="22"/>
          <w:lang w:eastAsia="es-CO"/>
        </w:rPr>
        <w:t> </w:t>
      </w:r>
    </w:p>
    <w:p w14:paraId="210E9877" w14:textId="0041DB18" w:rsidR="007F2519" w:rsidRPr="007F2519" w:rsidRDefault="00E067C2" w:rsidP="00E067C2">
      <w:pPr>
        <w:shd w:val="clear" w:color="auto" w:fill="FFFFFF"/>
        <w:ind w:left="567" w:right="617"/>
        <w:jc w:val="both"/>
        <w:textAlignment w:val="baseline"/>
        <w:rPr>
          <w:color w:val="2D2D2D"/>
          <w:sz w:val="22"/>
          <w:szCs w:val="22"/>
          <w:lang w:eastAsia="es-CO"/>
        </w:rPr>
      </w:pPr>
      <w:r w:rsidRPr="00E067C2">
        <w:rPr>
          <w:color w:val="000000"/>
          <w:sz w:val="22"/>
          <w:szCs w:val="22"/>
          <w:lang w:eastAsia="es-CO"/>
        </w:rPr>
        <w:t>(…)</w:t>
      </w:r>
      <w:r w:rsidR="007F2519" w:rsidRPr="007F2519">
        <w:rPr>
          <w:color w:val="000000"/>
          <w:sz w:val="22"/>
          <w:szCs w:val="22"/>
          <w:lang w:eastAsia="es-CO"/>
        </w:rPr>
        <w:t> Considerado lo anterior, el derecho viviente no emerge de cualquier tipo de interpretación judicial que efectúen las altas corporaciones. La interpretación judicial que constituye derecho viviente y es susceptible de control constitucional, es aquella que simultáneamente</w:t>
      </w:r>
      <w:r w:rsidRPr="00E067C2">
        <w:rPr>
          <w:color w:val="000000"/>
          <w:sz w:val="22"/>
          <w:szCs w:val="22"/>
          <w:lang w:eastAsia="es-CO"/>
        </w:rPr>
        <w:t xml:space="preserve"> </w:t>
      </w:r>
      <w:r w:rsidR="007F2519" w:rsidRPr="007F2519">
        <w:rPr>
          <w:color w:val="000000"/>
          <w:sz w:val="22"/>
          <w:szCs w:val="22"/>
          <w:lang w:eastAsia="es-CO"/>
        </w:rPr>
        <w:t>resulta </w:t>
      </w:r>
      <w:bookmarkStart w:id="11" w:name="_Hlk192619812"/>
      <w:r w:rsidR="007F2519" w:rsidRPr="007F2519">
        <w:rPr>
          <w:color w:val="000000"/>
          <w:sz w:val="22"/>
          <w:szCs w:val="22"/>
          <w:bdr w:val="none" w:sz="0" w:space="0" w:color="auto" w:frame="1"/>
          <w:lang w:eastAsia="es-CO"/>
        </w:rPr>
        <w:t>(i) </w:t>
      </w:r>
      <w:r w:rsidR="007F2519" w:rsidRPr="007F2519">
        <w:rPr>
          <w:b/>
          <w:bCs/>
          <w:color w:val="2D2D2D"/>
          <w:sz w:val="22"/>
          <w:szCs w:val="22"/>
          <w:bdr w:val="none" w:sz="0" w:space="0" w:color="auto" w:frame="1"/>
          <w:lang w:eastAsia="es-CO"/>
        </w:rPr>
        <w:t>consistente</w:t>
      </w:r>
      <w:r w:rsidR="007F2519" w:rsidRPr="007F2519">
        <w:rPr>
          <w:color w:val="000000"/>
          <w:sz w:val="22"/>
          <w:szCs w:val="22"/>
          <w:bdr w:val="none" w:sz="0" w:space="0" w:color="auto" w:frame="1"/>
          <w:lang w:eastAsia="es-CO"/>
        </w:rPr>
        <w:t>, o generalmente acogida y desprovista de controversias, contradicciones o divergencias jurisprudenciales significativas sobre su razonabilidad al interior de la jurisdicción, sin necesidad de que la jurisprudencia sea idéntica y uniforme; (</w:t>
      </w:r>
      <w:proofErr w:type="spellStart"/>
      <w:r w:rsidR="007F2519" w:rsidRPr="007F2519">
        <w:rPr>
          <w:color w:val="000000"/>
          <w:sz w:val="22"/>
          <w:szCs w:val="22"/>
          <w:bdr w:val="none" w:sz="0" w:space="0" w:color="auto" w:frame="1"/>
          <w:lang w:eastAsia="es-CO"/>
        </w:rPr>
        <w:t>ii</w:t>
      </w:r>
      <w:proofErr w:type="spellEnd"/>
      <w:r w:rsidR="007F2519" w:rsidRPr="007F2519">
        <w:rPr>
          <w:color w:val="000000"/>
          <w:sz w:val="22"/>
          <w:szCs w:val="22"/>
          <w:bdr w:val="none" w:sz="0" w:space="0" w:color="auto" w:frame="1"/>
          <w:lang w:eastAsia="es-CO"/>
        </w:rPr>
        <w:t>) </w:t>
      </w:r>
      <w:r w:rsidR="007F2519" w:rsidRPr="007F2519">
        <w:rPr>
          <w:b/>
          <w:bCs/>
          <w:color w:val="2D2D2D"/>
          <w:sz w:val="22"/>
          <w:szCs w:val="22"/>
          <w:bdr w:val="none" w:sz="0" w:space="0" w:color="auto" w:frame="1"/>
          <w:lang w:eastAsia="es-CO"/>
        </w:rPr>
        <w:t>consolidada</w:t>
      </w:r>
      <w:r w:rsidR="007F2519" w:rsidRPr="007F2519">
        <w:rPr>
          <w:color w:val="000000"/>
          <w:sz w:val="22"/>
          <w:szCs w:val="22"/>
          <w:bdr w:val="none" w:sz="0" w:space="0" w:color="auto" w:frame="1"/>
          <w:lang w:eastAsia="es-CO"/>
        </w:rPr>
        <w:t>, o extendida en la jurisdicción al punto de estar contenida en un conjunto amplio o significativo de providencias que aplican la misma regla, siendo un solo fallo, en principio, insuficiente para acreditarlo; y (</w:t>
      </w:r>
      <w:proofErr w:type="spellStart"/>
      <w:r w:rsidR="007F2519" w:rsidRPr="007F2519">
        <w:rPr>
          <w:color w:val="000000"/>
          <w:sz w:val="22"/>
          <w:szCs w:val="22"/>
          <w:bdr w:val="none" w:sz="0" w:space="0" w:color="auto" w:frame="1"/>
          <w:lang w:eastAsia="es-CO"/>
        </w:rPr>
        <w:t>iii</w:t>
      </w:r>
      <w:proofErr w:type="spellEnd"/>
      <w:r w:rsidR="007F2519" w:rsidRPr="007F2519">
        <w:rPr>
          <w:color w:val="000000"/>
          <w:sz w:val="22"/>
          <w:szCs w:val="22"/>
          <w:bdr w:val="none" w:sz="0" w:space="0" w:color="auto" w:frame="1"/>
          <w:lang w:eastAsia="es-CO"/>
        </w:rPr>
        <w:t>) </w:t>
      </w:r>
      <w:r w:rsidR="007F2519" w:rsidRPr="007F2519">
        <w:rPr>
          <w:b/>
          <w:bCs/>
          <w:color w:val="2D2D2D"/>
          <w:sz w:val="22"/>
          <w:szCs w:val="22"/>
          <w:bdr w:val="none" w:sz="0" w:space="0" w:color="auto" w:frame="1"/>
          <w:lang w:eastAsia="es-CO"/>
        </w:rPr>
        <w:t>relevante</w:t>
      </w:r>
      <w:r w:rsidR="007F2519" w:rsidRPr="007F2519">
        <w:rPr>
          <w:color w:val="000000"/>
          <w:sz w:val="22"/>
          <w:szCs w:val="22"/>
          <w:bdr w:val="none" w:sz="0" w:space="0" w:color="auto" w:frame="1"/>
          <w:lang w:eastAsia="es-CO"/>
        </w:rPr>
        <w:t> para fijar el contenido, el alcance y los efectos de la norma interpretada y sobre la que se propone el control de constitucionalidad</w:t>
      </w:r>
      <w:bookmarkEnd w:id="11"/>
      <w:r w:rsidR="007F2519" w:rsidRPr="007F2519">
        <w:rPr>
          <w:color w:val="000000"/>
          <w:sz w:val="22"/>
          <w:szCs w:val="22"/>
          <w:lang w:eastAsia="es-CO"/>
        </w:rPr>
        <w:t>. De tal suerte, quien demanda una interpretación judicial debe demostrar que sus reparos se enfocan en una norma de derecho viviente y que, por ende, la Corte Constitucional está facultada para ejercer control constitucional en relación con ella.</w:t>
      </w:r>
    </w:p>
    <w:p w14:paraId="47FBE160" w14:textId="77777777" w:rsidR="007F2519" w:rsidRPr="007F2519" w:rsidRDefault="007F2519" w:rsidP="00E067C2">
      <w:pPr>
        <w:shd w:val="clear" w:color="auto" w:fill="FFFFFF"/>
        <w:ind w:left="567" w:right="617"/>
        <w:jc w:val="both"/>
        <w:textAlignment w:val="baseline"/>
        <w:rPr>
          <w:color w:val="2D2D2D"/>
          <w:sz w:val="22"/>
          <w:szCs w:val="22"/>
          <w:lang w:eastAsia="es-CO"/>
        </w:rPr>
      </w:pPr>
      <w:r w:rsidRPr="007F2519">
        <w:rPr>
          <w:i/>
          <w:iCs/>
          <w:color w:val="000000"/>
          <w:sz w:val="22"/>
          <w:szCs w:val="22"/>
          <w:lang w:eastAsia="es-CO"/>
        </w:rPr>
        <w:t> </w:t>
      </w:r>
    </w:p>
    <w:p w14:paraId="2501F90B" w14:textId="5421FAB2" w:rsidR="007F2519" w:rsidRPr="007F2519" w:rsidRDefault="00E067C2" w:rsidP="00E067C2">
      <w:pPr>
        <w:shd w:val="clear" w:color="auto" w:fill="FFFFFF"/>
        <w:ind w:left="567" w:right="617"/>
        <w:jc w:val="both"/>
        <w:textAlignment w:val="baseline"/>
        <w:rPr>
          <w:color w:val="2D2D2D"/>
          <w:sz w:val="22"/>
          <w:szCs w:val="22"/>
          <w:lang w:eastAsia="es-CO"/>
        </w:rPr>
      </w:pPr>
      <w:r w:rsidRPr="00E067C2">
        <w:rPr>
          <w:color w:val="000000"/>
          <w:sz w:val="22"/>
          <w:szCs w:val="22"/>
          <w:lang w:eastAsia="es-CO"/>
        </w:rPr>
        <w:t>(…)</w:t>
      </w:r>
      <w:r w:rsidR="007F2519" w:rsidRPr="007F2519">
        <w:rPr>
          <w:color w:val="000000"/>
          <w:sz w:val="22"/>
          <w:szCs w:val="22"/>
          <w:lang w:eastAsia="es-CO"/>
        </w:rPr>
        <w:t> Cabe destacar que el control que ejerce la Corte Constitucional sobre el derecho viviente se contrae a la valoración de la correspondencia entre la norma abstracta derivada de la interpretación de una alta Corte y la Constitución. Solo al advertir una transgresión </w:t>
      </w:r>
      <w:r w:rsidR="007F2519" w:rsidRPr="007F2519">
        <w:rPr>
          <w:i/>
          <w:iCs/>
          <w:color w:val="2D2D2D"/>
          <w:sz w:val="22"/>
          <w:szCs w:val="22"/>
          <w:lang w:eastAsia="es-CO"/>
        </w:rPr>
        <w:t>protuberante, manifiesta y palmaria</w:t>
      </w:r>
      <w:r w:rsidR="007F2519" w:rsidRPr="007F2519">
        <w:rPr>
          <w:color w:val="000000"/>
          <w:sz w:val="22"/>
          <w:szCs w:val="22"/>
          <w:lang w:eastAsia="es-CO"/>
        </w:rPr>
        <w:t> de la Constitución</w:t>
      </w:r>
      <w:r w:rsidRPr="00E067C2">
        <w:rPr>
          <w:color w:val="000000"/>
          <w:sz w:val="22"/>
          <w:szCs w:val="22"/>
          <w:lang w:eastAsia="es-CO"/>
        </w:rPr>
        <w:t>,</w:t>
      </w:r>
      <w:r w:rsidR="007F2519" w:rsidRPr="007F2519">
        <w:rPr>
          <w:color w:val="000000"/>
          <w:sz w:val="22"/>
          <w:szCs w:val="22"/>
          <w:lang w:eastAsia="es-CO"/>
        </w:rPr>
        <w:t> la Corte queda habilitada para expulsar del ordenamiento jurídico la interpretación judicial evaluada. Al reconocer una norma de derecho viviente como inconstitucional, los fallos de la Corte declaran exequible la disposición legal de la que surgió aquella, bajo el entendido de que esa comprensión inconstitucional particular es inadmisible. No obstante, aquella habilitación no faculta a esta Corporación para dotar de un sentido específico a la norma, aspecto que debe continuar reservado al juez ordinario. Este sigue facultado para interpretar la norma en todos los sentidos posibles, excluyendo el que la Corte expulsa del orden jurídico, pues se trata de una labor privativa de aquel.</w:t>
      </w:r>
      <w:r w:rsidRPr="001A72C7">
        <w:rPr>
          <w:color w:val="000000"/>
          <w:sz w:val="22"/>
          <w:szCs w:val="22"/>
          <w:lang w:eastAsia="es-CO"/>
        </w:rPr>
        <w:t>”</w:t>
      </w:r>
    </w:p>
    <w:p w14:paraId="255466BB" w14:textId="77777777" w:rsidR="007F2519" w:rsidRPr="001A72C7" w:rsidRDefault="007F2519" w:rsidP="00E067C2">
      <w:pPr>
        <w:rPr>
          <w:color w:val="000000" w:themeColor="text1"/>
          <w:sz w:val="28"/>
          <w:szCs w:val="28"/>
        </w:rPr>
      </w:pPr>
    </w:p>
    <w:p w14:paraId="45FACDA5" w14:textId="702754BE" w:rsidR="0052070A" w:rsidRPr="001A72C7" w:rsidRDefault="0052070A"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1A72C7">
        <w:rPr>
          <w:color w:val="000000" w:themeColor="text1"/>
          <w:sz w:val="28"/>
          <w:szCs w:val="28"/>
          <w:lang w:val="es-ES_tradnl"/>
        </w:rPr>
        <w:t xml:space="preserve">Con fundamento en lo anterior, </w:t>
      </w:r>
      <w:r w:rsidR="001A72C7" w:rsidRPr="001A72C7">
        <w:rPr>
          <w:color w:val="000000" w:themeColor="text1"/>
          <w:sz w:val="28"/>
          <w:szCs w:val="28"/>
          <w:lang w:val="es-ES_tradnl"/>
        </w:rPr>
        <w:t xml:space="preserve">y respecto del caso concreto, </w:t>
      </w:r>
      <w:r w:rsidRPr="001A72C7">
        <w:rPr>
          <w:color w:val="000000" w:themeColor="text1"/>
          <w:sz w:val="28"/>
          <w:szCs w:val="28"/>
          <w:lang w:val="es-ES_tradnl"/>
        </w:rPr>
        <w:t xml:space="preserve">la Sala puede colegir que </w:t>
      </w:r>
      <w:r w:rsidR="004C4F8F" w:rsidRPr="001A72C7">
        <w:rPr>
          <w:color w:val="000000" w:themeColor="text1"/>
          <w:sz w:val="28"/>
          <w:szCs w:val="28"/>
          <w:lang w:val="es-ES_tradnl"/>
        </w:rPr>
        <w:t>el objeto de la impugnación</w:t>
      </w:r>
      <w:r w:rsidRPr="001A72C7">
        <w:rPr>
          <w:color w:val="000000" w:themeColor="text1"/>
          <w:sz w:val="28"/>
          <w:szCs w:val="28"/>
          <w:lang w:val="es-ES_tradnl"/>
        </w:rPr>
        <w:t xml:space="preserve"> </w:t>
      </w:r>
      <w:r w:rsidR="00057077" w:rsidRPr="001A72C7">
        <w:rPr>
          <w:color w:val="000000" w:themeColor="text1"/>
          <w:sz w:val="28"/>
          <w:szCs w:val="28"/>
          <w:lang w:val="es-ES_tradnl"/>
        </w:rPr>
        <w:t xml:space="preserve">no </w:t>
      </w:r>
      <w:r w:rsidR="004C4F8F" w:rsidRPr="001A72C7">
        <w:rPr>
          <w:color w:val="000000" w:themeColor="text1"/>
          <w:sz w:val="28"/>
          <w:szCs w:val="28"/>
          <w:lang w:val="es-ES_tradnl"/>
        </w:rPr>
        <w:t>es</w:t>
      </w:r>
      <w:r w:rsidR="003B0827" w:rsidRPr="001A72C7">
        <w:rPr>
          <w:color w:val="000000" w:themeColor="text1"/>
          <w:sz w:val="28"/>
          <w:szCs w:val="28"/>
          <w:lang w:val="es-ES_tradnl"/>
        </w:rPr>
        <w:t xml:space="preserve"> </w:t>
      </w:r>
      <w:r w:rsidR="00057077" w:rsidRPr="001A72C7">
        <w:rPr>
          <w:color w:val="000000" w:themeColor="text1"/>
          <w:sz w:val="28"/>
          <w:szCs w:val="28"/>
          <w:lang w:val="es-ES_tradnl"/>
        </w:rPr>
        <w:t xml:space="preserve">el texto de una disposición legal, sino </w:t>
      </w:r>
      <w:r w:rsidR="003B0827" w:rsidRPr="001A72C7">
        <w:rPr>
          <w:color w:val="000000" w:themeColor="text1"/>
          <w:sz w:val="28"/>
          <w:szCs w:val="28"/>
          <w:lang w:val="es-ES_tradnl"/>
        </w:rPr>
        <w:t>una</w:t>
      </w:r>
      <w:r w:rsidR="00057077" w:rsidRPr="001A72C7">
        <w:rPr>
          <w:color w:val="000000" w:themeColor="text1"/>
          <w:sz w:val="28"/>
          <w:szCs w:val="28"/>
          <w:lang w:val="es-ES_tradnl"/>
        </w:rPr>
        <w:t xml:space="preserve"> </w:t>
      </w:r>
      <w:r w:rsidRPr="001A72C7">
        <w:rPr>
          <w:color w:val="000000" w:themeColor="text1"/>
          <w:sz w:val="28"/>
          <w:szCs w:val="28"/>
          <w:lang w:val="es-ES_tradnl"/>
        </w:rPr>
        <w:t xml:space="preserve">norma jurídica que se deriva de la interpretación </w:t>
      </w:r>
      <w:r w:rsidR="0081174C" w:rsidRPr="001A72C7">
        <w:rPr>
          <w:color w:val="000000" w:themeColor="text1"/>
          <w:sz w:val="28"/>
          <w:szCs w:val="28"/>
          <w:lang w:val="es-ES_tradnl"/>
        </w:rPr>
        <w:t>de los artículo</w:t>
      </w:r>
      <w:r w:rsidR="00C73988" w:rsidRPr="001A72C7">
        <w:rPr>
          <w:color w:val="000000" w:themeColor="text1"/>
          <w:sz w:val="28"/>
          <w:szCs w:val="28"/>
          <w:lang w:val="es-ES_tradnl"/>
        </w:rPr>
        <w:t>s</w:t>
      </w:r>
      <w:r w:rsidR="0081174C" w:rsidRPr="001A72C7">
        <w:rPr>
          <w:color w:val="000000" w:themeColor="text1"/>
          <w:sz w:val="28"/>
          <w:szCs w:val="28"/>
          <w:lang w:val="es-ES_tradnl"/>
        </w:rPr>
        <w:t xml:space="preserve"> 63 del CP y 177 del CPP </w:t>
      </w:r>
      <w:r w:rsidRPr="001A72C7">
        <w:rPr>
          <w:color w:val="000000" w:themeColor="text1"/>
          <w:sz w:val="28"/>
          <w:szCs w:val="28"/>
          <w:lang w:val="es-ES_tradnl"/>
        </w:rPr>
        <w:t xml:space="preserve">realizada por la Sala de Casación Penal de la Corte Suprema de Justicia </w:t>
      </w:r>
      <w:r w:rsidR="003B0827" w:rsidRPr="001A72C7">
        <w:rPr>
          <w:color w:val="000000" w:themeColor="text1"/>
          <w:sz w:val="28"/>
          <w:szCs w:val="28"/>
          <w:lang w:val="es-ES_tradnl"/>
        </w:rPr>
        <w:t xml:space="preserve">y </w:t>
      </w:r>
      <w:r w:rsidR="0081174C" w:rsidRPr="001A72C7">
        <w:rPr>
          <w:color w:val="000000" w:themeColor="text1"/>
          <w:sz w:val="28"/>
          <w:szCs w:val="28"/>
          <w:lang w:val="es-ES_tradnl"/>
        </w:rPr>
        <w:t>por</w:t>
      </w:r>
      <w:r w:rsidR="003B0827" w:rsidRPr="001A72C7">
        <w:rPr>
          <w:color w:val="000000" w:themeColor="text1"/>
          <w:sz w:val="28"/>
          <w:szCs w:val="28"/>
          <w:lang w:val="es-ES_tradnl"/>
        </w:rPr>
        <w:t xml:space="preserve"> algunos tribunales superiores de distrito</w:t>
      </w:r>
      <w:r w:rsidR="001A72C7">
        <w:rPr>
          <w:color w:val="000000" w:themeColor="text1"/>
          <w:sz w:val="28"/>
          <w:szCs w:val="28"/>
          <w:lang w:val="es-ES_tradnl"/>
        </w:rPr>
        <w:t xml:space="preserve"> judicial, según la alegación planteada por el accionante</w:t>
      </w:r>
      <w:r w:rsidR="00B92615" w:rsidRPr="001A72C7">
        <w:rPr>
          <w:color w:val="000000" w:themeColor="text1"/>
          <w:sz w:val="28"/>
          <w:szCs w:val="28"/>
          <w:lang w:val="es-ES_tradnl"/>
        </w:rPr>
        <w:t>.</w:t>
      </w:r>
    </w:p>
    <w:p w14:paraId="41B01360" w14:textId="77777777" w:rsidR="0052070A" w:rsidRPr="001A72C7" w:rsidRDefault="0052070A" w:rsidP="00E067C2">
      <w:pPr>
        <w:pStyle w:val="Prrafodelista"/>
        <w:rPr>
          <w:color w:val="000000" w:themeColor="text1"/>
          <w:sz w:val="28"/>
          <w:szCs w:val="28"/>
          <w:lang w:val="es-ES_tradnl"/>
        </w:rPr>
      </w:pPr>
    </w:p>
    <w:p w14:paraId="341B7A14" w14:textId="4536F536" w:rsidR="00FC55DC" w:rsidRPr="00B25BFF" w:rsidRDefault="00BD7843"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1A72C7">
        <w:rPr>
          <w:color w:val="000000" w:themeColor="text1"/>
          <w:sz w:val="28"/>
          <w:szCs w:val="28"/>
          <w:lang w:val="es-ES_tradnl"/>
        </w:rPr>
        <w:t xml:space="preserve">En este orden de ideas, </w:t>
      </w:r>
      <w:r w:rsidR="001A72C7" w:rsidRPr="001A72C7">
        <w:rPr>
          <w:color w:val="000000" w:themeColor="text1"/>
          <w:sz w:val="28"/>
          <w:szCs w:val="28"/>
          <w:lang w:val="es-ES_tradnl"/>
        </w:rPr>
        <w:t xml:space="preserve">en la </w:t>
      </w:r>
      <w:r w:rsidRPr="001A72C7">
        <w:rPr>
          <w:color w:val="000000" w:themeColor="text1"/>
          <w:sz w:val="28"/>
          <w:szCs w:val="28"/>
          <w:lang w:val="es-ES_tradnl"/>
        </w:rPr>
        <w:t>sentencia C-259 de 2015</w:t>
      </w:r>
      <w:r w:rsidR="000A3715" w:rsidRPr="001A72C7">
        <w:rPr>
          <w:color w:val="000000" w:themeColor="text1"/>
          <w:sz w:val="28"/>
          <w:szCs w:val="28"/>
          <w:lang w:val="es-ES_tradnl"/>
        </w:rPr>
        <w:t xml:space="preserve">, reiterada en la </w:t>
      </w:r>
      <w:r w:rsidR="001A72C7">
        <w:rPr>
          <w:color w:val="000000" w:themeColor="text1"/>
          <w:sz w:val="28"/>
          <w:szCs w:val="28"/>
          <w:lang w:val="es-ES_tradnl"/>
        </w:rPr>
        <w:t xml:space="preserve">sentencia </w:t>
      </w:r>
      <w:r w:rsidR="000A3715" w:rsidRPr="001A72C7">
        <w:rPr>
          <w:color w:val="000000" w:themeColor="text1"/>
          <w:sz w:val="28"/>
          <w:szCs w:val="28"/>
          <w:lang w:val="es-ES_tradnl"/>
        </w:rPr>
        <w:t>C-212 de 2024,</w:t>
      </w:r>
      <w:r w:rsidRPr="001A72C7">
        <w:rPr>
          <w:color w:val="000000" w:themeColor="text1"/>
          <w:sz w:val="28"/>
          <w:szCs w:val="28"/>
          <w:lang w:val="es-ES_tradnl"/>
        </w:rPr>
        <w:t xml:space="preserve"> la Corte explicó que la teoría del </w:t>
      </w:r>
      <w:r w:rsidRPr="001A72C7">
        <w:rPr>
          <w:i/>
          <w:iCs/>
          <w:color w:val="000000" w:themeColor="text1"/>
          <w:sz w:val="28"/>
          <w:szCs w:val="28"/>
          <w:lang w:val="es-ES_tradnl"/>
        </w:rPr>
        <w:t>derecho viviente</w:t>
      </w:r>
      <w:r w:rsidRPr="001A72C7">
        <w:rPr>
          <w:color w:val="000000" w:themeColor="text1"/>
          <w:sz w:val="28"/>
          <w:szCs w:val="28"/>
          <w:lang w:val="es-ES_tradnl"/>
        </w:rPr>
        <w:t xml:space="preserve"> justifica el control </w:t>
      </w:r>
      <w:r w:rsidRPr="001A72C7">
        <w:rPr>
          <w:color w:val="000000" w:themeColor="text1"/>
          <w:sz w:val="28"/>
          <w:szCs w:val="28"/>
          <w:lang w:val="es-ES_tradnl"/>
        </w:rPr>
        <w:lastRenderedPageBreak/>
        <w:t>constitucional</w:t>
      </w:r>
      <w:r w:rsidR="001A72C7">
        <w:rPr>
          <w:color w:val="000000" w:themeColor="text1"/>
          <w:sz w:val="28"/>
          <w:szCs w:val="28"/>
          <w:lang w:val="es-ES_tradnl"/>
        </w:rPr>
        <w:t>, como ya se ha dicho,</w:t>
      </w:r>
      <w:r w:rsidRPr="001A72C7">
        <w:rPr>
          <w:color w:val="000000" w:themeColor="text1"/>
          <w:sz w:val="28"/>
          <w:szCs w:val="28"/>
          <w:lang w:val="es-ES_tradnl"/>
        </w:rPr>
        <w:t xml:space="preserve"> de interpretaciones judiciales que colisionen con la Constitución. De manera que el juicio se basa en el análisis del contexto dentro del cual la norma jurídica “</w:t>
      </w:r>
      <w:r w:rsidRPr="001A72C7">
        <w:rPr>
          <w:i/>
          <w:iCs/>
          <w:color w:val="000000" w:themeColor="text1"/>
          <w:sz w:val="28"/>
          <w:szCs w:val="28"/>
          <w:lang w:val="es-ES_tradnl"/>
        </w:rPr>
        <w:t>ha vivido</w:t>
      </w:r>
      <w:r w:rsidRPr="001A72C7">
        <w:rPr>
          <w:color w:val="000000" w:themeColor="text1"/>
          <w:sz w:val="28"/>
          <w:szCs w:val="28"/>
          <w:lang w:val="es-ES_tradnl"/>
        </w:rPr>
        <w:t>”</w:t>
      </w:r>
      <w:r w:rsidR="0052070A" w:rsidRPr="001A72C7">
        <w:rPr>
          <w:color w:val="000000" w:themeColor="text1"/>
          <w:sz w:val="28"/>
          <w:szCs w:val="28"/>
          <w:lang w:val="es-ES_tradnl"/>
        </w:rPr>
        <w:t xml:space="preserve">, </w:t>
      </w:r>
      <w:r w:rsidR="0052070A" w:rsidRPr="001A72C7">
        <w:rPr>
          <w:color w:val="000000" w:themeColor="text1"/>
          <w:sz w:val="28"/>
          <w:szCs w:val="28"/>
          <w:shd w:val="clear" w:color="auto" w:fill="FFFFFF"/>
          <w:lang w:val="es-ES_tradnl"/>
        </w:rPr>
        <w:t xml:space="preserve">de modo que el pronunciamiento de la Corte no se funde en los sentidos hipotéticos de la disposición controlada, sino en su </w:t>
      </w:r>
      <w:r w:rsidR="0052070A" w:rsidRPr="00B25BFF">
        <w:rPr>
          <w:color w:val="000000" w:themeColor="text1"/>
          <w:sz w:val="28"/>
          <w:szCs w:val="28"/>
          <w:shd w:val="clear" w:color="auto" w:fill="FFFFFF"/>
          <w:lang w:val="es-ES_tradnl"/>
        </w:rPr>
        <w:t>“</w:t>
      </w:r>
      <w:r w:rsidR="0052070A" w:rsidRPr="00B25BFF">
        <w:rPr>
          <w:i/>
          <w:iCs/>
          <w:color w:val="000000" w:themeColor="text1"/>
          <w:sz w:val="28"/>
          <w:szCs w:val="28"/>
          <w:shd w:val="clear" w:color="auto" w:fill="FFFFFF"/>
          <w:lang w:val="es-ES_tradnl"/>
        </w:rPr>
        <w:t>sentido real</w:t>
      </w:r>
      <w:r w:rsidR="0052070A" w:rsidRPr="00B25BFF">
        <w:rPr>
          <w:color w:val="000000" w:themeColor="text1"/>
          <w:sz w:val="28"/>
          <w:szCs w:val="28"/>
          <w:shd w:val="clear" w:color="auto" w:fill="FFFFFF"/>
          <w:lang w:val="es-ES_tradnl"/>
        </w:rPr>
        <w:t>” conferido por “</w:t>
      </w:r>
      <w:r w:rsidR="0052070A" w:rsidRPr="00B25BFF">
        <w:rPr>
          <w:i/>
          <w:iCs/>
          <w:color w:val="000000" w:themeColor="text1"/>
          <w:sz w:val="28"/>
          <w:szCs w:val="28"/>
          <w:shd w:val="clear" w:color="auto" w:fill="FFFFFF"/>
          <w:lang w:val="es-ES_tradnl"/>
        </w:rPr>
        <w:t>la jurisdicción responsable de aplicarla</w:t>
      </w:r>
      <w:r w:rsidR="0052070A" w:rsidRPr="00B25BFF">
        <w:rPr>
          <w:color w:val="000000" w:themeColor="text1"/>
          <w:sz w:val="28"/>
          <w:szCs w:val="28"/>
          <w:shd w:val="clear" w:color="auto" w:fill="FFFFFF"/>
          <w:lang w:val="es-ES_tradnl"/>
        </w:rPr>
        <w:t>”, de modo que</w:t>
      </w:r>
      <w:r w:rsidR="0052070A" w:rsidRPr="001A72C7">
        <w:rPr>
          <w:color w:val="000000" w:themeColor="text1"/>
          <w:sz w:val="28"/>
          <w:szCs w:val="28"/>
          <w:shd w:val="clear" w:color="auto" w:fill="FFFFFF"/>
          <w:lang w:val="es-ES_tradnl"/>
        </w:rPr>
        <w:t xml:space="preserve"> si ese sentido real está “</w:t>
      </w:r>
      <w:r w:rsidR="0052070A" w:rsidRPr="001A72C7">
        <w:rPr>
          <w:i/>
          <w:iCs/>
          <w:color w:val="000000" w:themeColor="text1"/>
          <w:sz w:val="28"/>
          <w:szCs w:val="28"/>
          <w:shd w:val="clear" w:color="auto" w:fill="FFFFFF"/>
          <w:lang w:val="es-ES_tradnl"/>
        </w:rPr>
        <w:t>claramente establecido y ofrece rasgos de coherencia y unidad”</w:t>
      </w:r>
      <w:r w:rsidR="0052070A" w:rsidRPr="00BE1FB5">
        <w:rPr>
          <w:color w:val="000000" w:themeColor="text1"/>
          <w:sz w:val="28"/>
          <w:szCs w:val="28"/>
          <w:shd w:val="clear" w:color="auto" w:fill="FFFFFF"/>
          <w:lang w:val="es-ES_tradnl"/>
        </w:rPr>
        <w:t xml:space="preserve">, la Corte debe admitirlo </w:t>
      </w:r>
      <w:r w:rsidR="0052070A" w:rsidRPr="001A72C7">
        <w:rPr>
          <w:i/>
          <w:iCs/>
          <w:color w:val="000000" w:themeColor="text1"/>
          <w:sz w:val="28"/>
          <w:szCs w:val="28"/>
          <w:shd w:val="clear" w:color="auto" w:fill="FFFFFF"/>
          <w:lang w:val="es-ES_tradnl"/>
        </w:rPr>
        <w:t xml:space="preserve">“como el sentido en que dicha preceptiva ha de ser interpretada, </w:t>
      </w:r>
      <w:r w:rsidR="0052070A" w:rsidRPr="00B25BFF">
        <w:rPr>
          <w:i/>
          <w:iCs/>
          <w:color w:val="000000" w:themeColor="text1"/>
          <w:sz w:val="28"/>
          <w:szCs w:val="28"/>
          <w:shd w:val="clear" w:color="auto" w:fill="FFFFFF"/>
          <w:lang w:val="es-ES_tradnl"/>
        </w:rPr>
        <w:t xml:space="preserve">al momento de decidir sobre su </w:t>
      </w:r>
      <w:proofErr w:type="spellStart"/>
      <w:r w:rsidR="0052070A" w:rsidRPr="00B25BFF">
        <w:rPr>
          <w:i/>
          <w:iCs/>
          <w:color w:val="000000" w:themeColor="text1"/>
          <w:sz w:val="28"/>
          <w:szCs w:val="28"/>
          <w:shd w:val="clear" w:color="auto" w:fill="FFFFFF"/>
          <w:lang w:val="es-ES_tradnl"/>
        </w:rPr>
        <w:t>exequibilidad</w:t>
      </w:r>
      <w:proofErr w:type="spellEnd"/>
      <w:r w:rsidR="0052070A" w:rsidRPr="00B25BFF">
        <w:rPr>
          <w:color w:val="000000" w:themeColor="text1"/>
          <w:sz w:val="28"/>
          <w:szCs w:val="28"/>
          <w:shd w:val="clear" w:color="auto" w:fill="FFFFFF"/>
          <w:lang w:val="es-ES_tradnl"/>
        </w:rPr>
        <w:t>”</w:t>
      </w:r>
      <w:r w:rsidR="0052070A" w:rsidRPr="00B25BFF">
        <w:rPr>
          <w:rStyle w:val="Refdenotaalpie"/>
          <w:color w:val="000000" w:themeColor="text1"/>
          <w:shd w:val="clear" w:color="auto" w:fill="FFFFFF"/>
          <w:lang w:val="es-ES_tradnl"/>
        </w:rPr>
        <w:footnoteReference w:id="28"/>
      </w:r>
      <w:r w:rsidR="0052070A" w:rsidRPr="00B25BFF">
        <w:rPr>
          <w:color w:val="000000" w:themeColor="text1"/>
          <w:sz w:val="28"/>
          <w:szCs w:val="28"/>
          <w:shd w:val="clear" w:color="auto" w:fill="FFFFFF"/>
          <w:lang w:val="es-ES_tradnl"/>
        </w:rPr>
        <w:t>.</w:t>
      </w:r>
    </w:p>
    <w:p w14:paraId="78448166" w14:textId="77777777" w:rsidR="00FC55DC" w:rsidRPr="00B25BFF" w:rsidRDefault="00FC55DC" w:rsidP="00E067C2">
      <w:pPr>
        <w:pStyle w:val="Prrafodelista"/>
        <w:rPr>
          <w:bCs/>
          <w:color w:val="000000" w:themeColor="text1"/>
          <w:sz w:val="28"/>
          <w:szCs w:val="28"/>
          <w:lang w:val="es-CO"/>
        </w:rPr>
      </w:pPr>
    </w:p>
    <w:p w14:paraId="4D38E39D" w14:textId="7FFEA105" w:rsidR="00EF69E8" w:rsidRPr="00B25BFF" w:rsidRDefault="00B25BFF"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B25BFF">
        <w:rPr>
          <w:bCs/>
          <w:color w:val="000000" w:themeColor="text1"/>
          <w:sz w:val="28"/>
          <w:szCs w:val="28"/>
          <w:lang w:val="es-CO"/>
        </w:rPr>
        <w:t>En todo caso, e</w:t>
      </w:r>
      <w:r w:rsidR="00C82D4A" w:rsidRPr="00B25BFF">
        <w:rPr>
          <w:bCs/>
          <w:color w:val="000000" w:themeColor="text1"/>
          <w:sz w:val="28"/>
          <w:szCs w:val="28"/>
          <w:lang w:val="es-CO"/>
        </w:rPr>
        <w:t xml:space="preserve">n criterio de la Sala Plena, </w:t>
      </w:r>
      <w:r w:rsidR="00EF69E8" w:rsidRPr="00B25BFF">
        <w:rPr>
          <w:bCs/>
          <w:color w:val="000000" w:themeColor="text1"/>
          <w:sz w:val="28"/>
          <w:szCs w:val="28"/>
          <w:lang w:val="es-CO"/>
        </w:rPr>
        <w:t xml:space="preserve">para que procedan las demandas </w:t>
      </w:r>
      <w:r w:rsidRPr="00B25BFF">
        <w:rPr>
          <w:bCs/>
          <w:color w:val="000000" w:themeColor="text1"/>
          <w:sz w:val="28"/>
          <w:szCs w:val="28"/>
          <w:lang w:val="es-CO"/>
        </w:rPr>
        <w:t>planteadas contra</w:t>
      </w:r>
      <w:r w:rsidR="00EF69E8" w:rsidRPr="00B25BFF">
        <w:rPr>
          <w:bCs/>
          <w:color w:val="000000" w:themeColor="text1"/>
          <w:sz w:val="28"/>
          <w:szCs w:val="28"/>
          <w:lang w:val="es-CO"/>
        </w:rPr>
        <w:t xml:space="preserve"> normas jurídicas </w:t>
      </w:r>
      <w:r w:rsidRPr="00B25BFF">
        <w:rPr>
          <w:bCs/>
          <w:color w:val="000000" w:themeColor="text1"/>
          <w:sz w:val="28"/>
          <w:szCs w:val="28"/>
          <w:lang w:val="es-CO"/>
        </w:rPr>
        <w:t xml:space="preserve">derivadas del derecho viviente, </w:t>
      </w:r>
      <w:r w:rsidR="00EF69E8" w:rsidRPr="00B25BFF">
        <w:rPr>
          <w:bCs/>
          <w:color w:val="000000" w:themeColor="text1"/>
          <w:sz w:val="28"/>
          <w:szCs w:val="28"/>
          <w:lang w:val="es-CO"/>
        </w:rPr>
        <w:t xml:space="preserve">esta corporación ha exigido al demandante una mayor carga argumentativa en el cumplimiento de los requisitos previstos en el artículo 2 del </w:t>
      </w:r>
      <w:r w:rsidRPr="00B25BFF">
        <w:rPr>
          <w:bCs/>
          <w:color w:val="000000" w:themeColor="text1"/>
          <w:sz w:val="28"/>
          <w:szCs w:val="28"/>
          <w:lang w:val="es-CO"/>
        </w:rPr>
        <w:t>D</w:t>
      </w:r>
      <w:r w:rsidR="00EF69E8" w:rsidRPr="00B25BFF">
        <w:rPr>
          <w:bCs/>
          <w:color w:val="000000" w:themeColor="text1"/>
          <w:sz w:val="28"/>
          <w:szCs w:val="28"/>
          <w:lang w:val="es-CO"/>
        </w:rPr>
        <w:t xml:space="preserve">ecreto </w:t>
      </w:r>
      <w:r w:rsidRPr="00B25BFF">
        <w:rPr>
          <w:bCs/>
          <w:color w:val="000000" w:themeColor="text1"/>
          <w:sz w:val="28"/>
          <w:szCs w:val="28"/>
          <w:lang w:val="es-CO"/>
        </w:rPr>
        <w:t xml:space="preserve">Ley </w:t>
      </w:r>
      <w:r w:rsidR="00EF69E8" w:rsidRPr="00B25BFF">
        <w:rPr>
          <w:bCs/>
          <w:color w:val="000000" w:themeColor="text1"/>
          <w:sz w:val="28"/>
          <w:szCs w:val="28"/>
          <w:lang w:val="es-CO"/>
        </w:rPr>
        <w:t>2067 de 1991.</w:t>
      </w:r>
      <w:r w:rsidRPr="00B25BFF">
        <w:rPr>
          <w:bCs/>
          <w:color w:val="000000" w:themeColor="text1"/>
          <w:sz w:val="28"/>
          <w:szCs w:val="28"/>
          <w:lang w:val="es-CO"/>
        </w:rPr>
        <w:t xml:space="preserve"> Tales requisitos fueron sintetizados en l</w:t>
      </w:r>
      <w:r w:rsidR="00EF69E8" w:rsidRPr="00B25BFF">
        <w:rPr>
          <w:bCs/>
          <w:color w:val="000000" w:themeColor="text1"/>
          <w:sz w:val="28"/>
          <w:szCs w:val="28"/>
          <w:lang w:val="es-CO"/>
        </w:rPr>
        <w:t xml:space="preserve">a sentencia C-802 de </w:t>
      </w:r>
      <w:r w:rsidRPr="00B25BFF">
        <w:rPr>
          <w:bCs/>
          <w:color w:val="000000" w:themeColor="text1"/>
          <w:sz w:val="28"/>
          <w:szCs w:val="28"/>
          <w:lang w:val="es-CO"/>
        </w:rPr>
        <w:t>2008, en los siguientes términos:</w:t>
      </w:r>
    </w:p>
    <w:p w14:paraId="0667CF51" w14:textId="4E5AFB05" w:rsidR="00062F4C" w:rsidRPr="00B25BFF" w:rsidRDefault="00062F4C" w:rsidP="00E067C2">
      <w:pPr>
        <w:shd w:val="clear" w:color="auto" w:fill="FFFFFF"/>
        <w:jc w:val="both"/>
        <w:textAlignment w:val="baseline"/>
        <w:rPr>
          <w:color w:val="000000" w:themeColor="text1"/>
          <w:sz w:val="27"/>
          <w:szCs w:val="27"/>
          <w:u w:val="single"/>
        </w:rPr>
      </w:pPr>
    </w:p>
    <w:p w14:paraId="578915F7" w14:textId="1E625289"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“a.- En cuanto al </w:t>
      </w:r>
      <w:r w:rsidRPr="00B25BFF">
        <w:rPr>
          <w:b/>
          <w:bCs/>
          <w:color w:val="000000" w:themeColor="text1"/>
          <w:sz w:val="22"/>
          <w:szCs w:val="22"/>
        </w:rPr>
        <w:t>requisito de claridad</w:t>
      </w:r>
      <w:r w:rsidRPr="00B25BFF">
        <w:rPr>
          <w:color w:val="000000" w:themeColor="text1"/>
          <w:sz w:val="22"/>
          <w:szCs w:val="22"/>
        </w:rPr>
        <w:t>, el ciudadano no s</w:t>
      </w:r>
      <w:r w:rsidR="00B25BFF">
        <w:rPr>
          <w:color w:val="000000" w:themeColor="text1"/>
          <w:sz w:val="22"/>
          <w:szCs w:val="22"/>
        </w:rPr>
        <w:t>o</w:t>
      </w:r>
      <w:r w:rsidRPr="00B25BFF">
        <w:rPr>
          <w:color w:val="000000" w:themeColor="text1"/>
          <w:sz w:val="22"/>
          <w:szCs w:val="22"/>
        </w:rPr>
        <w:t>lo debe señalar cuál es la disposición acusada como inconstitucional (numeral 1º del artículo 3 del Decreto 2067 de 1991), sino que, en demandas contra interpretaciones judiciales, es necesario indicar con absoluta precisión cuál es el contenido normativo o ‘norma’ derivada de la disposición acusada. En otras palabras, sólo habrá lugar a un pronunciamiento de fondo ‘</w:t>
      </w:r>
      <w:r w:rsidRPr="00B010AE">
        <w:rPr>
          <w:i/>
          <w:iCs/>
          <w:color w:val="000000" w:themeColor="text1"/>
          <w:sz w:val="22"/>
          <w:szCs w:val="22"/>
        </w:rPr>
        <w:t>cuando se establezca claramente el enunciado o enunciados normativos que según el demandante generan la presunta situación de inconstitucionalidad</w:t>
      </w:r>
      <w:r w:rsidRPr="00B25BFF">
        <w:rPr>
          <w:color w:val="000000" w:themeColor="text1"/>
          <w:sz w:val="22"/>
          <w:szCs w:val="22"/>
        </w:rPr>
        <w:t xml:space="preserve">’. Así, el ciudadano </w:t>
      </w:r>
      <w:r w:rsidRPr="00B25BFF">
        <w:rPr>
          <w:b/>
          <w:bCs/>
          <w:color w:val="000000" w:themeColor="text1"/>
          <w:sz w:val="22"/>
          <w:szCs w:val="22"/>
        </w:rPr>
        <w:t>debe indicar, de manera suficientemente comprensible, cuál es la interpretación de la disposición acusada que considera contraria a la Constitución, dejando de lado todo tipo de ambigüedades o anfibologías en la identificación de la norma impugnada</w:t>
      </w:r>
      <w:r w:rsidRPr="00B25BFF">
        <w:rPr>
          <w:color w:val="000000" w:themeColor="text1"/>
          <w:sz w:val="22"/>
          <w:szCs w:val="22"/>
        </w:rPr>
        <w:t>.</w:t>
      </w:r>
    </w:p>
    <w:p w14:paraId="411C7FC5"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7D5E76A3" w14:textId="7B68ACAB"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b.- En cuanto al </w:t>
      </w:r>
      <w:r w:rsidRPr="00B25BFF">
        <w:rPr>
          <w:b/>
          <w:bCs/>
          <w:color w:val="000000" w:themeColor="text1"/>
          <w:sz w:val="22"/>
          <w:szCs w:val="22"/>
        </w:rPr>
        <w:t>requisito de certeza</w:t>
      </w:r>
      <w:r w:rsidRPr="00B25BFF">
        <w:rPr>
          <w:color w:val="000000" w:themeColor="text1"/>
          <w:sz w:val="22"/>
          <w:szCs w:val="22"/>
        </w:rPr>
        <w:t xml:space="preserve">, las demandas contra interpretaciones judiciales comprenden al menos tres dimensiones. Por un lado, </w:t>
      </w:r>
      <w:r w:rsidRPr="00B25BFF">
        <w:rPr>
          <w:b/>
          <w:bCs/>
          <w:color w:val="000000" w:themeColor="text1"/>
          <w:sz w:val="22"/>
          <w:szCs w:val="22"/>
        </w:rPr>
        <w:t>(i)</w:t>
      </w:r>
      <w:r w:rsidRPr="00B25BFF">
        <w:rPr>
          <w:color w:val="000000" w:themeColor="text1"/>
          <w:sz w:val="22"/>
          <w:szCs w:val="22"/>
        </w:rPr>
        <w:t xml:space="preserve"> debe tratarse de una interpretación que realmente fije un contenido normativo derivado de la disposición impugnada. Esto significa que </w:t>
      </w:r>
      <w:r w:rsidRPr="00B25BFF">
        <w:rPr>
          <w:b/>
          <w:bCs/>
          <w:color w:val="000000" w:themeColor="text1"/>
          <w:sz w:val="22"/>
          <w:szCs w:val="22"/>
        </w:rPr>
        <w:t>la interpretación debe derivarse directamente de la disposición demandada</w:t>
      </w:r>
      <w:r w:rsidRPr="00B25BFF">
        <w:rPr>
          <w:color w:val="000000" w:themeColor="text1"/>
          <w:sz w:val="22"/>
          <w:szCs w:val="22"/>
        </w:rPr>
        <w:t>.</w:t>
      </w:r>
    </w:p>
    <w:p w14:paraId="2BFA55C2"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3DB8C7C5" w14:textId="7DDB6F91"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De otro lado, </w:t>
      </w:r>
      <w:r w:rsidRPr="00B25BFF">
        <w:rPr>
          <w:b/>
          <w:bCs/>
          <w:color w:val="000000" w:themeColor="text1"/>
          <w:sz w:val="22"/>
          <w:szCs w:val="22"/>
        </w:rPr>
        <w:t>(</w:t>
      </w:r>
      <w:proofErr w:type="spellStart"/>
      <w:r w:rsidRPr="00B25BFF">
        <w:rPr>
          <w:b/>
          <w:bCs/>
          <w:color w:val="000000" w:themeColor="text1"/>
          <w:sz w:val="22"/>
          <w:szCs w:val="22"/>
        </w:rPr>
        <w:t>ii</w:t>
      </w:r>
      <w:proofErr w:type="spellEnd"/>
      <w:r w:rsidRPr="00B25BFF">
        <w:rPr>
          <w:b/>
          <w:bCs/>
          <w:color w:val="000000" w:themeColor="text1"/>
          <w:sz w:val="22"/>
          <w:szCs w:val="22"/>
        </w:rPr>
        <w:t>) no puede considerarse satisfecho el requisito de certeza cuando el reproche de inconstitucionalidad</w:t>
      </w:r>
      <w:r w:rsidRPr="00B25BFF">
        <w:rPr>
          <w:color w:val="000000" w:themeColor="text1"/>
          <w:sz w:val="22"/>
          <w:szCs w:val="22"/>
        </w:rPr>
        <w:t xml:space="preserve"> se sustenta en simples ‘</w:t>
      </w:r>
      <w:r w:rsidRPr="0008433F">
        <w:rPr>
          <w:i/>
          <w:iCs/>
          <w:color w:val="000000" w:themeColor="text1"/>
          <w:sz w:val="22"/>
          <w:szCs w:val="22"/>
        </w:rPr>
        <w:t>hipótesis hermenéuticas</w:t>
      </w:r>
      <w:r w:rsidRPr="00B25BFF">
        <w:rPr>
          <w:color w:val="000000" w:themeColor="text1"/>
          <w:sz w:val="22"/>
          <w:szCs w:val="22"/>
        </w:rPr>
        <w:t xml:space="preserve">’ que no hallan sustento en una real y cierta interpretación judicial, o donde la interpretación no conduce a las implicaciones reprochadas, sino </w:t>
      </w:r>
      <w:r w:rsidRPr="00B25BFF">
        <w:rPr>
          <w:b/>
          <w:bCs/>
          <w:color w:val="000000" w:themeColor="text1"/>
          <w:sz w:val="22"/>
          <w:szCs w:val="22"/>
        </w:rPr>
        <w:t>que responden a una proposición jurídica inferida por el actor o que recaiga sobre disposiciones que no han sido acusadas</w:t>
      </w:r>
      <w:r w:rsidRPr="00B25BFF">
        <w:rPr>
          <w:color w:val="000000" w:themeColor="text1"/>
          <w:sz w:val="22"/>
          <w:szCs w:val="22"/>
        </w:rPr>
        <w:t xml:space="preserve">. En este punto cobra relevancia la doctrina del derecho viviente, pues el control constitucional sobre interpretaciones judiciales </w:t>
      </w:r>
      <w:r w:rsidR="0021664C" w:rsidRPr="00B25BFF">
        <w:rPr>
          <w:color w:val="000000" w:themeColor="text1"/>
          <w:sz w:val="22"/>
          <w:szCs w:val="22"/>
        </w:rPr>
        <w:t>‘</w:t>
      </w:r>
      <w:r w:rsidRPr="00B010AE">
        <w:rPr>
          <w:i/>
          <w:iCs/>
          <w:color w:val="000000" w:themeColor="text1"/>
          <w:sz w:val="22"/>
          <w:szCs w:val="22"/>
        </w:rPr>
        <w:t>recae sobre el derecho realmente vivido por los ciudadanos, y no sobre contenidos hipotéticos, que podrían eventualmente inferirse del texto acusado, pero que no han tenido ninguna aplicación práctica</w:t>
      </w:r>
      <w:r w:rsidR="0021664C" w:rsidRPr="00B010AE">
        <w:rPr>
          <w:i/>
          <w:iCs/>
          <w:color w:val="000000" w:themeColor="text1"/>
          <w:sz w:val="22"/>
          <w:szCs w:val="22"/>
        </w:rPr>
        <w:t>’</w:t>
      </w:r>
      <w:r w:rsidRPr="00B25BFF">
        <w:rPr>
          <w:color w:val="000000" w:themeColor="text1"/>
          <w:sz w:val="22"/>
          <w:szCs w:val="22"/>
        </w:rPr>
        <w:t>.</w:t>
      </w:r>
    </w:p>
    <w:p w14:paraId="74D4B7AA"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1F96F291"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Finalmente, </w:t>
      </w:r>
      <w:r w:rsidRPr="00B25BFF">
        <w:rPr>
          <w:b/>
          <w:bCs/>
          <w:color w:val="000000" w:themeColor="text1"/>
          <w:sz w:val="22"/>
          <w:szCs w:val="22"/>
        </w:rPr>
        <w:t>(</w:t>
      </w:r>
      <w:proofErr w:type="spellStart"/>
      <w:r w:rsidRPr="00B25BFF">
        <w:rPr>
          <w:b/>
          <w:bCs/>
          <w:color w:val="000000" w:themeColor="text1"/>
          <w:sz w:val="22"/>
          <w:szCs w:val="22"/>
        </w:rPr>
        <w:t>iii</w:t>
      </w:r>
      <w:proofErr w:type="spellEnd"/>
      <w:r w:rsidRPr="00B25BFF">
        <w:rPr>
          <w:b/>
          <w:bCs/>
          <w:color w:val="000000" w:themeColor="text1"/>
          <w:sz w:val="22"/>
          <w:szCs w:val="22"/>
        </w:rPr>
        <w:t>) no es cumple el requisito de certeza cuando la interpretación no se deriva de normas con fuerza material de ley, sino de otro tipo de disposiciones</w:t>
      </w:r>
      <w:r w:rsidRPr="00B25BFF">
        <w:rPr>
          <w:color w:val="000000" w:themeColor="text1"/>
          <w:sz w:val="22"/>
          <w:szCs w:val="22"/>
        </w:rPr>
        <w:t xml:space="preserve"> como actos administrativos, contratos estatales o cualquier otra fuente de derecho. Así ocurrió, por ejemplo, en el Auto 103 de 2005, en cuyo caso la Corte encontró que la demanda se dirigía a cuestionar una práctica habitual de los jueces en la aplicación de un acto administrativo en la jurisdicción ordinaria.</w:t>
      </w:r>
    </w:p>
    <w:p w14:paraId="7CE45740"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5EF42364" w14:textId="22139FE5"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c.- En cuanto al </w:t>
      </w:r>
      <w:r w:rsidRPr="00B25BFF">
        <w:rPr>
          <w:b/>
          <w:bCs/>
          <w:color w:val="000000" w:themeColor="text1"/>
          <w:sz w:val="22"/>
          <w:szCs w:val="22"/>
        </w:rPr>
        <w:t xml:space="preserve">requisito de especificidad, en esta clase de demandas lo que se exige es que las razones de inconstitucionalidad sean puntuales y recaigan sobre el contenido normativo cuyo alcance específico ha sido fijado por la interpretación acusada, pero no sobre la base de argumentos </w:t>
      </w:r>
      <w:r w:rsidR="0021664C" w:rsidRPr="00B25BFF">
        <w:rPr>
          <w:b/>
          <w:bCs/>
          <w:color w:val="000000" w:themeColor="text1"/>
          <w:sz w:val="22"/>
          <w:szCs w:val="22"/>
        </w:rPr>
        <w:t>‘</w:t>
      </w:r>
      <w:r w:rsidRPr="00B010AE">
        <w:rPr>
          <w:b/>
          <w:bCs/>
          <w:i/>
          <w:iCs/>
          <w:color w:val="000000" w:themeColor="text1"/>
          <w:sz w:val="22"/>
          <w:szCs w:val="22"/>
        </w:rPr>
        <w:t>vagos, indeterminados, indirectos, abstractos y globales</w:t>
      </w:r>
      <w:r w:rsidR="0021664C" w:rsidRPr="0008433F">
        <w:rPr>
          <w:b/>
          <w:bCs/>
          <w:color w:val="000000" w:themeColor="text1"/>
          <w:sz w:val="22"/>
          <w:szCs w:val="22"/>
        </w:rPr>
        <w:t>’</w:t>
      </w:r>
      <w:r w:rsidRPr="00B25BFF">
        <w:rPr>
          <w:b/>
          <w:bCs/>
          <w:color w:val="000000" w:themeColor="text1"/>
          <w:sz w:val="22"/>
          <w:szCs w:val="22"/>
        </w:rPr>
        <w:t>.</w:t>
      </w:r>
    </w:p>
    <w:p w14:paraId="56FE97CE"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0012A9EF" w14:textId="2E16C86F"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d.- En cuanto al </w:t>
      </w:r>
      <w:r w:rsidRPr="00B25BFF">
        <w:rPr>
          <w:b/>
          <w:bCs/>
          <w:color w:val="000000" w:themeColor="text1"/>
          <w:sz w:val="22"/>
          <w:szCs w:val="22"/>
        </w:rPr>
        <w:t>requisito de pertinencia</w:t>
      </w:r>
      <w:r w:rsidRPr="00B25BFF">
        <w:rPr>
          <w:color w:val="000000" w:themeColor="text1"/>
          <w:sz w:val="22"/>
          <w:szCs w:val="22"/>
        </w:rPr>
        <w:t xml:space="preserve">, </w:t>
      </w:r>
      <w:r w:rsidRPr="00B25BFF">
        <w:rPr>
          <w:b/>
          <w:bCs/>
          <w:color w:val="000000" w:themeColor="text1"/>
          <w:sz w:val="22"/>
          <w:szCs w:val="22"/>
        </w:rPr>
        <w:t xml:space="preserve">es necesario que el demandante señale cómo y en qué medida la interpretación judicial impugnada plantea al menos un problema de </w:t>
      </w:r>
      <w:r w:rsidRPr="00B25BFF">
        <w:rPr>
          <w:b/>
          <w:bCs/>
          <w:color w:val="000000" w:themeColor="text1"/>
          <w:sz w:val="22"/>
          <w:szCs w:val="22"/>
        </w:rPr>
        <w:lastRenderedPageBreak/>
        <w:t>relevancia constitucional</w:t>
      </w:r>
      <w:r w:rsidRPr="00B25BFF">
        <w:rPr>
          <w:color w:val="000000" w:themeColor="text1"/>
          <w:sz w:val="22"/>
          <w:szCs w:val="22"/>
        </w:rPr>
        <w:t xml:space="preserve">, </w:t>
      </w:r>
      <w:r w:rsidR="0021664C" w:rsidRPr="00B25BFF">
        <w:rPr>
          <w:color w:val="000000" w:themeColor="text1"/>
          <w:sz w:val="22"/>
          <w:szCs w:val="22"/>
        </w:rPr>
        <w:t>‘</w:t>
      </w:r>
      <w:r w:rsidRPr="0008433F">
        <w:rPr>
          <w:i/>
          <w:iCs/>
          <w:color w:val="000000" w:themeColor="text1"/>
          <w:sz w:val="22"/>
          <w:szCs w:val="22"/>
        </w:rPr>
        <w:t>y no razones de orden legal, personal, doctrinal o de simple conveniencia</w:t>
      </w:r>
      <w:r w:rsidR="0021664C" w:rsidRPr="00B25BFF">
        <w:rPr>
          <w:color w:val="000000" w:themeColor="text1"/>
          <w:sz w:val="22"/>
          <w:szCs w:val="22"/>
        </w:rPr>
        <w:t>’</w:t>
      </w:r>
      <w:r w:rsidRPr="00B25BFF">
        <w:rPr>
          <w:color w:val="000000" w:themeColor="text1"/>
          <w:sz w:val="22"/>
          <w:szCs w:val="22"/>
        </w:rPr>
        <w:t>.</w:t>
      </w:r>
    </w:p>
    <w:p w14:paraId="670DDF1C"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1A35123D" w14:textId="77412C48"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La jurisprudencia de esta Corporación ha sido particularmente cuidadosa al examinar el requisito de pertinencia en demandas contra interpretaciones judiciales. De manera insistente ha señalado que el control por esta vía no es procedente si se involucran controversias hermenéuticas o discusiones puramente legales, por cuanto </w:t>
      </w:r>
      <w:r w:rsidR="0021664C" w:rsidRPr="00B25BFF">
        <w:rPr>
          <w:color w:val="000000" w:themeColor="text1"/>
          <w:sz w:val="22"/>
          <w:szCs w:val="22"/>
        </w:rPr>
        <w:t>‘</w:t>
      </w:r>
      <w:r w:rsidRPr="0008433F">
        <w:rPr>
          <w:i/>
          <w:iCs/>
          <w:color w:val="000000" w:themeColor="text1"/>
          <w:sz w:val="22"/>
          <w:szCs w:val="22"/>
        </w:rPr>
        <w:t>no le corresponde al juez constitucional resolver aquellos debates suscitados en torno al proceso de aplicación o interpretación de la ley</w:t>
      </w:r>
      <w:r w:rsidR="0021664C" w:rsidRPr="00B25BFF">
        <w:rPr>
          <w:color w:val="000000" w:themeColor="text1"/>
          <w:sz w:val="22"/>
          <w:szCs w:val="22"/>
        </w:rPr>
        <w:t>’</w:t>
      </w:r>
      <w:r w:rsidRPr="00B25BFF">
        <w:rPr>
          <w:color w:val="000000" w:themeColor="text1"/>
          <w:sz w:val="22"/>
          <w:szCs w:val="22"/>
        </w:rPr>
        <w:t xml:space="preserve">, a menos que la controversia </w:t>
      </w:r>
      <w:r w:rsidR="0021664C" w:rsidRPr="00B25BFF">
        <w:rPr>
          <w:color w:val="000000" w:themeColor="text1"/>
          <w:sz w:val="22"/>
          <w:szCs w:val="22"/>
        </w:rPr>
        <w:t>‘</w:t>
      </w:r>
      <w:r w:rsidRPr="0008433F">
        <w:rPr>
          <w:i/>
          <w:iCs/>
          <w:color w:val="000000" w:themeColor="text1"/>
          <w:sz w:val="22"/>
          <w:szCs w:val="22"/>
        </w:rPr>
        <w:t>trascienda</w:t>
      </w:r>
      <w:r w:rsidRPr="00B25BFF">
        <w:rPr>
          <w:color w:val="000000" w:themeColor="text1"/>
          <w:sz w:val="22"/>
          <w:szCs w:val="22"/>
        </w:rPr>
        <w:t xml:space="preserve"> </w:t>
      </w:r>
      <w:r w:rsidRPr="0008433F">
        <w:rPr>
          <w:i/>
          <w:iCs/>
          <w:color w:val="000000" w:themeColor="text1"/>
          <w:sz w:val="22"/>
          <w:szCs w:val="22"/>
        </w:rPr>
        <w:t>el ámbito estrictamente legal y adquiera relevancia constitucional</w:t>
      </w:r>
      <w:r w:rsidR="0021664C" w:rsidRPr="00B25BFF">
        <w:rPr>
          <w:color w:val="000000" w:themeColor="text1"/>
          <w:sz w:val="22"/>
          <w:szCs w:val="22"/>
        </w:rPr>
        <w:t>’</w:t>
      </w:r>
      <w:r w:rsidRPr="00B25BFF">
        <w:rPr>
          <w:color w:val="000000" w:themeColor="text1"/>
          <w:sz w:val="22"/>
          <w:szCs w:val="22"/>
        </w:rPr>
        <w:t>.</w:t>
      </w:r>
    </w:p>
    <w:p w14:paraId="01095FD7"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5FAE7EFD" w14:textId="31C14C09"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xml:space="preserve">En la misma dirección ha explicado que no compete a la Corte determinar la manera como deben interpretarse los textos legales, ni adelantar una suerte de </w:t>
      </w:r>
      <w:r w:rsidR="0021664C" w:rsidRPr="00B25BFF">
        <w:rPr>
          <w:color w:val="000000" w:themeColor="text1"/>
          <w:sz w:val="22"/>
          <w:szCs w:val="22"/>
        </w:rPr>
        <w:t>‘</w:t>
      </w:r>
      <w:r w:rsidRPr="0008433F">
        <w:rPr>
          <w:i/>
          <w:iCs/>
          <w:color w:val="000000" w:themeColor="text1"/>
          <w:sz w:val="22"/>
          <w:szCs w:val="22"/>
        </w:rPr>
        <w:t>corrección hermenéutica</w:t>
      </w:r>
      <w:r w:rsidR="0021664C" w:rsidRPr="00B25BFF">
        <w:rPr>
          <w:color w:val="000000" w:themeColor="text1"/>
          <w:sz w:val="22"/>
          <w:szCs w:val="22"/>
        </w:rPr>
        <w:t>’</w:t>
      </w:r>
      <w:r w:rsidRPr="00B25BFF">
        <w:rPr>
          <w:color w:val="000000" w:themeColor="text1"/>
          <w:sz w:val="22"/>
          <w:szCs w:val="22"/>
        </w:rPr>
        <w:t xml:space="preserve"> de las decisiones judiciales que fijan el sentido de las leyes, a menos que la decisión implique una problemática de orden constitucional.</w:t>
      </w:r>
    </w:p>
    <w:p w14:paraId="444A9F7B" w14:textId="77777777" w:rsidR="00062F4C" w:rsidRPr="00B25BFF" w:rsidRDefault="00062F4C" w:rsidP="00B25BFF">
      <w:pPr>
        <w:shd w:val="clear" w:color="auto" w:fill="FFFFFF"/>
        <w:ind w:left="567" w:right="475"/>
        <w:jc w:val="both"/>
        <w:textAlignment w:val="baseline"/>
        <w:rPr>
          <w:color w:val="000000" w:themeColor="text1"/>
          <w:sz w:val="22"/>
          <w:szCs w:val="22"/>
          <w:u w:val="single"/>
        </w:rPr>
      </w:pPr>
      <w:r w:rsidRPr="00B25BFF">
        <w:rPr>
          <w:color w:val="000000" w:themeColor="text1"/>
          <w:sz w:val="22"/>
          <w:szCs w:val="22"/>
        </w:rPr>
        <w:t> </w:t>
      </w:r>
    </w:p>
    <w:p w14:paraId="7DD50261" w14:textId="0168793B" w:rsidR="00062F4C" w:rsidRPr="0008433F" w:rsidRDefault="00062F4C" w:rsidP="00B25BFF">
      <w:pPr>
        <w:shd w:val="clear" w:color="auto" w:fill="FFFFFF"/>
        <w:ind w:left="567" w:right="475"/>
        <w:jc w:val="both"/>
        <w:textAlignment w:val="baseline"/>
        <w:rPr>
          <w:color w:val="000000" w:themeColor="text1"/>
          <w:sz w:val="22"/>
          <w:szCs w:val="22"/>
          <w:u w:val="single"/>
        </w:rPr>
      </w:pPr>
      <w:proofErr w:type="spellStart"/>
      <w:r w:rsidRPr="0008433F">
        <w:rPr>
          <w:color w:val="000000" w:themeColor="text1"/>
          <w:sz w:val="22"/>
          <w:szCs w:val="22"/>
        </w:rPr>
        <w:t>e</w:t>
      </w:r>
      <w:proofErr w:type="spellEnd"/>
      <w:r w:rsidRPr="0008433F">
        <w:rPr>
          <w:color w:val="000000" w:themeColor="text1"/>
          <w:sz w:val="22"/>
          <w:szCs w:val="22"/>
        </w:rPr>
        <w:t xml:space="preserve">.- Por último, </w:t>
      </w:r>
      <w:r w:rsidRPr="0008433F">
        <w:rPr>
          <w:b/>
          <w:bCs/>
          <w:color w:val="000000" w:themeColor="text1"/>
          <w:sz w:val="22"/>
          <w:szCs w:val="22"/>
        </w:rPr>
        <w:t>el requisito de suficiencia exige, en demandas contra interpretaciones judiciales, demostrar que se está ante una posición consistente y reiterada del operador jurídico y no producto de un caso en particular</w:t>
      </w:r>
      <w:r w:rsidRPr="0008433F">
        <w:rPr>
          <w:color w:val="000000" w:themeColor="text1"/>
          <w:sz w:val="22"/>
          <w:szCs w:val="22"/>
        </w:rPr>
        <w:t xml:space="preserve">, pues </w:t>
      </w:r>
      <w:r w:rsidR="0021664C" w:rsidRPr="0008433F">
        <w:rPr>
          <w:color w:val="000000" w:themeColor="text1"/>
          <w:sz w:val="22"/>
          <w:szCs w:val="22"/>
        </w:rPr>
        <w:t>‘</w:t>
      </w:r>
      <w:r w:rsidRPr="0008433F">
        <w:rPr>
          <w:i/>
          <w:iCs/>
          <w:color w:val="000000" w:themeColor="text1"/>
          <w:sz w:val="22"/>
          <w:szCs w:val="22"/>
        </w:rPr>
        <w:t>una sola decisión judicial en la que se interprete una norma no constituye per se una doctrina del derecho viviente y en caso de serlo debe demostrarse</w:t>
      </w:r>
      <w:r w:rsidR="0021664C" w:rsidRPr="0008433F">
        <w:rPr>
          <w:color w:val="000000" w:themeColor="text1"/>
          <w:sz w:val="22"/>
          <w:szCs w:val="22"/>
        </w:rPr>
        <w:t>’</w:t>
      </w:r>
      <w:r w:rsidRPr="0008433F">
        <w:rPr>
          <w:color w:val="000000" w:themeColor="text1"/>
          <w:sz w:val="22"/>
          <w:szCs w:val="22"/>
        </w:rPr>
        <w:t xml:space="preserve">. Más allá de una cuestión relativa a la certeza de la interpretación, </w:t>
      </w:r>
      <w:r w:rsidRPr="0008433F">
        <w:rPr>
          <w:b/>
          <w:bCs/>
          <w:color w:val="000000" w:themeColor="text1"/>
          <w:sz w:val="22"/>
          <w:szCs w:val="22"/>
        </w:rPr>
        <w:t>el criterio de suficiencia exige aportar los elementos fácticos y argumentativos para demostrar que la interpretación no sólo existe, sino que plantea una verdadera problemática constitucional</w:t>
      </w:r>
      <w:r w:rsidRPr="0008433F">
        <w:rPr>
          <w:color w:val="000000" w:themeColor="text1"/>
          <w:sz w:val="22"/>
          <w:szCs w:val="22"/>
        </w:rPr>
        <w:t>”</w:t>
      </w:r>
      <w:r w:rsidRPr="0008433F">
        <w:rPr>
          <w:rStyle w:val="Refdenotaalpie"/>
          <w:color w:val="000000" w:themeColor="text1"/>
          <w:sz w:val="22"/>
          <w:szCs w:val="22"/>
        </w:rPr>
        <w:footnoteReference w:id="29"/>
      </w:r>
      <w:r w:rsidRPr="0008433F">
        <w:rPr>
          <w:color w:val="000000" w:themeColor="text1"/>
          <w:sz w:val="22"/>
          <w:szCs w:val="22"/>
        </w:rPr>
        <w:t>.</w:t>
      </w:r>
    </w:p>
    <w:p w14:paraId="1A80EE6E" w14:textId="77777777" w:rsidR="00EF69E8" w:rsidRPr="0008433F" w:rsidRDefault="00EF69E8" w:rsidP="00E067C2">
      <w:pPr>
        <w:rPr>
          <w:bCs/>
          <w:color w:val="000000" w:themeColor="text1"/>
          <w:sz w:val="28"/>
          <w:szCs w:val="28"/>
        </w:rPr>
      </w:pPr>
    </w:p>
    <w:p w14:paraId="146F4382" w14:textId="4DFFCC62" w:rsidR="00C82D4A" w:rsidRPr="0008433F" w:rsidRDefault="00636286"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08433F">
        <w:rPr>
          <w:bCs/>
          <w:color w:val="000000" w:themeColor="text1"/>
          <w:sz w:val="28"/>
          <w:szCs w:val="28"/>
          <w:lang w:val="es-CO"/>
        </w:rPr>
        <w:t xml:space="preserve">En el presente caso, </w:t>
      </w:r>
      <w:r w:rsidR="0008433F" w:rsidRPr="0008433F">
        <w:rPr>
          <w:bCs/>
          <w:color w:val="000000" w:themeColor="text1"/>
          <w:sz w:val="28"/>
          <w:szCs w:val="28"/>
          <w:lang w:val="es-CO"/>
        </w:rPr>
        <w:t>la</w:t>
      </w:r>
      <w:r w:rsidRPr="0008433F">
        <w:rPr>
          <w:bCs/>
          <w:color w:val="000000" w:themeColor="text1"/>
          <w:sz w:val="28"/>
          <w:szCs w:val="28"/>
          <w:lang w:val="es-CO"/>
        </w:rPr>
        <w:t xml:space="preserve"> Sala </w:t>
      </w:r>
      <w:r w:rsidR="0008433F" w:rsidRPr="0008433F">
        <w:rPr>
          <w:bCs/>
          <w:color w:val="000000" w:themeColor="text1"/>
          <w:sz w:val="28"/>
          <w:szCs w:val="28"/>
          <w:lang w:val="es-CO"/>
        </w:rPr>
        <w:t xml:space="preserve">Plena </w:t>
      </w:r>
      <w:r w:rsidRPr="0008433F">
        <w:rPr>
          <w:bCs/>
          <w:color w:val="000000" w:themeColor="text1"/>
          <w:sz w:val="28"/>
          <w:szCs w:val="28"/>
          <w:lang w:val="es-CO"/>
        </w:rPr>
        <w:t xml:space="preserve">considera que no es posible emitir un pronunciamiento de fondo sobre la demanda de la referencia, toda vez que no cumple con los requisitos de </w:t>
      </w:r>
      <w:r w:rsidRPr="0008433F">
        <w:rPr>
          <w:bCs/>
          <w:i/>
          <w:iCs/>
          <w:color w:val="000000" w:themeColor="text1"/>
          <w:sz w:val="28"/>
          <w:szCs w:val="28"/>
          <w:lang w:val="es-CO"/>
        </w:rPr>
        <w:t>claridad, certeza, especificidad, pertinencia y suficiencia</w:t>
      </w:r>
      <w:r w:rsidRPr="0008433F">
        <w:rPr>
          <w:bCs/>
          <w:color w:val="000000" w:themeColor="text1"/>
          <w:sz w:val="28"/>
          <w:szCs w:val="28"/>
          <w:lang w:val="es-CO"/>
        </w:rPr>
        <w:t>, como se expone a continuación.</w:t>
      </w:r>
    </w:p>
    <w:p w14:paraId="0CFD7769" w14:textId="77777777" w:rsidR="00636286" w:rsidRPr="0008433F" w:rsidRDefault="00636286" w:rsidP="00E067C2">
      <w:pPr>
        <w:pStyle w:val="Textoindependiente"/>
        <w:widowControl w:val="0"/>
        <w:tabs>
          <w:tab w:val="left" w:pos="567"/>
        </w:tabs>
        <w:autoSpaceDE w:val="0"/>
        <w:autoSpaceDN w:val="0"/>
        <w:spacing w:after="0"/>
        <w:ind w:right="19"/>
        <w:jc w:val="both"/>
        <w:rPr>
          <w:bCs/>
          <w:color w:val="000000" w:themeColor="text1"/>
          <w:sz w:val="28"/>
          <w:szCs w:val="28"/>
          <w:lang w:val="es-CO"/>
        </w:rPr>
      </w:pPr>
    </w:p>
    <w:p w14:paraId="1F5B885C" w14:textId="0D8983E6" w:rsidR="00636286" w:rsidRPr="0008433F" w:rsidRDefault="00636286"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08433F">
        <w:rPr>
          <w:bCs/>
          <w:color w:val="000000" w:themeColor="text1"/>
          <w:sz w:val="28"/>
          <w:szCs w:val="28"/>
          <w:lang w:val="es-CO"/>
        </w:rPr>
        <w:t xml:space="preserve">En primer lugar, respecto del requisito de </w:t>
      </w:r>
      <w:r w:rsidRPr="00534FF6">
        <w:rPr>
          <w:b/>
          <w:i/>
          <w:iCs/>
          <w:color w:val="000000" w:themeColor="text1"/>
          <w:sz w:val="28"/>
          <w:szCs w:val="28"/>
          <w:lang w:val="es-CO"/>
        </w:rPr>
        <w:t>claridad</w:t>
      </w:r>
      <w:r w:rsidR="0081174C" w:rsidRPr="0008433F">
        <w:rPr>
          <w:bCs/>
          <w:color w:val="000000" w:themeColor="text1"/>
          <w:sz w:val="28"/>
          <w:szCs w:val="28"/>
          <w:lang w:val="es-CO"/>
        </w:rPr>
        <w:t>,</w:t>
      </w:r>
      <w:r w:rsidRPr="0008433F">
        <w:rPr>
          <w:bCs/>
          <w:i/>
          <w:iCs/>
          <w:color w:val="000000" w:themeColor="text1"/>
          <w:sz w:val="28"/>
          <w:szCs w:val="28"/>
          <w:lang w:val="es-CO"/>
        </w:rPr>
        <w:t xml:space="preserve"> </w:t>
      </w:r>
      <w:r w:rsidRPr="0008433F">
        <w:rPr>
          <w:bCs/>
          <w:color w:val="000000" w:themeColor="text1"/>
          <w:sz w:val="28"/>
          <w:szCs w:val="28"/>
          <w:lang w:val="es-CO"/>
        </w:rPr>
        <w:t>la Sala advierte que la demanda no identificó con precisión el contenido normativo</w:t>
      </w:r>
      <w:r w:rsidR="0008433F" w:rsidRPr="0008433F">
        <w:rPr>
          <w:bCs/>
          <w:color w:val="000000" w:themeColor="text1"/>
          <w:sz w:val="28"/>
          <w:szCs w:val="28"/>
          <w:lang w:val="es-CO"/>
        </w:rPr>
        <w:t xml:space="preserve"> de derecho viviente</w:t>
      </w:r>
      <w:r w:rsidRPr="0008433F">
        <w:rPr>
          <w:bCs/>
          <w:color w:val="000000" w:themeColor="text1"/>
          <w:sz w:val="28"/>
          <w:szCs w:val="28"/>
          <w:lang w:val="es-CO"/>
        </w:rPr>
        <w:t xml:space="preserve"> que se deriva directamente de las disposiciones legales censuradas</w:t>
      </w:r>
      <w:r w:rsidR="0008433F" w:rsidRPr="0008433F">
        <w:rPr>
          <w:bCs/>
          <w:color w:val="000000" w:themeColor="text1"/>
          <w:sz w:val="28"/>
          <w:szCs w:val="28"/>
          <w:lang w:val="es-CO"/>
        </w:rPr>
        <w:t>,</w:t>
      </w:r>
      <w:r w:rsidR="006A6F5D" w:rsidRPr="0008433F">
        <w:rPr>
          <w:bCs/>
          <w:color w:val="000000" w:themeColor="text1"/>
          <w:sz w:val="28"/>
          <w:szCs w:val="28"/>
          <w:lang w:val="es-CO"/>
        </w:rPr>
        <w:t xml:space="preserve"> ni cómo estas conducen a la vulneración de la presunción de inocencia, el debido proceso y </w:t>
      </w:r>
      <w:r w:rsidR="0081174C" w:rsidRPr="0008433F">
        <w:rPr>
          <w:bCs/>
          <w:color w:val="000000" w:themeColor="text1"/>
          <w:sz w:val="28"/>
          <w:szCs w:val="28"/>
          <w:lang w:val="es-CO"/>
        </w:rPr>
        <w:t xml:space="preserve">el </w:t>
      </w:r>
      <w:r w:rsidR="006A6F5D" w:rsidRPr="0008433F">
        <w:rPr>
          <w:bCs/>
          <w:color w:val="000000" w:themeColor="text1"/>
          <w:sz w:val="28"/>
          <w:szCs w:val="28"/>
          <w:lang w:val="es-CO"/>
        </w:rPr>
        <w:t>orden justo</w:t>
      </w:r>
      <w:r w:rsidRPr="0008433F">
        <w:rPr>
          <w:bCs/>
          <w:color w:val="000000" w:themeColor="text1"/>
          <w:sz w:val="28"/>
          <w:szCs w:val="28"/>
          <w:lang w:val="es-CO"/>
        </w:rPr>
        <w:t xml:space="preserve">. En </w:t>
      </w:r>
      <w:r w:rsidR="0025012F" w:rsidRPr="0008433F">
        <w:rPr>
          <w:bCs/>
          <w:color w:val="000000" w:themeColor="text1"/>
          <w:sz w:val="28"/>
          <w:szCs w:val="28"/>
          <w:lang w:val="es-CO"/>
        </w:rPr>
        <w:t>este sentido, en el primer cargo no es clar</w:t>
      </w:r>
      <w:r w:rsidR="00F877AB">
        <w:rPr>
          <w:bCs/>
          <w:color w:val="000000" w:themeColor="text1"/>
          <w:sz w:val="28"/>
          <w:szCs w:val="28"/>
          <w:lang w:val="es-CO"/>
        </w:rPr>
        <w:t xml:space="preserve">a </w:t>
      </w:r>
      <w:r w:rsidR="0025012F" w:rsidRPr="0008433F">
        <w:rPr>
          <w:bCs/>
          <w:color w:val="000000" w:themeColor="text1"/>
          <w:sz w:val="28"/>
          <w:szCs w:val="28"/>
          <w:lang w:val="es-CO"/>
        </w:rPr>
        <w:t xml:space="preserve">la forma cómo </w:t>
      </w:r>
      <w:r w:rsidR="001103B7" w:rsidRPr="0008433F">
        <w:rPr>
          <w:bCs/>
          <w:color w:val="000000" w:themeColor="text1"/>
          <w:sz w:val="28"/>
          <w:szCs w:val="28"/>
          <w:lang w:val="es-CO"/>
        </w:rPr>
        <w:t>el efecto suspensivo del recurso de apelación previsto en el artículo 177 del CPP</w:t>
      </w:r>
      <w:r w:rsidR="0008433F">
        <w:rPr>
          <w:bCs/>
          <w:color w:val="000000" w:themeColor="text1"/>
          <w:sz w:val="28"/>
          <w:szCs w:val="28"/>
          <w:lang w:val="es-CO"/>
        </w:rPr>
        <w:t>,</w:t>
      </w:r>
      <w:r w:rsidR="001103B7" w:rsidRPr="0008433F">
        <w:rPr>
          <w:bCs/>
          <w:color w:val="000000" w:themeColor="text1"/>
          <w:sz w:val="28"/>
          <w:szCs w:val="28"/>
          <w:lang w:val="es-CO"/>
        </w:rPr>
        <w:t xml:space="preserve"> se relaciona con el escenario contemplado en el artículo 63 del CP, relativo a la suspensión condicional de la ejecución de la pena, a fin de definir la regla que deriva la Corte Suprema de Justicia de la aplicación de </w:t>
      </w:r>
      <w:r w:rsidR="00AD34F1" w:rsidRPr="0008433F">
        <w:rPr>
          <w:bCs/>
          <w:color w:val="000000" w:themeColor="text1"/>
          <w:sz w:val="28"/>
          <w:szCs w:val="28"/>
          <w:lang w:val="es-CO"/>
        </w:rPr>
        <w:t>ambas</w:t>
      </w:r>
      <w:r w:rsidR="001103B7" w:rsidRPr="0008433F">
        <w:rPr>
          <w:bCs/>
          <w:color w:val="000000" w:themeColor="text1"/>
          <w:sz w:val="28"/>
          <w:szCs w:val="28"/>
          <w:lang w:val="es-CO"/>
        </w:rPr>
        <w:t xml:space="preserve"> disposiciones</w:t>
      </w:r>
      <w:r w:rsidR="006A6F5D" w:rsidRPr="0008433F">
        <w:rPr>
          <w:bCs/>
          <w:color w:val="000000" w:themeColor="text1"/>
          <w:sz w:val="28"/>
          <w:szCs w:val="28"/>
          <w:lang w:val="es-CO"/>
        </w:rPr>
        <w:t>. De hecho, la demanda no formula un hilo conductor comprensible frente a la regulación normativa de la privación de la libertad</w:t>
      </w:r>
      <w:r w:rsidR="00F877AB">
        <w:rPr>
          <w:bCs/>
          <w:color w:val="000000" w:themeColor="text1"/>
          <w:sz w:val="28"/>
          <w:szCs w:val="28"/>
          <w:lang w:val="es-CO"/>
        </w:rPr>
        <w:t>,</w:t>
      </w:r>
      <w:r w:rsidR="006A6F5D" w:rsidRPr="0008433F">
        <w:rPr>
          <w:bCs/>
          <w:color w:val="000000" w:themeColor="text1"/>
          <w:sz w:val="28"/>
          <w:szCs w:val="28"/>
          <w:lang w:val="es-CO"/>
        </w:rPr>
        <w:t xml:space="preserve"> en virtud de una sentencia condenatoria que fue apelada</w:t>
      </w:r>
      <w:r w:rsidR="001103B7" w:rsidRPr="0008433F">
        <w:rPr>
          <w:bCs/>
          <w:color w:val="000000" w:themeColor="text1"/>
          <w:sz w:val="28"/>
          <w:szCs w:val="28"/>
          <w:lang w:val="es-CO"/>
        </w:rPr>
        <w:t>.</w:t>
      </w:r>
    </w:p>
    <w:p w14:paraId="31D97F41" w14:textId="77777777" w:rsidR="001103B7" w:rsidRPr="00EC2190" w:rsidRDefault="001103B7" w:rsidP="00E067C2">
      <w:pPr>
        <w:pStyle w:val="Prrafodelista"/>
        <w:rPr>
          <w:bCs/>
          <w:color w:val="000000" w:themeColor="text1"/>
          <w:sz w:val="28"/>
          <w:szCs w:val="28"/>
          <w:highlight w:val="yellow"/>
          <w:lang w:val="es-CO"/>
        </w:rPr>
      </w:pPr>
    </w:p>
    <w:p w14:paraId="73C1EB52" w14:textId="44086BF3" w:rsidR="00674A9F" w:rsidRPr="00F877AB" w:rsidRDefault="0081174C"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F877AB">
        <w:rPr>
          <w:bCs/>
          <w:color w:val="000000" w:themeColor="text1"/>
          <w:sz w:val="28"/>
          <w:szCs w:val="28"/>
          <w:lang w:val="es-CO"/>
        </w:rPr>
        <w:t>E</w:t>
      </w:r>
      <w:r w:rsidR="001103B7" w:rsidRPr="00F877AB">
        <w:rPr>
          <w:bCs/>
          <w:color w:val="000000" w:themeColor="text1"/>
          <w:sz w:val="28"/>
          <w:szCs w:val="28"/>
          <w:lang w:val="es-CO"/>
        </w:rPr>
        <w:t xml:space="preserve">n la demanda se indicó que </w:t>
      </w:r>
      <w:r w:rsidR="001103B7" w:rsidRPr="00F877AB">
        <w:rPr>
          <w:color w:val="000000" w:themeColor="text1"/>
          <w:sz w:val="28"/>
          <w:szCs w:val="28"/>
          <w:lang w:val="es-CO"/>
        </w:rPr>
        <w:t>en los supuestos en los que una persona es condenada en primera instancia</w:t>
      </w:r>
      <w:r w:rsidR="00F877AB" w:rsidRPr="00F877AB">
        <w:rPr>
          <w:color w:val="000000" w:themeColor="text1"/>
          <w:sz w:val="28"/>
          <w:szCs w:val="28"/>
          <w:lang w:val="es-CO"/>
        </w:rPr>
        <w:t>,</w:t>
      </w:r>
      <w:r w:rsidR="001103B7" w:rsidRPr="00F877AB">
        <w:rPr>
          <w:color w:val="000000" w:themeColor="text1"/>
          <w:sz w:val="28"/>
          <w:szCs w:val="28"/>
          <w:lang w:val="es-CO"/>
        </w:rPr>
        <w:t xml:space="preserve"> o por primera vez en segunda instancia</w:t>
      </w:r>
      <w:r w:rsidR="00F877AB" w:rsidRPr="00F877AB">
        <w:rPr>
          <w:color w:val="000000" w:themeColor="text1"/>
          <w:sz w:val="28"/>
          <w:szCs w:val="28"/>
          <w:lang w:val="es-CO"/>
        </w:rPr>
        <w:t>,</w:t>
      </w:r>
      <w:r w:rsidR="001103B7" w:rsidRPr="00F877AB">
        <w:rPr>
          <w:color w:val="000000" w:themeColor="text1"/>
          <w:sz w:val="28"/>
          <w:szCs w:val="28"/>
          <w:lang w:val="es-CO"/>
        </w:rPr>
        <w:t xml:space="preserve"> y no se cumplen los requisitos del artículo 63 del CP para suspender la ejecución de la pena, la Corte Suprema de Justicia utiliza su propia interpretación del artículo 177 del CPP, para señalar que la orden de captura es necesaria. </w:t>
      </w:r>
      <w:r w:rsidR="00F877AB">
        <w:rPr>
          <w:color w:val="000000" w:themeColor="text1"/>
          <w:sz w:val="28"/>
          <w:szCs w:val="28"/>
          <w:lang w:val="es-CO"/>
        </w:rPr>
        <w:t xml:space="preserve">Esta </w:t>
      </w:r>
      <w:r w:rsidR="001103B7" w:rsidRPr="00F877AB">
        <w:rPr>
          <w:color w:val="000000" w:themeColor="text1"/>
          <w:sz w:val="28"/>
          <w:szCs w:val="28"/>
          <w:lang w:val="es-CO"/>
        </w:rPr>
        <w:t>afirmación</w:t>
      </w:r>
      <w:r w:rsidR="00F877AB">
        <w:rPr>
          <w:color w:val="000000" w:themeColor="text1"/>
          <w:sz w:val="28"/>
          <w:szCs w:val="28"/>
          <w:lang w:val="es-CO"/>
        </w:rPr>
        <w:t>, más</w:t>
      </w:r>
      <w:r w:rsidR="001103B7" w:rsidRPr="00F877AB">
        <w:rPr>
          <w:color w:val="000000" w:themeColor="text1"/>
          <w:sz w:val="28"/>
          <w:szCs w:val="28"/>
          <w:lang w:val="es-CO"/>
        </w:rPr>
        <w:t xml:space="preserve"> </w:t>
      </w:r>
      <w:r w:rsidR="00F877AB">
        <w:rPr>
          <w:color w:val="000000" w:themeColor="text1"/>
          <w:sz w:val="28"/>
          <w:szCs w:val="28"/>
          <w:lang w:val="es-CO"/>
        </w:rPr>
        <w:t xml:space="preserve">allá de no estar </w:t>
      </w:r>
      <w:r w:rsidR="0006763C" w:rsidRPr="00F877AB">
        <w:rPr>
          <w:color w:val="000000" w:themeColor="text1"/>
          <w:sz w:val="28"/>
          <w:szCs w:val="28"/>
          <w:lang w:val="es-CO"/>
        </w:rPr>
        <w:t>contextualizada</w:t>
      </w:r>
      <w:r w:rsidR="00F877AB">
        <w:rPr>
          <w:color w:val="000000" w:themeColor="text1"/>
          <w:sz w:val="28"/>
          <w:szCs w:val="28"/>
          <w:lang w:val="es-CO"/>
        </w:rPr>
        <w:t xml:space="preserve">, </w:t>
      </w:r>
      <w:r w:rsidR="001103B7" w:rsidRPr="00F877AB">
        <w:rPr>
          <w:color w:val="000000" w:themeColor="text1"/>
          <w:sz w:val="28"/>
          <w:szCs w:val="28"/>
          <w:lang w:val="es-CO"/>
        </w:rPr>
        <w:t xml:space="preserve">no es suficiente para establecer </w:t>
      </w:r>
      <w:r w:rsidR="00F877AB">
        <w:rPr>
          <w:color w:val="000000" w:themeColor="text1"/>
          <w:sz w:val="28"/>
          <w:szCs w:val="28"/>
          <w:lang w:val="es-CO"/>
        </w:rPr>
        <w:t xml:space="preserve">la regla de derecho </w:t>
      </w:r>
      <w:r w:rsidR="001103B7" w:rsidRPr="00F877AB">
        <w:rPr>
          <w:color w:val="000000" w:themeColor="text1"/>
          <w:sz w:val="28"/>
          <w:szCs w:val="28"/>
          <w:lang w:val="es-CO"/>
        </w:rPr>
        <w:t>que se consider</w:t>
      </w:r>
      <w:r w:rsidRPr="00F877AB">
        <w:rPr>
          <w:color w:val="000000" w:themeColor="text1"/>
          <w:sz w:val="28"/>
          <w:szCs w:val="28"/>
          <w:lang w:val="es-CO"/>
        </w:rPr>
        <w:t>a</w:t>
      </w:r>
      <w:r w:rsidR="001103B7" w:rsidRPr="00F877AB">
        <w:rPr>
          <w:color w:val="000000" w:themeColor="text1"/>
          <w:sz w:val="28"/>
          <w:szCs w:val="28"/>
          <w:lang w:val="es-CO"/>
        </w:rPr>
        <w:t xml:space="preserve"> contrari</w:t>
      </w:r>
      <w:r w:rsidR="00F877AB">
        <w:rPr>
          <w:color w:val="000000" w:themeColor="text1"/>
          <w:sz w:val="28"/>
          <w:szCs w:val="28"/>
          <w:lang w:val="es-CO"/>
        </w:rPr>
        <w:t>a</w:t>
      </w:r>
      <w:r w:rsidR="001103B7" w:rsidRPr="00F877AB">
        <w:rPr>
          <w:color w:val="000000" w:themeColor="text1"/>
          <w:sz w:val="28"/>
          <w:szCs w:val="28"/>
          <w:lang w:val="es-CO"/>
        </w:rPr>
        <w:t xml:space="preserve"> a la Constitución, sobre todo si se tiene en </w:t>
      </w:r>
      <w:r w:rsidR="00F877AB">
        <w:rPr>
          <w:color w:val="000000" w:themeColor="text1"/>
          <w:sz w:val="28"/>
          <w:szCs w:val="28"/>
          <w:lang w:val="es-CO"/>
        </w:rPr>
        <w:t>cuenta</w:t>
      </w:r>
      <w:r w:rsidR="001103B7" w:rsidRPr="00F877AB">
        <w:rPr>
          <w:color w:val="000000" w:themeColor="text1"/>
          <w:sz w:val="28"/>
          <w:szCs w:val="28"/>
          <w:lang w:val="es-CO"/>
        </w:rPr>
        <w:t xml:space="preserve"> que </w:t>
      </w:r>
      <w:r w:rsidR="000D4371" w:rsidRPr="00F877AB">
        <w:rPr>
          <w:color w:val="000000" w:themeColor="text1"/>
          <w:sz w:val="28"/>
          <w:szCs w:val="28"/>
          <w:lang w:val="es-CO"/>
        </w:rPr>
        <w:t>la primera disposición es una norma sustantiva de derecho penal</w:t>
      </w:r>
      <w:r w:rsidR="00F877AB">
        <w:rPr>
          <w:color w:val="000000" w:themeColor="text1"/>
          <w:sz w:val="28"/>
          <w:szCs w:val="28"/>
          <w:lang w:val="es-CO"/>
        </w:rPr>
        <w:t>,</w:t>
      </w:r>
      <w:r w:rsidR="000D4371" w:rsidRPr="00F877AB">
        <w:rPr>
          <w:color w:val="000000" w:themeColor="text1"/>
          <w:sz w:val="28"/>
          <w:szCs w:val="28"/>
          <w:lang w:val="es-CO"/>
        </w:rPr>
        <w:t xml:space="preserve"> </w:t>
      </w:r>
      <w:r w:rsidR="00F877AB">
        <w:rPr>
          <w:color w:val="000000" w:themeColor="text1"/>
          <w:sz w:val="28"/>
          <w:szCs w:val="28"/>
          <w:lang w:val="es-CO"/>
        </w:rPr>
        <w:t>la cual</w:t>
      </w:r>
      <w:r w:rsidR="000D4371" w:rsidRPr="00F877AB">
        <w:rPr>
          <w:color w:val="000000" w:themeColor="text1"/>
          <w:sz w:val="28"/>
          <w:szCs w:val="28"/>
          <w:lang w:val="es-CO"/>
        </w:rPr>
        <w:t xml:space="preserve"> crea derechos y obligaciones en relación con la ejecución de las penas</w:t>
      </w:r>
      <w:r w:rsidR="00F877AB">
        <w:rPr>
          <w:color w:val="000000" w:themeColor="text1"/>
          <w:sz w:val="28"/>
          <w:szCs w:val="28"/>
          <w:lang w:val="es-CO"/>
        </w:rPr>
        <w:t xml:space="preserve"> </w:t>
      </w:r>
      <w:r w:rsidR="000D4371" w:rsidRPr="00F877AB">
        <w:rPr>
          <w:color w:val="000000" w:themeColor="text1"/>
          <w:sz w:val="28"/>
          <w:szCs w:val="28"/>
          <w:lang w:val="es-CO"/>
        </w:rPr>
        <w:t>y</w:t>
      </w:r>
      <w:r w:rsidR="00F877AB">
        <w:rPr>
          <w:color w:val="000000" w:themeColor="text1"/>
          <w:sz w:val="28"/>
          <w:szCs w:val="28"/>
          <w:lang w:val="es-CO"/>
        </w:rPr>
        <w:t>,</w:t>
      </w:r>
      <w:r w:rsidR="000D4371" w:rsidRPr="00F877AB">
        <w:rPr>
          <w:color w:val="000000" w:themeColor="text1"/>
          <w:sz w:val="28"/>
          <w:szCs w:val="28"/>
          <w:lang w:val="es-CO"/>
        </w:rPr>
        <w:t xml:space="preserve"> la segunda</w:t>
      </w:r>
      <w:r w:rsidR="00F877AB">
        <w:rPr>
          <w:color w:val="000000" w:themeColor="text1"/>
          <w:sz w:val="28"/>
          <w:szCs w:val="28"/>
          <w:lang w:val="es-CO"/>
        </w:rPr>
        <w:t>,</w:t>
      </w:r>
      <w:r w:rsidR="000D4371" w:rsidRPr="00F877AB">
        <w:rPr>
          <w:color w:val="000000" w:themeColor="text1"/>
          <w:sz w:val="28"/>
          <w:szCs w:val="28"/>
          <w:lang w:val="es-CO"/>
        </w:rPr>
        <w:t xml:space="preserve"> es una norma de carácter procesal</w:t>
      </w:r>
      <w:r w:rsidR="00F877AB">
        <w:rPr>
          <w:color w:val="000000" w:themeColor="text1"/>
          <w:sz w:val="28"/>
          <w:szCs w:val="28"/>
          <w:lang w:val="es-CO"/>
        </w:rPr>
        <w:t>,</w:t>
      </w:r>
      <w:r w:rsidR="000D4371" w:rsidRPr="00F877AB">
        <w:rPr>
          <w:color w:val="000000" w:themeColor="text1"/>
          <w:sz w:val="28"/>
          <w:szCs w:val="28"/>
          <w:lang w:val="es-CO"/>
        </w:rPr>
        <w:t xml:space="preserve"> que organiza el trámite de</w:t>
      </w:r>
      <w:r w:rsidR="00AD34F1" w:rsidRPr="00F877AB">
        <w:rPr>
          <w:color w:val="000000" w:themeColor="text1"/>
          <w:sz w:val="28"/>
          <w:szCs w:val="28"/>
          <w:lang w:val="es-CO"/>
        </w:rPr>
        <w:t>l recurso de apelación</w:t>
      </w:r>
      <w:r w:rsidR="000D4371" w:rsidRPr="00F877AB">
        <w:rPr>
          <w:color w:val="000000" w:themeColor="text1"/>
          <w:sz w:val="28"/>
          <w:szCs w:val="28"/>
          <w:lang w:val="es-CO"/>
        </w:rPr>
        <w:t>.</w:t>
      </w:r>
    </w:p>
    <w:p w14:paraId="4CEDE200" w14:textId="08C778F7" w:rsidR="000D4371" w:rsidRPr="00266857" w:rsidRDefault="000D4371"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266857">
        <w:rPr>
          <w:bCs/>
          <w:color w:val="000000" w:themeColor="text1"/>
          <w:sz w:val="28"/>
          <w:szCs w:val="28"/>
          <w:lang w:val="es-CO"/>
        </w:rPr>
        <w:lastRenderedPageBreak/>
        <w:t>En este punto</w:t>
      </w:r>
      <w:r w:rsidR="00266857" w:rsidRPr="00266857">
        <w:rPr>
          <w:bCs/>
          <w:color w:val="000000" w:themeColor="text1"/>
          <w:sz w:val="28"/>
          <w:szCs w:val="28"/>
          <w:lang w:val="es-CO"/>
        </w:rPr>
        <w:t>,</w:t>
      </w:r>
      <w:r w:rsidRPr="00266857">
        <w:rPr>
          <w:bCs/>
          <w:color w:val="000000" w:themeColor="text1"/>
          <w:sz w:val="28"/>
          <w:szCs w:val="28"/>
          <w:lang w:val="es-CO"/>
        </w:rPr>
        <w:t xml:space="preserve"> </w:t>
      </w:r>
      <w:r w:rsidR="00266857">
        <w:rPr>
          <w:bCs/>
          <w:color w:val="000000" w:themeColor="text1"/>
          <w:sz w:val="28"/>
          <w:szCs w:val="28"/>
          <w:lang w:val="es-CO"/>
        </w:rPr>
        <w:t xml:space="preserve">y a pesar de la solicitud por ellos realizada, </w:t>
      </w:r>
      <w:r w:rsidRPr="00266857">
        <w:rPr>
          <w:bCs/>
          <w:color w:val="000000" w:themeColor="text1"/>
          <w:sz w:val="28"/>
          <w:szCs w:val="28"/>
          <w:lang w:val="es-CO"/>
        </w:rPr>
        <w:t>es importante traer a colación lo señalado por la Universidad de los Andes, el Instituto Colombiano de Derecho Procesal, la Universidad Libre de Bogotá y la Fundación Jurídica Proyecto Inocencia, quienes</w:t>
      </w:r>
      <w:r w:rsidR="0081174C" w:rsidRPr="00266857">
        <w:rPr>
          <w:bCs/>
          <w:color w:val="000000" w:themeColor="text1"/>
          <w:sz w:val="28"/>
          <w:szCs w:val="28"/>
          <w:lang w:val="es-CO"/>
        </w:rPr>
        <w:t>,</w:t>
      </w:r>
      <w:r w:rsidRPr="00266857">
        <w:rPr>
          <w:bCs/>
          <w:color w:val="000000" w:themeColor="text1"/>
          <w:sz w:val="28"/>
          <w:szCs w:val="28"/>
          <w:lang w:val="es-CO"/>
        </w:rPr>
        <w:t xml:space="preserve"> en su</w:t>
      </w:r>
      <w:r w:rsidR="0081174C" w:rsidRPr="00266857">
        <w:rPr>
          <w:bCs/>
          <w:color w:val="000000" w:themeColor="text1"/>
          <w:sz w:val="28"/>
          <w:szCs w:val="28"/>
          <w:lang w:val="es-CO"/>
        </w:rPr>
        <w:t>s</w:t>
      </w:r>
      <w:r w:rsidRPr="00266857">
        <w:rPr>
          <w:bCs/>
          <w:color w:val="000000" w:themeColor="text1"/>
          <w:sz w:val="28"/>
          <w:szCs w:val="28"/>
          <w:lang w:val="es-CO"/>
        </w:rPr>
        <w:t xml:space="preserve"> intervenci</w:t>
      </w:r>
      <w:r w:rsidR="0081174C" w:rsidRPr="00266857">
        <w:rPr>
          <w:bCs/>
          <w:color w:val="000000" w:themeColor="text1"/>
          <w:sz w:val="28"/>
          <w:szCs w:val="28"/>
          <w:lang w:val="es-CO"/>
        </w:rPr>
        <w:t>ones,</w:t>
      </w:r>
      <w:r w:rsidRPr="00266857">
        <w:rPr>
          <w:bCs/>
          <w:color w:val="000000" w:themeColor="text1"/>
          <w:sz w:val="28"/>
          <w:szCs w:val="28"/>
          <w:lang w:val="es-CO"/>
        </w:rPr>
        <w:t xml:space="preserve"> precisaron que del artículo 63 del CP no </w:t>
      </w:r>
      <w:r w:rsidR="00266857">
        <w:rPr>
          <w:bCs/>
          <w:color w:val="000000" w:themeColor="text1"/>
          <w:sz w:val="28"/>
          <w:szCs w:val="28"/>
          <w:lang w:val="es-CO"/>
        </w:rPr>
        <w:t xml:space="preserve">se </w:t>
      </w:r>
      <w:r w:rsidRPr="00266857">
        <w:rPr>
          <w:bCs/>
          <w:color w:val="000000" w:themeColor="text1"/>
          <w:sz w:val="28"/>
          <w:szCs w:val="28"/>
          <w:lang w:val="es-CO"/>
        </w:rPr>
        <w:t xml:space="preserve">deriva un desconocimiento de la presunción de inocencia, como lo quiere hacer ver el demandante, dado que </w:t>
      </w:r>
      <w:r w:rsidR="00AD34F1" w:rsidRPr="00266857">
        <w:rPr>
          <w:bCs/>
          <w:color w:val="000000" w:themeColor="text1"/>
          <w:sz w:val="28"/>
          <w:szCs w:val="28"/>
          <w:lang w:val="es-CO"/>
        </w:rPr>
        <w:t xml:space="preserve">la suspensión condicional de la ejecución de la pena es un beneficio que la ley establece para el condenado, </w:t>
      </w:r>
      <w:r w:rsidR="00AD34F1" w:rsidRPr="00266857">
        <w:rPr>
          <w:bCs/>
          <w:i/>
          <w:iCs/>
          <w:color w:val="000000" w:themeColor="text1"/>
          <w:sz w:val="28"/>
          <w:szCs w:val="28"/>
          <w:lang w:val="es-CO"/>
        </w:rPr>
        <w:t>el cual no se relaciona con los efectos en los que se concede el recurso de apelación</w:t>
      </w:r>
      <w:r w:rsidR="00AD34F1" w:rsidRPr="00266857">
        <w:rPr>
          <w:bCs/>
          <w:color w:val="000000" w:themeColor="text1"/>
          <w:sz w:val="28"/>
          <w:szCs w:val="28"/>
          <w:lang w:val="es-CO"/>
        </w:rPr>
        <w:t xml:space="preserve"> </w:t>
      </w:r>
      <w:r w:rsidR="00266857" w:rsidRPr="00266857">
        <w:rPr>
          <w:color w:val="000000" w:themeColor="text1"/>
          <w:sz w:val="28"/>
          <w:szCs w:val="28"/>
          <w:lang w:val="es-CO"/>
        </w:rPr>
        <w:t>–</w:t>
      </w:r>
      <w:r w:rsidR="00AD34F1" w:rsidRPr="00266857">
        <w:rPr>
          <w:bCs/>
          <w:color w:val="000000" w:themeColor="text1"/>
          <w:sz w:val="28"/>
          <w:szCs w:val="28"/>
          <w:lang w:val="es-CO"/>
        </w:rPr>
        <w:t>artículo 177 del CPP</w:t>
      </w:r>
      <w:r w:rsidR="00266857" w:rsidRPr="00266857">
        <w:rPr>
          <w:color w:val="000000" w:themeColor="text1"/>
          <w:sz w:val="28"/>
          <w:szCs w:val="28"/>
          <w:lang w:val="es-CO"/>
        </w:rPr>
        <w:t>–</w:t>
      </w:r>
      <w:r w:rsidR="00266857">
        <w:rPr>
          <w:color w:val="000000" w:themeColor="text1"/>
          <w:sz w:val="28"/>
          <w:szCs w:val="28"/>
          <w:lang w:val="es-CO"/>
        </w:rPr>
        <w:t>.</w:t>
      </w:r>
    </w:p>
    <w:p w14:paraId="13259399" w14:textId="77777777" w:rsidR="00BF02CC" w:rsidRPr="00534FF6" w:rsidRDefault="00BF02CC" w:rsidP="00E067C2">
      <w:pPr>
        <w:pStyle w:val="Prrafodelista"/>
        <w:rPr>
          <w:bCs/>
          <w:color w:val="000000" w:themeColor="text1"/>
          <w:sz w:val="28"/>
          <w:szCs w:val="28"/>
          <w:lang w:val="es-ES_tradnl"/>
        </w:rPr>
      </w:pPr>
    </w:p>
    <w:p w14:paraId="0B353457" w14:textId="3E74E2B6" w:rsidR="00BF02CC" w:rsidRPr="00534FF6" w:rsidRDefault="00BF02CC" w:rsidP="00043DAF">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ES_tradnl"/>
        </w:rPr>
      </w:pPr>
      <w:r w:rsidRPr="00534FF6">
        <w:rPr>
          <w:bCs/>
          <w:color w:val="000000" w:themeColor="text1"/>
          <w:sz w:val="28"/>
          <w:szCs w:val="28"/>
          <w:lang w:val="es-ES_tradnl"/>
        </w:rPr>
        <w:t xml:space="preserve">En segundo lugar, sobre el requisito de </w:t>
      </w:r>
      <w:r w:rsidRPr="00534FF6">
        <w:rPr>
          <w:b/>
          <w:i/>
          <w:iCs/>
          <w:color w:val="000000" w:themeColor="text1"/>
          <w:sz w:val="28"/>
          <w:szCs w:val="28"/>
          <w:lang w:val="es-ES_tradnl"/>
        </w:rPr>
        <w:t>certeza</w:t>
      </w:r>
      <w:r w:rsidR="0081174C" w:rsidRPr="00534FF6">
        <w:rPr>
          <w:bCs/>
          <w:color w:val="000000" w:themeColor="text1"/>
          <w:sz w:val="28"/>
          <w:szCs w:val="28"/>
          <w:lang w:val="es-ES_tradnl"/>
        </w:rPr>
        <w:t>,</w:t>
      </w:r>
      <w:r w:rsidRPr="00534FF6">
        <w:rPr>
          <w:bCs/>
          <w:i/>
          <w:iCs/>
          <w:color w:val="000000" w:themeColor="text1"/>
          <w:sz w:val="28"/>
          <w:szCs w:val="28"/>
          <w:lang w:val="es-ES_tradnl"/>
        </w:rPr>
        <w:t xml:space="preserve"> </w:t>
      </w:r>
      <w:r w:rsidR="00027697" w:rsidRPr="00534FF6">
        <w:rPr>
          <w:bCs/>
          <w:color w:val="000000" w:themeColor="text1"/>
          <w:sz w:val="28"/>
          <w:szCs w:val="28"/>
          <w:lang w:val="es-ES_tradnl"/>
        </w:rPr>
        <w:t xml:space="preserve">la demanda no </w:t>
      </w:r>
      <w:r w:rsidR="00BC1F95" w:rsidRPr="00534FF6">
        <w:rPr>
          <w:bCs/>
          <w:color w:val="000000" w:themeColor="text1"/>
          <w:sz w:val="28"/>
          <w:szCs w:val="28"/>
          <w:lang w:val="es-ES_tradnl"/>
        </w:rPr>
        <w:t xml:space="preserve">identificó </w:t>
      </w:r>
      <w:r w:rsidR="00027697" w:rsidRPr="00534FF6">
        <w:rPr>
          <w:bCs/>
          <w:color w:val="000000" w:themeColor="text1"/>
          <w:sz w:val="28"/>
          <w:szCs w:val="28"/>
          <w:lang w:val="es-ES_tradnl"/>
        </w:rPr>
        <w:t>adecuadamente la</w:t>
      </w:r>
      <w:r w:rsidR="00266857" w:rsidRPr="00534FF6">
        <w:rPr>
          <w:bCs/>
          <w:color w:val="000000" w:themeColor="text1"/>
          <w:sz w:val="28"/>
          <w:szCs w:val="28"/>
          <w:lang w:val="es-ES_tradnl"/>
        </w:rPr>
        <w:t xml:space="preserve"> </w:t>
      </w:r>
      <w:r w:rsidR="00027697" w:rsidRPr="00534FF6">
        <w:rPr>
          <w:bCs/>
          <w:color w:val="000000" w:themeColor="text1"/>
          <w:sz w:val="28"/>
          <w:szCs w:val="28"/>
          <w:lang w:val="es-ES_tradnl"/>
        </w:rPr>
        <w:t>norma</w:t>
      </w:r>
      <w:r w:rsidR="00266857" w:rsidRPr="00534FF6">
        <w:rPr>
          <w:bCs/>
          <w:color w:val="000000" w:themeColor="text1"/>
          <w:sz w:val="28"/>
          <w:szCs w:val="28"/>
          <w:lang w:val="es-ES_tradnl"/>
        </w:rPr>
        <w:t xml:space="preserve"> de derecho viviente </w:t>
      </w:r>
      <w:r w:rsidR="00027697" w:rsidRPr="00534FF6">
        <w:rPr>
          <w:bCs/>
          <w:color w:val="000000" w:themeColor="text1"/>
          <w:sz w:val="28"/>
          <w:szCs w:val="28"/>
          <w:lang w:val="es-ES_tradnl"/>
        </w:rPr>
        <w:t>derivada de la jurisprudencia de la Sala de Casación Penal de la Corte Suprema de Justicia, a partir de una proposición jurídica</w:t>
      </w:r>
      <w:r w:rsidR="00534FF6" w:rsidRPr="00534FF6">
        <w:rPr>
          <w:bCs/>
          <w:color w:val="000000" w:themeColor="text1"/>
          <w:sz w:val="28"/>
          <w:szCs w:val="28"/>
          <w:lang w:val="es-ES_tradnl"/>
        </w:rPr>
        <w:t>,</w:t>
      </w:r>
      <w:r w:rsidR="00027697" w:rsidRPr="00534FF6">
        <w:rPr>
          <w:bCs/>
          <w:color w:val="000000" w:themeColor="text1"/>
          <w:sz w:val="28"/>
          <w:szCs w:val="28"/>
          <w:lang w:val="es-ES_tradnl"/>
        </w:rPr>
        <w:t xml:space="preserve"> real y verificable</w:t>
      </w:r>
      <w:r w:rsidR="00534FF6" w:rsidRPr="00534FF6">
        <w:rPr>
          <w:bCs/>
          <w:color w:val="000000" w:themeColor="text1"/>
          <w:sz w:val="28"/>
          <w:szCs w:val="28"/>
          <w:lang w:val="es-ES_tradnl"/>
        </w:rPr>
        <w:t>,</w:t>
      </w:r>
      <w:r w:rsidR="00027697" w:rsidRPr="00534FF6">
        <w:rPr>
          <w:bCs/>
          <w:color w:val="000000" w:themeColor="text1"/>
          <w:sz w:val="28"/>
          <w:szCs w:val="28"/>
          <w:lang w:val="es-ES_tradnl"/>
        </w:rPr>
        <w:t xml:space="preserve"> que constituyera una verdadera interpretación judicial</w:t>
      </w:r>
      <w:r w:rsidR="00BC1F95" w:rsidRPr="00534FF6">
        <w:rPr>
          <w:bCs/>
          <w:color w:val="000000" w:themeColor="text1"/>
          <w:sz w:val="28"/>
          <w:szCs w:val="28"/>
          <w:lang w:val="es-ES_tradnl"/>
        </w:rPr>
        <w:t xml:space="preserve"> </w:t>
      </w:r>
      <w:r w:rsidR="00534FF6">
        <w:rPr>
          <w:bCs/>
          <w:color w:val="000000" w:themeColor="text1"/>
          <w:sz w:val="28"/>
          <w:szCs w:val="28"/>
          <w:lang w:val="es-CO"/>
        </w:rPr>
        <w:t>de</w:t>
      </w:r>
      <w:r w:rsidR="00534FF6" w:rsidRPr="005D0209">
        <w:rPr>
          <w:bCs/>
          <w:color w:val="000000" w:themeColor="text1"/>
          <w:sz w:val="28"/>
          <w:szCs w:val="28"/>
          <w:lang w:val="es-CO"/>
        </w:rPr>
        <w:t xml:space="preserve"> orientación dominante o </w:t>
      </w:r>
      <w:r w:rsidR="00534FF6" w:rsidRPr="00534FF6">
        <w:rPr>
          <w:bCs/>
          <w:color w:val="000000" w:themeColor="text1"/>
          <w:sz w:val="28"/>
          <w:szCs w:val="28"/>
          <w:lang w:val="es-CO"/>
        </w:rPr>
        <w:t>de carácter</w:t>
      </w:r>
      <w:r w:rsidR="00534FF6" w:rsidRPr="005D0209">
        <w:rPr>
          <w:bCs/>
          <w:color w:val="000000" w:themeColor="text1"/>
          <w:sz w:val="28"/>
          <w:szCs w:val="28"/>
          <w:lang w:val="es-CO"/>
        </w:rPr>
        <w:t xml:space="preserve"> obligatorio para quienes son destinatarios de la ley</w:t>
      </w:r>
      <w:r w:rsidR="00534FF6" w:rsidRPr="00534FF6">
        <w:rPr>
          <w:bCs/>
          <w:color w:val="000000" w:themeColor="text1"/>
          <w:sz w:val="28"/>
          <w:szCs w:val="28"/>
          <w:lang w:val="es-CO"/>
        </w:rPr>
        <w:t xml:space="preserve">, </w:t>
      </w:r>
      <w:r w:rsidR="00BC1F95" w:rsidRPr="00534FF6">
        <w:rPr>
          <w:bCs/>
          <w:color w:val="000000" w:themeColor="text1"/>
          <w:sz w:val="28"/>
          <w:szCs w:val="28"/>
          <w:lang w:val="es-ES_tradnl"/>
        </w:rPr>
        <w:t xml:space="preserve">y sobre la que esta Corporación </w:t>
      </w:r>
      <w:r w:rsidR="00534FF6" w:rsidRPr="00534FF6">
        <w:rPr>
          <w:bCs/>
          <w:color w:val="000000" w:themeColor="text1"/>
          <w:sz w:val="28"/>
          <w:szCs w:val="28"/>
          <w:lang w:val="es-ES_tradnl"/>
        </w:rPr>
        <w:t xml:space="preserve">pudiese </w:t>
      </w:r>
      <w:r w:rsidR="00BC1F95" w:rsidRPr="00534FF6">
        <w:rPr>
          <w:bCs/>
          <w:color w:val="000000" w:themeColor="text1"/>
          <w:sz w:val="28"/>
          <w:szCs w:val="28"/>
          <w:lang w:val="es-ES_tradnl"/>
        </w:rPr>
        <w:t>ejercer el control de constitucionalidad</w:t>
      </w:r>
      <w:r w:rsidR="00027697" w:rsidRPr="00534FF6">
        <w:rPr>
          <w:bCs/>
          <w:color w:val="000000" w:themeColor="text1"/>
          <w:sz w:val="28"/>
          <w:szCs w:val="28"/>
          <w:lang w:val="es-ES_tradnl"/>
        </w:rPr>
        <w:t>. En este sentido, respecto del primer cargo, la demanda no expuso en qué consiste la norma derivada de los artículos 63 del CP y 177 del CPP, pues no explicó c</w:t>
      </w:r>
      <w:r w:rsidR="004438E2" w:rsidRPr="00534FF6">
        <w:rPr>
          <w:bCs/>
          <w:color w:val="000000" w:themeColor="text1"/>
          <w:sz w:val="28"/>
          <w:szCs w:val="28"/>
          <w:lang w:val="es-ES_tradnl"/>
        </w:rPr>
        <w:t>ó</w:t>
      </w:r>
      <w:r w:rsidR="00027697" w:rsidRPr="00534FF6">
        <w:rPr>
          <w:bCs/>
          <w:color w:val="000000" w:themeColor="text1"/>
          <w:sz w:val="28"/>
          <w:szCs w:val="28"/>
          <w:lang w:val="es-ES_tradnl"/>
        </w:rPr>
        <w:t xml:space="preserve">mo ambas disposiciones, en la interpretación que </w:t>
      </w:r>
      <w:r w:rsidR="00A34EB0">
        <w:rPr>
          <w:bCs/>
          <w:color w:val="000000" w:themeColor="text1"/>
          <w:sz w:val="28"/>
          <w:szCs w:val="28"/>
          <w:lang w:val="es-ES_tradnl"/>
        </w:rPr>
        <w:t>se</w:t>
      </w:r>
      <w:r w:rsidR="00027697" w:rsidRPr="00534FF6">
        <w:rPr>
          <w:bCs/>
          <w:color w:val="000000" w:themeColor="text1"/>
          <w:sz w:val="28"/>
          <w:szCs w:val="28"/>
          <w:lang w:val="es-ES_tradnl"/>
        </w:rPr>
        <w:t xml:space="preserve"> atribuye a la </w:t>
      </w:r>
      <w:r w:rsidR="00A34EB0">
        <w:rPr>
          <w:bCs/>
          <w:color w:val="000000" w:themeColor="text1"/>
          <w:sz w:val="28"/>
          <w:szCs w:val="28"/>
          <w:lang w:val="es-ES_tradnl"/>
        </w:rPr>
        <w:t>J</w:t>
      </w:r>
      <w:r w:rsidR="00027697" w:rsidRPr="00534FF6">
        <w:rPr>
          <w:bCs/>
          <w:color w:val="000000" w:themeColor="text1"/>
          <w:sz w:val="28"/>
          <w:szCs w:val="28"/>
          <w:lang w:val="es-ES_tradnl"/>
        </w:rPr>
        <w:t xml:space="preserve">urisdicción </w:t>
      </w:r>
      <w:r w:rsidR="00A34EB0">
        <w:rPr>
          <w:bCs/>
          <w:color w:val="000000" w:themeColor="text1"/>
          <w:sz w:val="28"/>
          <w:szCs w:val="28"/>
          <w:lang w:val="es-ES_tradnl"/>
        </w:rPr>
        <w:t>ordinaria P</w:t>
      </w:r>
      <w:r w:rsidR="00027697" w:rsidRPr="00534FF6">
        <w:rPr>
          <w:bCs/>
          <w:color w:val="000000" w:themeColor="text1"/>
          <w:sz w:val="28"/>
          <w:szCs w:val="28"/>
          <w:lang w:val="es-ES_tradnl"/>
        </w:rPr>
        <w:t>enal</w:t>
      </w:r>
      <w:r w:rsidR="004438E2" w:rsidRPr="00534FF6">
        <w:rPr>
          <w:bCs/>
          <w:color w:val="000000" w:themeColor="text1"/>
          <w:sz w:val="28"/>
          <w:szCs w:val="28"/>
          <w:lang w:val="es-ES_tradnl"/>
        </w:rPr>
        <w:t>,</w:t>
      </w:r>
      <w:r w:rsidR="00027697" w:rsidRPr="00534FF6">
        <w:rPr>
          <w:bCs/>
          <w:color w:val="000000" w:themeColor="text1"/>
          <w:sz w:val="28"/>
          <w:szCs w:val="28"/>
          <w:lang w:val="es-ES_tradnl"/>
        </w:rPr>
        <w:t xml:space="preserve"> conduce inexorablemente a la ejecución de la pena privativa de la libertad</w:t>
      </w:r>
      <w:r w:rsidR="00534FF6">
        <w:rPr>
          <w:bCs/>
          <w:color w:val="000000" w:themeColor="text1"/>
          <w:sz w:val="28"/>
          <w:szCs w:val="28"/>
          <w:lang w:val="es-ES_tradnl"/>
        </w:rPr>
        <w:t>,</w:t>
      </w:r>
      <w:r w:rsidR="00027697" w:rsidRPr="00534FF6">
        <w:rPr>
          <w:bCs/>
          <w:color w:val="000000" w:themeColor="text1"/>
          <w:sz w:val="28"/>
          <w:szCs w:val="28"/>
          <w:lang w:val="es-ES_tradnl"/>
        </w:rPr>
        <w:t xml:space="preserve"> cuando la condena es objeto del recurso de apelación.</w:t>
      </w:r>
    </w:p>
    <w:p w14:paraId="487635BC" w14:textId="77777777" w:rsidR="00027697" w:rsidRPr="00A34EB0" w:rsidRDefault="00027697" w:rsidP="00E067C2">
      <w:pPr>
        <w:pStyle w:val="Prrafodelista"/>
        <w:rPr>
          <w:bCs/>
          <w:color w:val="000000" w:themeColor="text1"/>
          <w:sz w:val="28"/>
          <w:szCs w:val="28"/>
          <w:lang w:val="es-ES_tradnl"/>
        </w:rPr>
      </w:pPr>
    </w:p>
    <w:p w14:paraId="6BB63759" w14:textId="324F3CA7" w:rsidR="00027697" w:rsidRPr="00815F29" w:rsidRDefault="00027697"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ES_tradnl"/>
        </w:rPr>
      </w:pPr>
      <w:r w:rsidRPr="00A34EB0">
        <w:rPr>
          <w:bCs/>
          <w:color w:val="000000" w:themeColor="text1"/>
          <w:sz w:val="28"/>
          <w:szCs w:val="28"/>
          <w:lang w:val="es-ES_tradnl"/>
        </w:rPr>
        <w:t xml:space="preserve">Cabe destacar que el artículo 63 del CP confiere al juez la facultad de valorar, </w:t>
      </w:r>
      <w:r w:rsidR="00724853" w:rsidRPr="00A34EB0">
        <w:rPr>
          <w:bCs/>
          <w:color w:val="000000" w:themeColor="text1"/>
          <w:sz w:val="28"/>
          <w:szCs w:val="28"/>
          <w:lang w:val="es-ES_tradnl"/>
        </w:rPr>
        <w:t>en cada caso concreto, los antecedentes personales, sociales y familiares del condenado</w:t>
      </w:r>
      <w:r w:rsidR="00A34EB0" w:rsidRPr="00A34EB0">
        <w:rPr>
          <w:bCs/>
          <w:color w:val="000000" w:themeColor="text1"/>
          <w:sz w:val="28"/>
          <w:szCs w:val="28"/>
          <w:lang w:val="es-ES_tradnl"/>
        </w:rPr>
        <w:t>,</w:t>
      </w:r>
      <w:r w:rsidR="00724853" w:rsidRPr="00A34EB0">
        <w:rPr>
          <w:bCs/>
          <w:color w:val="000000" w:themeColor="text1"/>
          <w:sz w:val="28"/>
          <w:szCs w:val="28"/>
          <w:lang w:val="es-ES_tradnl"/>
        </w:rPr>
        <w:t xml:space="preserve"> para decidir sobre la suspensión de la ejecución de la pena, sin imponer un mandato automático de cumplimiento</w:t>
      </w:r>
      <w:r w:rsidR="004438E2" w:rsidRPr="00A34EB0">
        <w:rPr>
          <w:bCs/>
          <w:color w:val="000000" w:themeColor="text1"/>
          <w:sz w:val="28"/>
          <w:szCs w:val="28"/>
          <w:lang w:val="es-ES_tradnl"/>
        </w:rPr>
        <w:t>,</w:t>
      </w:r>
      <w:r w:rsidR="00E13672" w:rsidRPr="00A34EB0">
        <w:rPr>
          <w:bCs/>
          <w:color w:val="000000" w:themeColor="text1"/>
          <w:sz w:val="28"/>
          <w:szCs w:val="28"/>
          <w:lang w:val="es-ES_tradnl"/>
        </w:rPr>
        <w:t xml:space="preserve"> </w:t>
      </w:r>
      <w:r w:rsidR="00E13672" w:rsidRPr="00A34EB0">
        <w:rPr>
          <w:bCs/>
          <w:i/>
          <w:iCs/>
          <w:color w:val="000000" w:themeColor="text1"/>
          <w:sz w:val="28"/>
          <w:szCs w:val="28"/>
          <w:lang w:val="es-ES_tradnl"/>
        </w:rPr>
        <w:t>y no faculta al juez para privar de la libertad a una persona</w:t>
      </w:r>
      <w:r w:rsidR="00A34EB0" w:rsidRPr="00A34EB0">
        <w:rPr>
          <w:bCs/>
          <w:i/>
          <w:iCs/>
          <w:color w:val="000000" w:themeColor="text1"/>
          <w:sz w:val="28"/>
          <w:szCs w:val="28"/>
          <w:lang w:val="es-ES_tradnl"/>
        </w:rPr>
        <w:t>,</w:t>
      </w:r>
      <w:r w:rsidR="00E13672" w:rsidRPr="00A34EB0">
        <w:rPr>
          <w:bCs/>
          <w:i/>
          <w:iCs/>
          <w:color w:val="000000" w:themeColor="text1"/>
          <w:sz w:val="28"/>
          <w:szCs w:val="28"/>
          <w:lang w:val="es-ES_tradnl"/>
        </w:rPr>
        <w:t xml:space="preserve"> antes de que la sentencia quede en firme</w:t>
      </w:r>
      <w:r w:rsidR="00724853" w:rsidRPr="00A34EB0">
        <w:rPr>
          <w:bCs/>
          <w:color w:val="000000" w:themeColor="text1"/>
          <w:sz w:val="28"/>
          <w:szCs w:val="28"/>
          <w:lang w:val="es-ES_tradnl"/>
        </w:rPr>
        <w:t>. Por</w:t>
      </w:r>
      <w:r w:rsidR="00A34EB0" w:rsidRPr="00A34EB0">
        <w:rPr>
          <w:bCs/>
          <w:color w:val="000000" w:themeColor="text1"/>
          <w:sz w:val="28"/>
          <w:szCs w:val="28"/>
          <w:lang w:val="es-ES_tradnl"/>
        </w:rPr>
        <w:t xml:space="preserve"> lo</w:t>
      </w:r>
      <w:r w:rsidR="00724853" w:rsidRPr="00A34EB0">
        <w:rPr>
          <w:bCs/>
          <w:color w:val="000000" w:themeColor="text1"/>
          <w:sz w:val="28"/>
          <w:szCs w:val="28"/>
          <w:lang w:val="es-ES_tradnl"/>
        </w:rPr>
        <w:t xml:space="preserve"> tanto, al omitir la demanda ese mecanismo discrecional y su aplicación de acuerdo con una ponderación individual, no demostró la existencia de una interpretación judicial que </w:t>
      </w:r>
      <w:r w:rsidR="00A34EB0">
        <w:rPr>
          <w:bCs/>
          <w:color w:val="000000" w:themeColor="text1"/>
          <w:sz w:val="28"/>
          <w:szCs w:val="28"/>
          <w:lang w:val="es-ES_tradnl"/>
        </w:rPr>
        <w:t xml:space="preserve">se </w:t>
      </w:r>
      <w:r w:rsidR="00724853" w:rsidRPr="00A34EB0">
        <w:rPr>
          <w:bCs/>
          <w:color w:val="000000" w:themeColor="text1"/>
          <w:sz w:val="28"/>
          <w:szCs w:val="28"/>
          <w:lang w:val="es-ES_tradnl"/>
        </w:rPr>
        <w:t>derive de dicho artículo</w:t>
      </w:r>
      <w:r w:rsidR="00A34EB0">
        <w:rPr>
          <w:bCs/>
          <w:color w:val="000000" w:themeColor="text1"/>
          <w:sz w:val="28"/>
          <w:szCs w:val="28"/>
          <w:lang w:val="es-ES_tradnl"/>
        </w:rPr>
        <w:t xml:space="preserve"> y que imponga</w:t>
      </w:r>
      <w:r w:rsidR="00724853" w:rsidRPr="00A34EB0">
        <w:rPr>
          <w:bCs/>
          <w:color w:val="000000" w:themeColor="text1"/>
          <w:sz w:val="28"/>
          <w:szCs w:val="28"/>
          <w:lang w:val="es-ES_tradnl"/>
        </w:rPr>
        <w:t xml:space="preserve"> una obligación de ejecutar forzosamente </w:t>
      </w:r>
      <w:r w:rsidR="00724853" w:rsidRPr="00815F29">
        <w:rPr>
          <w:bCs/>
          <w:color w:val="000000" w:themeColor="text1"/>
          <w:sz w:val="28"/>
          <w:szCs w:val="28"/>
          <w:lang w:val="es-ES_tradnl"/>
        </w:rPr>
        <w:t>la condena apelada.</w:t>
      </w:r>
      <w:r w:rsidR="002B10BE" w:rsidRPr="00815F29">
        <w:rPr>
          <w:bCs/>
          <w:color w:val="000000" w:themeColor="text1"/>
          <w:sz w:val="28"/>
          <w:szCs w:val="28"/>
          <w:lang w:val="es-ES_tradnl"/>
        </w:rPr>
        <w:t xml:space="preserve"> De hecho, el </w:t>
      </w:r>
      <w:r w:rsidR="00A34EB0" w:rsidRPr="00815F29">
        <w:rPr>
          <w:bCs/>
          <w:color w:val="000000" w:themeColor="text1"/>
          <w:sz w:val="28"/>
          <w:szCs w:val="28"/>
          <w:lang w:val="es-ES_tradnl"/>
        </w:rPr>
        <w:t xml:space="preserve">actor </w:t>
      </w:r>
      <w:r w:rsidR="002B10BE" w:rsidRPr="00815F29">
        <w:rPr>
          <w:bCs/>
          <w:color w:val="000000" w:themeColor="text1"/>
          <w:sz w:val="28"/>
          <w:szCs w:val="28"/>
          <w:lang w:val="es-ES_tradnl"/>
        </w:rPr>
        <w:t>desconoció la jurisprudencia de esta Co</w:t>
      </w:r>
      <w:r w:rsidR="00A34EB0" w:rsidRPr="00815F29">
        <w:rPr>
          <w:bCs/>
          <w:color w:val="000000" w:themeColor="text1"/>
          <w:sz w:val="28"/>
          <w:szCs w:val="28"/>
          <w:lang w:val="es-ES_tradnl"/>
        </w:rPr>
        <w:t xml:space="preserve">rte, la cual </w:t>
      </w:r>
      <w:r w:rsidR="002B10BE" w:rsidRPr="00815F29">
        <w:rPr>
          <w:bCs/>
          <w:color w:val="000000" w:themeColor="text1"/>
          <w:sz w:val="28"/>
          <w:szCs w:val="28"/>
          <w:lang w:val="es-ES_tradnl"/>
        </w:rPr>
        <w:t>ha reconocido</w:t>
      </w:r>
      <w:r w:rsidR="004438E2" w:rsidRPr="00815F29">
        <w:rPr>
          <w:bCs/>
          <w:color w:val="000000" w:themeColor="text1"/>
          <w:sz w:val="28"/>
          <w:szCs w:val="28"/>
          <w:lang w:val="es-ES_tradnl"/>
        </w:rPr>
        <w:t>,</w:t>
      </w:r>
      <w:r w:rsidR="002B10BE" w:rsidRPr="00815F29">
        <w:rPr>
          <w:bCs/>
          <w:color w:val="000000" w:themeColor="text1"/>
          <w:sz w:val="28"/>
          <w:szCs w:val="28"/>
          <w:lang w:val="es-ES_tradnl"/>
        </w:rPr>
        <w:t xml:space="preserve"> con fundamento en el artículo 450 del CPP, </w:t>
      </w:r>
      <w:r w:rsidR="009B2362" w:rsidRPr="00815F29">
        <w:rPr>
          <w:bCs/>
          <w:color w:val="000000" w:themeColor="text1"/>
          <w:sz w:val="28"/>
          <w:szCs w:val="28"/>
          <w:lang w:val="es-ES_tradnl"/>
        </w:rPr>
        <w:t>la posibilidad excepcional de ordenar la privación de la libertad</w:t>
      </w:r>
      <w:r w:rsidR="00A34EB0" w:rsidRPr="00815F29">
        <w:rPr>
          <w:bCs/>
          <w:color w:val="000000" w:themeColor="text1"/>
          <w:sz w:val="28"/>
          <w:szCs w:val="28"/>
          <w:lang w:val="es-ES_tradnl"/>
        </w:rPr>
        <w:t>,</w:t>
      </w:r>
      <w:r w:rsidR="009B2362" w:rsidRPr="00815F29">
        <w:rPr>
          <w:bCs/>
          <w:color w:val="000000" w:themeColor="text1"/>
          <w:sz w:val="28"/>
          <w:szCs w:val="28"/>
          <w:lang w:val="es-ES_tradnl"/>
        </w:rPr>
        <w:t xml:space="preserve"> con el sentido del fallo o </w:t>
      </w:r>
      <w:r w:rsidR="00A34EB0" w:rsidRPr="00815F29">
        <w:rPr>
          <w:bCs/>
          <w:color w:val="000000" w:themeColor="text1"/>
          <w:sz w:val="28"/>
          <w:szCs w:val="28"/>
          <w:lang w:val="es-ES_tradnl"/>
        </w:rPr>
        <w:t>con</w:t>
      </w:r>
      <w:r w:rsidR="009B2362" w:rsidRPr="00815F29">
        <w:rPr>
          <w:bCs/>
          <w:color w:val="000000" w:themeColor="text1"/>
          <w:sz w:val="28"/>
          <w:szCs w:val="28"/>
          <w:lang w:val="es-ES_tradnl"/>
        </w:rPr>
        <w:t xml:space="preserve"> la primera sentencia condenatoria, esto es, antes de que se encuentre ejecutoriada</w:t>
      </w:r>
      <w:r w:rsidR="00A34EB0" w:rsidRPr="00815F29">
        <w:rPr>
          <w:rStyle w:val="Refdenotaalpie"/>
          <w:bCs/>
          <w:color w:val="000000" w:themeColor="text1"/>
          <w:lang w:val="es-ES_tradnl"/>
        </w:rPr>
        <w:footnoteReference w:id="30"/>
      </w:r>
      <w:r w:rsidR="009B2362" w:rsidRPr="00815F29">
        <w:rPr>
          <w:bCs/>
          <w:color w:val="000000" w:themeColor="text1"/>
          <w:sz w:val="28"/>
          <w:szCs w:val="28"/>
          <w:lang w:val="es-ES_tradnl"/>
        </w:rPr>
        <w:t xml:space="preserve">. </w:t>
      </w:r>
      <w:r w:rsidR="00555DA6" w:rsidRPr="00815F29">
        <w:rPr>
          <w:bCs/>
          <w:color w:val="000000" w:themeColor="text1"/>
          <w:sz w:val="28"/>
          <w:szCs w:val="28"/>
          <w:lang w:val="es-ES_tradnl"/>
        </w:rPr>
        <w:t xml:space="preserve">La falta de una lectura integrada de las normas con la jurisprudencia constitucional redunda en la ausencia del cumplimiento del requisito de certeza.  </w:t>
      </w:r>
    </w:p>
    <w:p w14:paraId="2F4211DE" w14:textId="77777777" w:rsidR="00724853" w:rsidRPr="00815F29" w:rsidRDefault="00724853" w:rsidP="00E067C2">
      <w:pPr>
        <w:pStyle w:val="Prrafodelista"/>
        <w:rPr>
          <w:bCs/>
          <w:color w:val="000000" w:themeColor="text1"/>
          <w:sz w:val="28"/>
          <w:szCs w:val="28"/>
          <w:lang w:val="es-ES_tradnl"/>
        </w:rPr>
      </w:pPr>
    </w:p>
    <w:p w14:paraId="0DA1433E" w14:textId="1FEE0456" w:rsidR="00BC4D5B" w:rsidRPr="00815F29" w:rsidRDefault="00724853"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815F29">
        <w:rPr>
          <w:bCs/>
          <w:color w:val="000000" w:themeColor="text1"/>
          <w:sz w:val="28"/>
          <w:szCs w:val="28"/>
          <w:lang w:val="es-ES_tradnl"/>
        </w:rPr>
        <w:t xml:space="preserve">En todo caso, la Corte considera que los dos cargos formulados en la demanda carecen </w:t>
      </w:r>
      <w:r w:rsidR="00815F29" w:rsidRPr="00815F29">
        <w:rPr>
          <w:bCs/>
          <w:color w:val="000000" w:themeColor="text1"/>
          <w:sz w:val="28"/>
          <w:szCs w:val="28"/>
          <w:lang w:val="es-ES_tradnl"/>
        </w:rPr>
        <w:t>del citado requisito</w:t>
      </w:r>
      <w:r w:rsidR="004438E2" w:rsidRPr="00815F29">
        <w:rPr>
          <w:bCs/>
          <w:color w:val="000000" w:themeColor="text1"/>
          <w:sz w:val="28"/>
          <w:szCs w:val="28"/>
          <w:lang w:val="es-ES_tradnl"/>
        </w:rPr>
        <w:t>,</w:t>
      </w:r>
      <w:r w:rsidRPr="00815F29">
        <w:rPr>
          <w:bCs/>
          <w:color w:val="000000" w:themeColor="text1"/>
          <w:sz w:val="28"/>
          <w:szCs w:val="28"/>
          <w:lang w:val="es-ES_tradnl"/>
        </w:rPr>
        <w:t xml:space="preserve"> toda vez que el ciudadano se limitó a citar sentencias aisladas de la Sala de Casación Penal de la Corte Suprema de Justicia que ordenan la captura </w:t>
      </w:r>
      <w:r w:rsidR="00F55C07" w:rsidRPr="00815F29">
        <w:rPr>
          <w:bCs/>
          <w:color w:val="000000" w:themeColor="text1"/>
          <w:sz w:val="28"/>
          <w:szCs w:val="28"/>
          <w:lang w:val="es-ES_tradnl"/>
        </w:rPr>
        <w:t>tras el anuncio del fallo condenatorio, pero omitió explicar que en esas decisiones se aplic</w:t>
      </w:r>
      <w:r w:rsidR="004438E2" w:rsidRPr="00815F29">
        <w:rPr>
          <w:bCs/>
          <w:color w:val="000000" w:themeColor="text1"/>
          <w:sz w:val="28"/>
          <w:szCs w:val="28"/>
          <w:lang w:val="es-ES_tradnl"/>
        </w:rPr>
        <w:t>aron</w:t>
      </w:r>
      <w:r w:rsidR="00F55C07" w:rsidRPr="00815F29">
        <w:rPr>
          <w:bCs/>
          <w:color w:val="000000" w:themeColor="text1"/>
          <w:sz w:val="28"/>
          <w:szCs w:val="28"/>
          <w:lang w:val="es-ES_tradnl"/>
        </w:rPr>
        <w:t xml:space="preserve"> conjuntamente los artículos 177 y </w:t>
      </w:r>
      <w:r w:rsidR="00F55C07" w:rsidRPr="00815F29">
        <w:rPr>
          <w:b/>
          <w:color w:val="000000" w:themeColor="text1"/>
          <w:sz w:val="28"/>
          <w:szCs w:val="28"/>
          <w:lang w:val="es-ES_tradnl"/>
        </w:rPr>
        <w:t>450 el CPP</w:t>
      </w:r>
      <w:r w:rsidR="00F55C07" w:rsidRPr="00815F29">
        <w:rPr>
          <w:bCs/>
          <w:color w:val="000000" w:themeColor="text1"/>
          <w:sz w:val="28"/>
          <w:szCs w:val="28"/>
          <w:lang w:val="es-ES_tradnl"/>
        </w:rPr>
        <w:t xml:space="preserve"> </w:t>
      </w:r>
      <w:r w:rsidR="00815F29" w:rsidRPr="00815F29">
        <w:rPr>
          <w:color w:val="000000" w:themeColor="text1"/>
          <w:sz w:val="28"/>
          <w:szCs w:val="28"/>
          <w:lang w:val="es-CO"/>
        </w:rPr>
        <w:t>–</w:t>
      </w:r>
      <w:r w:rsidR="00F55C07" w:rsidRPr="00815F29">
        <w:rPr>
          <w:bCs/>
          <w:color w:val="000000" w:themeColor="text1"/>
          <w:sz w:val="28"/>
          <w:szCs w:val="28"/>
          <w:lang w:val="es-ES_tradnl"/>
        </w:rPr>
        <w:t>este último precepto no fue sometido a escrutinio constitucional</w:t>
      </w:r>
      <w:r w:rsidR="00815F29" w:rsidRPr="00815F29">
        <w:rPr>
          <w:color w:val="000000" w:themeColor="text1"/>
          <w:sz w:val="28"/>
          <w:szCs w:val="28"/>
          <w:lang w:val="es-CO"/>
        </w:rPr>
        <w:t>–</w:t>
      </w:r>
      <w:r w:rsidR="00BC41C6" w:rsidRPr="00815F29">
        <w:rPr>
          <w:bCs/>
          <w:color w:val="000000" w:themeColor="text1"/>
          <w:sz w:val="28"/>
          <w:szCs w:val="28"/>
          <w:lang w:val="es-ES_tradnl"/>
        </w:rPr>
        <w:t xml:space="preserve"> y, además, fue objeto de control en la </w:t>
      </w:r>
      <w:r w:rsidR="004438E2" w:rsidRPr="00815F29">
        <w:rPr>
          <w:bCs/>
          <w:color w:val="000000" w:themeColor="text1"/>
          <w:sz w:val="28"/>
          <w:szCs w:val="28"/>
          <w:lang w:val="es-ES_tradnl"/>
        </w:rPr>
        <w:t xml:space="preserve">sentencia </w:t>
      </w:r>
      <w:r w:rsidR="00BC41C6" w:rsidRPr="00815F29">
        <w:rPr>
          <w:bCs/>
          <w:color w:val="000000" w:themeColor="text1"/>
          <w:sz w:val="28"/>
          <w:szCs w:val="28"/>
          <w:lang w:val="es-ES_tradnl"/>
        </w:rPr>
        <w:t>C-</w:t>
      </w:r>
      <w:r w:rsidR="008F0501" w:rsidRPr="00815F29">
        <w:rPr>
          <w:bCs/>
          <w:color w:val="000000" w:themeColor="text1"/>
          <w:sz w:val="28"/>
          <w:szCs w:val="28"/>
          <w:lang w:val="es-ES_tradnl"/>
        </w:rPr>
        <w:t>342 de 2017</w:t>
      </w:r>
      <w:r w:rsidR="00815F29">
        <w:rPr>
          <w:bCs/>
          <w:color w:val="000000" w:themeColor="text1"/>
          <w:sz w:val="28"/>
          <w:szCs w:val="28"/>
          <w:lang w:val="es-ES_tradnl"/>
        </w:rPr>
        <w:t>, siendo declarado exequible, tal como se explicó con anterioridad</w:t>
      </w:r>
      <w:r w:rsidR="00F55C07" w:rsidRPr="00815F29">
        <w:rPr>
          <w:bCs/>
          <w:color w:val="000000" w:themeColor="text1"/>
          <w:sz w:val="28"/>
          <w:szCs w:val="28"/>
          <w:lang w:val="es-ES_tradnl"/>
        </w:rPr>
        <w:t>. En consecuencia, no se demuestra que tales providencias respondan a una interpretación autónoma y exclusiva del artículo 177 del CPP.</w:t>
      </w:r>
    </w:p>
    <w:p w14:paraId="1F049F64" w14:textId="77777777" w:rsidR="00F55C07" w:rsidRPr="00815F29" w:rsidRDefault="00F55C07" w:rsidP="00E067C2">
      <w:pPr>
        <w:pStyle w:val="Prrafodelista"/>
        <w:rPr>
          <w:bCs/>
          <w:color w:val="000000" w:themeColor="text1"/>
          <w:sz w:val="28"/>
          <w:szCs w:val="28"/>
          <w:lang w:val="es-CO"/>
        </w:rPr>
      </w:pPr>
    </w:p>
    <w:p w14:paraId="001C78B1" w14:textId="40E5A50B" w:rsidR="0055648D" w:rsidRPr="00815F29" w:rsidRDefault="00F55C07"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815F29">
        <w:rPr>
          <w:bCs/>
          <w:color w:val="000000" w:themeColor="text1"/>
          <w:sz w:val="28"/>
          <w:szCs w:val="28"/>
          <w:lang w:val="es-CO"/>
        </w:rPr>
        <w:t xml:space="preserve">Por último, tampoco es posible </w:t>
      </w:r>
      <w:r w:rsidR="0055648D" w:rsidRPr="00815F29">
        <w:rPr>
          <w:bCs/>
          <w:color w:val="000000" w:themeColor="text1"/>
          <w:sz w:val="28"/>
          <w:szCs w:val="28"/>
          <w:lang w:val="es-CO"/>
        </w:rPr>
        <w:t>establecer</w:t>
      </w:r>
      <w:r w:rsidRPr="00815F29">
        <w:rPr>
          <w:bCs/>
          <w:color w:val="000000" w:themeColor="text1"/>
          <w:sz w:val="28"/>
          <w:szCs w:val="28"/>
          <w:lang w:val="es-CO"/>
        </w:rPr>
        <w:t xml:space="preserve"> que la acusación presentada en la </w:t>
      </w:r>
      <w:r w:rsidRPr="00815F29">
        <w:rPr>
          <w:bCs/>
          <w:color w:val="000000" w:themeColor="text1"/>
          <w:sz w:val="28"/>
          <w:szCs w:val="28"/>
          <w:lang w:val="es-CO"/>
        </w:rPr>
        <w:lastRenderedPageBreak/>
        <w:t>demanda constituya una interpretación uniforme y pacífica, pues la postura invocada por el demandante ha sido modificada en decisiones recientes de la Sala de Casación Penal de la Corte Suprema de Justicia</w:t>
      </w:r>
      <w:r w:rsidR="004438E2" w:rsidRPr="00815F29">
        <w:rPr>
          <w:bCs/>
          <w:color w:val="000000" w:themeColor="text1"/>
          <w:sz w:val="28"/>
          <w:szCs w:val="28"/>
          <w:lang w:val="es-CO"/>
        </w:rPr>
        <w:t>,</w:t>
      </w:r>
      <w:r w:rsidRPr="00815F29">
        <w:rPr>
          <w:bCs/>
          <w:color w:val="000000" w:themeColor="text1"/>
          <w:sz w:val="28"/>
          <w:szCs w:val="28"/>
          <w:lang w:val="es-CO"/>
        </w:rPr>
        <w:t xml:space="preserve"> como bien lo señaló el propio escrito de corrección de la demanda</w:t>
      </w:r>
      <w:r w:rsidR="00815F29">
        <w:rPr>
          <w:bCs/>
          <w:color w:val="000000" w:themeColor="text1"/>
          <w:sz w:val="28"/>
          <w:szCs w:val="28"/>
          <w:lang w:val="es-CO"/>
        </w:rPr>
        <w:t>,</w:t>
      </w:r>
      <w:r w:rsidRPr="00815F29">
        <w:rPr>
          <w:bCs/>
          <w:color w:val="000000" w:themeColor="text1"/>
          <w:sz w:val="28"/>
          <w:szCs w:val="28"/>
          <w:lang w:val="es-CO"/>
        </w:rPr>
        <w:t xml:space="preserve"> al indicar que </w:t>
      </w:r>
      <w:r w:rsidRPr="00815F29">
        <w:rPr>
          <w:color w:val="000000" w:themeColor="text1"/>
          <w:sz w:val="28"/>
          <w:szCs w:val="28"/>
          <w:lang w:val="es-CO"/>
        </w:rPr>
        <w:t xml:space="preserve">mediante </w:t>
      </w:r>
      <w:r w:rsidR="00166F81" w:rsidRPr="00815F29">
        <w:rPr>
          <w:color w:val="000000" w:themeColor="text1"/>
          <w:sz w:val="28"/>
          <w:szCs w:val="28"/>
          <w:lang w:val="es-CO"/>
        </w:rPr>
        <w:t xml:space="preserve">la </w:t>
      </w:r>
      <w:r w:rsidRPr="00815F29">
        <w:rPr>
          <w:color w:val="000000" w:themeColor="text1"/>
          <w:sz w:val="28"/>
          <w:szCs w:val="28"/>
          <w:lang w:val="es-CO"/>
        </w:rPr>
        <w:t>sentenci</w:t>
      </w:r>
      <w:r w:rsidR="00166F81" w:rsidRPr="00815F29">
        <w:rPr>
          <w:color w:val="000000" w:themeColor="text1"/>
          <w:sz w:val="28"/>
          <w:szCs w:val="28"/>
          <w:lang w:val="es-CO"/>
        </w:rPr>
        <w:t>a</w:t>
      </w:r>
      <w:r w:rsidRPr="00815F29">
        <w:rPr>
          <w:color w:val="000000" w:themeColor="text1"/>
          <w:sz w:val="28"/>
          <w:szCs w:val="28"/>
          <w:lang w:val="es-CO"/>
        </w:rPr>
        <w:t xml:space="preserve"> STP8591-2023 del 23 de agosto de 2023</w:t>
      </w:r>
      <w:r w:rsidR="00815F29">
        <w:rPr>
          <w:color w:val="000000" w:themeColor="text1"/>
          <w:sz w:val="28"/>
          <w:szCs w:val="28"/>
          <w:lang w:val="es-CO"/>
        </w:rPr>
        <w:t>,</w:t>
      </w:r>
      <w:r w:rsidRPr="00815F29">
        <w:rPr>
          <w:color w:val="000000" w:themeColor="text1"/>
          <w:sz w:val="28"/>
          <w:szCs w:val="28"/>
          <w:lang w:val="es-CO"/>
        </w:rPr>
        <w:t xml:space="preserve"> el alto tribunal de la </w:t>
      </w:r>
      <w:r w:rsidR="00815F29">
        <w:rPr>
          <w:color w:val="000000" w:themeColor="text1"/>
          <w:sz w:val="28"/>
          <w:szCs w:val="28"/>
          <w:lang w:val="es-CO"/>
        </w:rPr>
        <w:t>J</w:t>
      </w:r>
      <w:r w:rsidRPr="00815F29">
        <w:rPr>
          <w:color w:val="000000" w:themeColor="text1"/>
          <w:sz w:val="28"/>
          <w:szCs w:val="28"/>
          <w:lang w:val="es-CO"/>
        </w:rPr>
        <w:t xml:space="preserve">urisdicción </w:t>
      </w:r>
      <w:r w:rsidR="00815F29">
        <w:rPr>
          <w:color w:val="000000" w:themeColor="text1"/>
          <w:sz w:val="28"/>
          <w:szCs w:val="28"/>
          <w:lang w:val="es-CO"/>
        </w:rPr>
        <w:t>Ordinaria P</w:t>
      </w:r>
      <w:r w:rsidRPr="00815F29">
        <w:rPr>
          <w:color w:val="000000" w:themeColor="text1"/>
          <w:sz w:val="28"/>
          <w:szCs w:val="28"/>
          <w:lang w:val="es-CO"/>
        </w:rPr>
        <w:t xml:space="preserve">enal replanteó su postura </w:t>
      </w:r>
      <w:r w:rsidR="00815F29" w:rsidRPr="00815F29">
        <w:rPr>
          <w:color w:val="000000" w:themeColor="text1"/>
          <w:sz w:val="28"/>
          <w:szCs w:val="28"/>
          <w:lang w:val="es-CO"/>
        </w:rPr>
        <w:t>sobre</w:t>
      </w:r>
      <w:r w:rsidRPr="00815F29">
        <w:rPr>
          <w:color w:val="000000" w:themeColor="text1"/>
          <w:sz w:val="28"/>
          <w:szCs w:val="28"/>
          <w:lang w:val="es-CO"/>
        </w:rPr>
        <w:t xml:space="preserve"> la necesidad de motivar la orden de captura</w:t>
      </w:r>
      <w:r w:rsidR="0055648D" w:rsidRPr="00815F29">
        <w:rPr>
          <w:color w:val="000000" w:themeColor="text1"/>
          <w:sz w:val="28"/>
          <w:szCs w:val="28"/>
          <w:lang w:val="es-CO"/>
        </w:rPr>
        <w:t>, providencia a la que también hizo referencia el Ministerio de Justicia y del Derecho en su intervención.</w:t>
      </w:r>
      <w:r w:rsidR="00166F81" w:rsidRPr="00815F29">
        <w:rPr>
          <w:color w:val="000000" w:themeColor="text1"/>
          <w:sz w:val="28"/>
          <w:szCs w:val="28"/>
          <w:lang w:val="es-CO"/>
        </w:rPr>
        <w:t xml:space="preserve"> Lo anterior demuestra la existencia de criterios </w:t>
      </w:r>
      <w:r w:rsidR="00166F81" w:rsidRPr="00815F29">
        <w:rPr>
          <w:i/>
          <w:iCs/>
          <w:color w:val="000000" w:themeColor="text1"/>
          <w:sz w:val="28"/>
          <w:szCs w:val="28"/>
          <w:lang w:val="es-CO"/>
        </w:rPr>
        <w:t>contrapuestos</w:t>
      </w:r>
      <w:r w:rsidR="00166F81" w:rsidRPr="00815F29">
        <w:rPr>
          <w:color w:val="000000" w:themeColor="text1"/>
          <w:sz w:val="28"/>
          <w:szCs w:val="28"/>
          <w:lang w:val="es-CO"/>
        </w:rPr>
        <w:t xml:space="preserve"> y</w:t>
      </w:r>
      <w:r w:rsidR="004438E2" w:rsidRPr="00815F29">
        <w:rPr>
          <w:color w:val="000000" w:themeColor="text1"/>
          <w:sz w:val="28"/>
          <w:szCs w:val="28"/>
          <w:lang w:val="es-CO"/>
        </w:rPr>
        <w:t>,</w:t>
      </w:r>
      <w:r w:rsidR="00166F81" w:rsidRPr="00815F29">
        <w:rPr>
          <w:color w:val="000000" w:themeColor="text1"/>
          <w:sz w:val="28"/>
          <w:szCs w:val="28"/>
          <w:lang w:val="es-CO"/>
        </w:rPr>
        <w:t xml:space="preserve"> con ello, la ausencia de una práctica reiterada y no controvertida.</w:t>
      </w:r>
    </w:p>
    <w:p w14:paraId="5BDE019F" w14:textId="77777777" w:rsidR="0055648D" w:rsidRPr="00815F29" w:rsidRDefault="0055648D" w:rsidP="00E067C2">
      <w:pPr>
        <w:pStyle w:val="Prrafodelista"/>
        <w:rPr>
          <w:bCs/>
          <w:color w:val="000000" w:themeColor="text1"/>
          <w:sz w:val="28"/>
          <w:szCs w:val="28"/>
          <w:lang w:val="es-CO"/>
        </w:rPr>
      </w:pPr>
    </w:p>
    <w:p w14:paraId="306989F3" w14:textId="3B4EE152" w:rsidR="0055648D" w:rsidRPr="00815F29" w:rsidRDefault="00E42B2B" w:rsidP="00E067C2">
      <w:pPr>
        <w:pStyle w:val="Textoindependiente"/>
        <w:widowControl w:val="0"/>
        <w:numPr>
          <w:ilvl w:val="0"/>
          <w:numId w:val="30"/>
        </w:numPr>
        <w:tabs>
          <w:tab w:val="left" w:pos="567"/>
        </w:tabs>
        <w:autoSpaceDE w:val="0"/>
        <w:autoSpaceDN w:val="0"/>
        <w:spacing w:after="0"/>
        <w:ind w:left="0" w:right="19" w:firstLine="0"/>
        <w:jc w:val="both"/>
        <w:rPr>
          <w:bCs/>
          <w:color w:val="000000" w:themeColor="text1"/>
          <w:sz w:val="28"/>
          <w:szCs w:val="28"/>
          <w:lang w:val="es-CO"/>
        </w:rPr>
      </w:pPr>
      <w:r w:rsidRPr="00815F29">
        <w:rPr>
          <w:bCs/>
          <w:color w:val="000000" w:themeColor="text1"/>
          <w:sz w:val="28"/>
          <w:szCs w:val="28"/>
          <w:lang w:val="es-CO"/>
        </w:rPr>
        <w:t xml:space="preserve">En la referida providencia, la Sala de Casación Penal de la Corte Suprema de Justicia afirmó que: </w:t>
      </w:r>
    </w:p>
    <w:p w14:paraId="3172288E" w14:textId="77777777" w:rsidR="004768FA" w:rsidRPr="00815F29" w:rsidRDefault="004768FA" w:rsidP="00E067C2">
      <w:pPr>
        <w:pStyle w:val="Prrafodelista"/>
        <w:rPr>
          <w:bCs/>
          <w:color w:val="000000" w:themeColor="text1"/>
          <w:sz w:val="28"/>
          <w:szCs w:val="28"/>
          <w:lang w:val="es-CO"/>
        </w:rPr>
      </w:pPr>
    </w:p>
    <w:p w14:paraId="22DDC8EE" w14:textId="7279E877" w:rsidR="004768FA" w:rsidRPr="00815F29" w:rsidRDefault="004768FA" w:rsidP="00815F29">
      <w:pPr>
        <w:pStyle w:val="Textoindependiente"/>
        <w:widowControl w:val="0"/>
        <w:tabs>
          <w:tab w:val="left" w:pos="567"/>
        </w:tabs>
        <w:autoSpaceDE w:val="0"/>
        <w:autoSpaceDN w:val="0"/>
        <w:spacing w:after="0"/>
        <w:ind w:left="567" w:right="475"/>
        <w:jc w:val="both"/>
        <w:rPr>
          <w:bCs/>
          <w:color w:val="000000" w:themeColor="text1"/>
          <w:sz w:val="28"/>
          <w:szCs w:val="28"/>
          <w:lang w:val="es-ES_tradnl"/>
        </w:rPr>
      </w:pPr>
      <w:r w:rsidRPr="00815F29">
        <w:rPr>
          <w:color w:val="000000" w:themeColor="text1"/>
          <w:lang w:val="es-ES_tradnl"/>
        </w:rPr>
        <w:t>“</w:t>
      </w:r>
      <w:r w:rsidRPr="00815F29">
        <w:rPr>
          <w:b/>
          <w:bCs/>
          <w:color w:val="000000" w:themeColor="text1"/>
          <w:lang w:val="es-ES_tradnl"/>
        </w:rPr>
        <w:t>Sobre la carga argumentativa del anuncio del sentido del fallo</w:t>
      </w:r>
      <w:r w:rsidRPr="00815F29">
        <w:rPr>
          <w:color w:val="000000" w:themeColor="text1"/>
          <w:lang w:val="es-ES_tradnl"/>
        </w:rPr>
        <w:t xml:space="preserve">, la Sala se ha pronunciado en diferentes providencias, entre las que se encuentran las decisiones CSJ AP3315-2021 y CSJ SP2685–2022 (…). Significa lo anterior </w:t>
      </w:r>
      <w:proofErr w:type="gramStart"/>
      <w:r w:rsidRPr="00815F29">
        <w:rPr>
          <w:color w:val="000000" w:themeColor="text1"/>
          <w:lang w:val="es-ES_tradnl"/>
        </w:rPr>
        <w:t>que</w:t>
      </w:r>
      <w:proofErr w:type="gramEnd"/>
      <w:r w:rsidRPr="00815F29">
        <w:rPr>
          <w:color w:val="000000" w:themeColor="text1"/>
          <w:lang w:val="es-ES_tradnl"/>
        </w:rPr>
        <w:t xml:space="preserve"> </w:t>
      </w:r>
      <w:r w:rsidRPr="00815F29">
        <w:rPr>
          <w:b/>
          <w:bCs/>
          <w:color w:val="000000" w:themeColor="text1"/>
          <w:lang w:val="es-ES_tradnl"/>
        </w:rPr>
        <w:t>pese</w:t>
      </w:r>
      <w:r w:rsidRPr="00815F29">
        <w:rPr>
          <w:color w:val="000000" w:themeColor="text1"/>
          <w:lang w:val="es-ES_tradnl"/>
        </w:rPr>
        <w:t xml:space="preserve"> </w:t>
      </w:r>
      <w:r w:rsidRPr="00815F29">
        <w:rPr>
          <w:b/>
          <w:bCs/>
          <w:color w:val="000000" w:themeColor="text1"/>
          <w:lang w:val="es-ES_tradnl"/>
        </w:rPr>
        <w:t>a que</w:t>
      </w:r>
      <w:r w:rsidRPr="00815F29">
        <w:rPr>
          <w:color w:val="000000" w:themeColor="text1"/>
          <w:lang w:val="es-ES_tradnl"/>
        </w:rPr>
        <w:t xml:space="preserve"> el anuncio del sentido del fallo </w:t>
      </w:r>
      <w:r w:rsidRPr="00815F29">
        <w:rPr>
          <w:b/>
          <w:bCs/>
          <w:color w:val="000000" w:themeColor="text1"/>
          <w:lang w:val="es-ES_tradnl"/>
        </w:rPr>
        <w:t>no requiere una argumentación «absoluta», sí debe contener una mínima exposición de motivos que respalde el carácter condenatorio o absolutorio y las consecuencias sobre la libertad del procesado.</w:t>
      </w:r>
      <w:r w:rsidRPr="00815F29">
        <w:rPr>
          <w:color w:val="000000" w:themeColor="text1"/>
          <w:lang w:val="es-ES_tradnl"/>
        </w:rPr>
        <w:t xml:space="preserve"> Específicamente, el juez tiene la obligación de (i) individualizar la determinación frente a cada uno de los enjuiciados y los cargos consignados en la acusación; (</w:t>
      </w:r>
      <w:proofErr w:type="spellStart"/>
      <w:r w:rsidRPr="00815F29">
        <w:rPr>
          <w:color w:val="000000" w:themeColor="text1"/>
          <w:lang w:val="es-ES_tradnl"/>
        </w:rPr>
        <w:t>ii</w:t>
      </w:r>
      <w:proofErr w:type="spellEnd"/>
      <w:r w:rsidRPr="00815F29">
        <w:rPr>
          <w:color w:val="000000" w:themeColor="text1"/>
          <w:lang w:val="es-ES_tradnl"/>
        </w:rPr>
        <w:t>) identificar el delito por el que se examina la responsabilidad de la persona; (</w:t>
      </w:r>
      <w:proofErr w:type="spellStart"/>
      <w:r w:rsidRPr="00815F29">
        <w:rPr>
          <w:color w:val="000000" w:themeColor="text1"/>
          <w:lang w:val="es-ES_tradnl"/>
        </w:rPr>
        <w:t>iii</w:t>
      </w:r>
      <w:proofErr w:type="spellEnd"/>
      <w:r w:rsidRPr="00815F29">
        <w:rPr>
          <w:color w:val="000000" w:themeColor="text1"/>
          <w:lang w:val="es-ES_tradnl"/>
        </w:rPr>
        <w:t>) emitir una superficial respuesta a lo principal de los alegatos (art. 446 de la Ley 906 de 2004), y (</w:t>
      </w:r>
      <w:proofErr w:type="spellStart"/>
      <w:r w:rsidRPr="00815F29">
        <w:rPr>
          <w:color w:val="000000" w:themeColor="text1"/>
          <w:lang w:val="es-ES_tradnl"/>
        </w:rPr>
        <w:t>iv</w:t>
      </w:r>
      <w:proofErr w:type="spellEnd"/>
      <w:r w:rsidRPr="00815F29">
        <w:rPr>
          <w:color w:val="000000" w:themeColor="text1"/>
          <w:lang w:val="es-ES_tradnl"/>
        </w:rPr>
        <w:t>) pronunciarse sobre la libertad (arts. 449 a 453)”</w:t>
      </w:r>
      <w:r w:rsidRPr="00815F29">
        <w:rPr>
          <w:rStyle w:val="Refdenotaalpie"/>
          <w:color w:val="000000" w:themeColor="text1"/>
          <w:lang w:val="es-ES_tradnl"/>
        </w:rPr>
        <w:footnoteReference w:id="31"/>
      </w:r>
      <w:r w:rsidRPr="00815F29">
        <w:rPr>
          <w:color w:val="000000" w:themeColor="text1"/>
          <w:lang w:val="es-ES_tradnl"/>
        </w:rPr>
        <w:t>.</w:t>
      </w:r>
    </w:p>
    <w:p w14:paraId="3B53A04C" w14:textId="77777777" w:rsidR="00724853" w:rsidRPr="00815F29" w:rsidRDefault="00724853" w:rsidP="00E067C2">
      <w:pPr>
        <w:jc w:val="both"/>
        <w:rPr>
          <w:color w:val="000000" w:themeColor="text1"/>
          <w:sz w:val="28"/>
          <w:szCs w:val="28"/>
        </w:rPr>
      </w:pPr>
    </w:p>
    <w:p w14:paraId="0843BAFA" w14:textId="5C824A12" w:rsidR="00F76A08" w:rsidRPr="00815F29" w:rsidRDefault="00F76A08" w:rsidP="00EB7257">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815F29">
        <w:rPr>
          <w:color w:val="000000" w:themeColor="text1"/>
          <w:sz w:val="28"/>
          <w:szCs w:val="28"/>
          <w:lang w:val="es-ES_tradnl"/>
        </w:rPr>
        <w:t xml:space="preserve">Además, particularmente, la </w:t>
      </w:r>
      <w:r w:rsidR="004438E2" w:rsidRPr="00815F29">
        <w:rPr>
          <w:color w:val="000000" w:themeColor="text1"/>
          <w:sz w:val="28"/>
          <w:szCs w:val="28"/>
          <w:lang w:val="es-ES_tradnl"/>
        </w:rPr>
        <w:t>s</w:t>
      </w:r>
      <w:r w:rsidRPr="00815F29">
        <w:rPr>
          <w:color w:val="000000" w:themeColor="text1"/>
          <w:sz w:val="28"/>
          <w:szCs w:val="28"/>
          <w:lang w:val="es-ES_tradnl"/>
        </w:rPr>
        <w:t>entencia SU-220 de 2024</w:t>
      </w:r>
      <w:r w:rsidRPr="00815F29">
        <w:rPr>
          <w:rStyle w:val="Refdenotaalpie"/>
          <w:color w:val="000000" w:themeColor="text1"/>
          <w:lang w:val="es-ES_tradnl"/>
        </w:rPr>
        <w:footnoteReference w:id="32"/>
      </w:r>
      <w:r w:rsidRPr="00815F29">
        <w:rPr>
          <w:color w:val="000000" w:themeColor="text1"/>
          <w:sz w:val="28"/>
          <w:szCs w:val="28"/>
          <w:lang w:val="es-ES_tradnl"/>
        </w:rPr>
        <w:t xml:space="preserve"> puso de manifiesto las posiciones ambivalentes dentro de la misma Sala de Casación Penal de la Corte Suprema de Justicia y señaló la necesidad de que esta corporación precise de manera clara las reglas para la aplicación excepcional de la privación de la libertad</w:t>
      </w:r>
      <w:r w:rsidR="00815F29" w:rsidRPr="00815F29">
        <w:rPr>
          <w:color w:val="000000" w:themeColor="text1"/>
          <w:sz w:val="28"/>
          <w:szCs w:val="28"/>
          <w:lang w:val="es-ES_tradnl"/>
        </w:rPr>
        <w:t>,</w:t>
      </w:r>
      <w:r w:rsidRPr="00815F29">
        <w:rPr>
          <w:color w:val="000000" w:themeColor="text1"/>
          <w:sz w:val="28"/>
          <w:szCs w:val="28"/>
          <w:lang w:val="es-ES_tradnl"/>
        </w:rPr>
        <w:t xml:space="preserve"> antes de la ejecutoria de la condena. Ante dicha diversidad interpretativa, no puede afirmarse con la certeza requerida que exista una única regla derivada del artículo 177 del CPP que sustente el reclamo de inconstitucionalidad</w:t>
      </w:r>
      <w:r w:rsidR="00815F29" w:rsidRPr="00815F29">
        <w:rPr>
          <w:color w:val="000000" w:themeColor="text1"/>
          <w:sz w:val="28"/>
          <w:szCs w:val="28"/>
          <w:lang w:val="es-ES_tradnl"/>
        </w:rPr>
        <w:t xml:space="preserve">, y que pueda considerada como derecho viviente. </w:t>
      </w:r>
    </w:p>
    <w:p w14:paraId="48014AB4" w14:textId="77777777" w:rsidR="00815F29" w:rsidRPr="00815F29" w:rsidRDefault="00815F29" w:rsidP="00815F29">
      <w:pPr>
        <w:pStyle w:val="Textoindependiente"/>
        <w:widowControl w:val="0"/>
        <w:tabs>
          <w:tab w:val="left" w:pos="567"/>
        </w:tabs>
        <w:autoSpaceDE w:val="0"/>
        <w:autoSpaceDN w:val="0"/>
        <w:spacing w:after="0"/>
        <w:ind w:right="19"/>
        <w:jc w:val="both"/>
        <w:rPr>
          <w:color w:val="000000" w:themeColor="text1"/>
          <w:sz w:val="28"/>
          <w:szCs w:val="28"/>
          <w:lang w:val="es-CO"/>
        </w:rPr>
      </w:pPr>
    </w:p>
    <w:p w14:paraId="4A83F250" w14:textId="79429911" w:rsidR="00F76A08" w:rsidRPr="00815F29" w:rsidRDefault="00F76A08"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815F29">
        <w:rPr>
          <w:color w:val="000000" w:themeColor="text1"/>
          <w:sz w:val="28"/>
          <w:szCs w:val="28"/>
          <w:lang w:val="es-ES_tradnl"/>
        </w:rPr>
        <w:t>En tercer lugar</w:t>
      </w:r>
      <w:r w:rsidR="003B378A" w:rsidRPr="00815F29">
        <w:rPr>
          <w:color w:val="000000" w:themeColor="text1"/>
          <w:sz w:val="28"/>
          <w:szCs w:val="28"/>
          <w:lang w:val="es-ES_tradnl"/>
        </w:rPr>
        <w:t>,</w:t>
      </w:r>
      <w:r w:rsidRPr="00815F29">
        <w:rPr>
          <w:color w:val="000000" w:themeColor="text1"/>
          <w:sz w:val="28"/>
          <w:szCs w:val="28"/>
          <w:lang w:val="es-ES_tradnl"/>
        </w:rPr>
        <w:t xml:space="preserve"> la demanda tampoco acreditó el requisito de </w:t>
      </w:r>
      <w:r w:rsidRPr="00815F29">
        <w:rPr>
          <w:b/>
          <w:bCs/>
          <w:i/>
          <w:iCs/>
          <w:color w:val="000000" w:themeColor="text1"/>
          <w:sz w:val="28"/>
          <w:szCs w:val="28"/>
          <w:lang w:val="es-ES_tradnl"/>
        </w:rPr>
        <w:t>especificidad</w:t>
      </w:r>
      <w:r w:rsidR="004438E2" w:rsidRPr="00815F29">
        <w:rPr>
          <w:color w:val="000000" w:themeColor="text1"/>
          <w:sz w:val="28"/>
          <w:szCs w:val="28"/>
          <w:lang w:val="es-ES_tradnl"/>
        </w:rPr>
        <w:t>,</w:t>
      </w:r>
      <w:r w:rsidRPr="00815F29">
        <w:rPr>
          <w:i/>
          <w:iCs/>
          <w:color w:val="000000" w:themeColor="text1"/>
          <w:sz w:val="28"/>
          <w:szCs w:val="28"/>
          <w:lang w:val="es-ES_tradnl"/>
        </w:rPr>
        <w:t xml:space="preserve"> </w:t>
      </w:r>
      <w:r w:rsidRPr="00815F29">
        <w:rPr>
          <w:color w:val="000000" w:themeColor="text1"/>
          <w:sz w:val="28"/>
          <w:szCs w:val="28"/>
          <w:lang w:val="es-ES_tradnl"/>
        </w:rPr>
        <w:t xml:space="preserve">comoquiera que </w:t>
      </w:r>
      <w:r w:rsidR="004438E2" w:rsidRPr="00815F29">
        <w:rPr>
          <w:color w:val="000000" w:themeColor="text1"/>
          <w:sz w:val="28"/>
          <w:szCs w:val="28"/>
          <w:lang w:val="es-ES_tradnl"/>
        </w:rPr>
        <w:t>se fundamenta</w:t>
      </w:r>
      <w:r w:rsidR="00672D01" w:rsidRPr="00815F29">
        <w:rPr>
          <w:color w:val="000000" w:themeColor="text1"/>
          <w:sz w:val="28"/>
          <w:szCs w:val="28"/>
          <w:lang w:val="es-ES_tradnl"/>
        </w:rPr>
        <w:t xml:space="preserve"> en argumentos vagos</w:t>
      </w:r>
      <w:r w:rsidR="004438E2" w:rsidRPr="00815F29">
        <w:rPr>
          <w:color w:val="000000" w:themeColor="text1"/>
          <w:sz w:val="28"/>
          <w:szCs w:val="28"/>
          <w:lang w:val="es-ES_tradnl"/>
        </w:rPr>
        <w:t>,</w:t>
      </w:r>
      <w:r w:rsidR="00672D01" w:rsidRPr="00815F29">
        <w:rPr>
          <w:color w:val="000000" w:themeColor="text1"/>
          <w:sz w:val="28"/>
          <w:szCs w:val="28"/>
          <w:lang w:val="es-ES_tradnl"/>
        </w:rPr>
        <w:t xml:space="preserve"> al no centrar sus razones de inconstitucionalidad en el contenido normativo concreto definido por norma judicial reprochada. Así, en lugar de señalar el alcance exacto de la regla derivada</w:t>
      </w:r>
      <w:r w:rsidR="00815F29">
        <w:rPr>
          <w:color w:val="000000" w:themeColor="text1"/>
          <w:sz w:val="28"/>
          <w:szCs w:val="28"/>
          <w:lang w:val="es-ES_tradnl"/>
        </w:rPr>
        <w:t xml:space="preserve"> por el ejercicio interpretativo de la Alta Corte</w:t>
      </w:r>
      <w:r w:rsidR="00672D01" w:rsidRPr="00815F29">
        <w:rPr>
          <w:color w:val="000000" w:themeColor="text1"/>
          <w:sz w:val="28"/>
          <w:szCs w:val="28"/>
          <w:lang w:val="es-ES_tradnl"/>
        </w:rPr>
        <w:t xml:space="preserve">, el </w:t>
      </w:r>
      <w:r w:rsidR="00815F29">
        <w:rPr>
          <w:color w:val="000000" w:themeColor="text1"/>
          <w:sz w:val="28"/>
          <w:szCs w:val="28"/>
          <w:lang w:val="es-ES_tradnl"/>
        </w:rPr>
        <w:t>actor</w:t>
      </w:r>
      <w:r w:rsidR="00672D01" w:rsidRPr="00815F29">
        <w:rPr>
          <w:color w:val="000000" w:themeColor="text1"/>
          <w:sz w:val="28"/>
          <w:szCs w:val="28"/>
          <w:lang w:val="es-ES_tradnl"/>
        </w:rPr>
        <w:t xml:space="preserve"> formula argumentos generales sobre “</w:t>
      </w:r>
      <w:r w:rsidR="00672D01" w:rsidRPr="00815F29">
        <w:rPr>
          <w:i/>
          <w:iCs/>
          <w:color w:val="000000" w:themeColor="text1"/>
          <w:sz w:val="28"/>
          <w:szCs w:val="28"/>
          <w:lang w:val="es-ES_tradnl"/>
        </w:rPr>
        <w:t>ejecución anticipada</w:t>
      </w:r>
      <w:r w:rsidR="00672D01" w:rsidRPr="00815F29">
        <w:rPr>
          <w:color w:val="000000" w:themeColor="text1"/>
          <w:sz w:val="28"/>
          <w:szCs w:val="28"/>
          <w:lang w:val="es-ES_tradnl"/>
        </w:rPr>
        <w:t>”</w:t>
      </w:r>
      <w:r w:rsidR="00815F29">
        <w:rPr>
          <w:color w:val="000000" w:themeColor="text1"/>
          <w:sz w:val="28"/>
          <w:szCs w:val="28"/>
          <w:lang w:val="es-ES_tradnl"/>
        </w:rPr>
        <w:t>,</w:t>
      </w:r>
      <w:r w:rsidR="00672D01" w:rsidRPr="00815F29">
        <w:rPr>
          <w:color w:val="000000" w:themeColor="text1"/>
          <w:sz w:val="28"/>
          <w:szCs w:val="28"/>
          <w:lang w:val="es-ES_tradnl"/>
        </w:rPr>
        <w:t xml:space="preserve"> sin identificar el fragmento preciso del artículo 177 del CPP o del artículo 63 del CP cuyo texto y alcance jurisprudencial se considera contrario a la Constitución.</w:t>
      </w:r>
    </w:p>
    <w:p w14:paraId="243B916B" w14:textId="77777777" w:rsidR="00672D01" w:rsidRPr="00815F29" w:rsidRDefault="00672D01" w:rsidP="00E067C2">
      <w:pPr>
        <w:rPr>
          <w:color w:val="000000" w:themeColor="text1"/>
          <w:sz w:val="28"/>
          <w:szCs w:val="28"/>
        </w:rPr>
      </w:pPr>
    </w:p>
    <w:p w14:paraId="712938D5" w14:textId="7FF04697" w:rsidR="00FC64D1" w:rsidRPr="00021A99" w:rsidRDefault="00FC64D1"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CO"/>
        </w:rPr>
      </w:pPr>
      <w:r w:rsidRPr="00815F29">
        <w:rPr>
          <w:color w:val="000000" w:themeColor="text1"/>
          <w:sz w:val="28"/>
          <w:szCs w:val="28"/>
          <w:lang w:val="es-CO"/>
        </w:rPr>
        <w:t xml:space="preserve">La demanda señaló que la interpretación de la Corte Suprema de Justicia de los artículos 63 del CP y 177 del CPP desconoce los artículos 29 </w:t>
      </w:r>
      <w:r w:rsidR="00815F29">
        <w:rPr>
          <w:color w:val="000000" w:themeColor="text1"/>
          <w:sz w:val="28"/>
          <w:szCs w:val="28"/>
          <w:lang w:val="es-CO"/>
        </w:rPr>
        <w:t xml:space="preserve">del Texto </w:t>
      </w:r>
      <w:r w:rsidRPr="00815F29">
        <w:rPr>
          <w:color w:val="000000" w:themeColor="text1"/>
          <w:sz w:val="28"/>
          <w:szCs w:val="28"/>
          <w:lang w:val="es-CO"/>
        </w:rPr>
        <w:t xml:space="preserve">Superior, </w:t>
      </w:r>
      <w:r w:rsidRPr="00815F29">
        <w:rPr>
          <w:color w:val="000000" w:themeColor="text1"/>
          <w:sz w:val="28"/>
          <w:szCs w:val="28"/>
          <w:lang w:val="es-CO"/>
        </w:rPr>
        <w:lastRenderedPageBreak/>
        <w:t>14.2 del P</w:t>
      </w:r>
      <w:r w:rsidR="00815F29">
        <w:rPr>
          <w:color w:val="000000" w:themeColor="text1"/>
          <w:sz w:val="28"/>
          <w:szCs w:val="28"/>
          <w:lang w:val="es-CO"/>
        </w:rPr>
        <w:t>IDCP</w:t>
      </w:r>
      <w:r w:rsidRPr="00815F29">
        <w:rPr>
          <w:color w:val="000000" w:themeColor="text1"/>
          <w:sz w:val="28"/>
          <w:szCs w:val="28"/>
          <w:lang w:val="es-CO"/>
        </w:rPr>
        <w:t>, y 8.2 de la C</w:t>
      </w:r>
      <w:r w:rsidR="00815F29">
        <w:rPr>
          <w:color w:val="000000" w:themeColor="text1"/>
          <w:sz w:val="28"/>
          <w:szCs w:val="28"/>
          <w:lang w:val="es-CO"/>
        </w:rPr>
        <w:t>ADH</w:t>
      </w:r>
      <w:r w:rsidR="004438E2" w:rsidRPr="00815F29">
        <w:rPr>
          <w:color w:val="000000" w:themeColor="text1"/>
          <w:sz w:val="28"/>
          <w:szCs w:val="28"/>
          <w:lang w:val="es-CO"/>
        </w:rPr>
        <w:t>,</w:t>
      </w:r>
      <w:r w:rsidRPr="00815F29">
        <w:rPr>
          <w:color w:val="000000" w:themeColor="text1"/>
          <w:sz w:val="28"/>
          <w:szCs w:val="28"/>
          <w:lang w:val="es-CO"/>
        </w:rPr>
        <w:t xml:space="preserve"> toda vez que restringe el efecto suspensivo del recur</w:t>
      </w:r>
      <w:r w:rsidRPr="00021A99">
        <w:rPr>
          <w:color w:val="000000" w:themeColor="text1"/>
          <w:sz w:val="28"/>
          <w:szCs w:val="28"/>
          <w:lang w:val="es-CO"/>
        </w:rPr>
        <w:t>so de apelación previsto en el artículo 177 del CPP, únicamente a la competencia del funcionario que dictó la providencia apelada, sin extenderlo a su contenido, lo cual desconoce el principio de</w:t>
      </w:r>
      <w:r w:rsidR="00815F29" w:rsidRPr="00021A99">
        <w:rPr>
          <w:color w:val="000000" w:themeColor="text1"/>
          <w:sz w:val="28"/>
          <w:szCs w:val="28"/>
          <w:lang w:val="es-CO"/>
        </w:rPr>
        <w:t xml:space="preserve"> </w:t>
      </w:r>
      <w:r w:rsidRPr="00021A99">
        <w:rPr>
          <w:color w:val="000000" w:themeColor="text1"/>
          <w:sz w:val="28"/>
          <w:szCs w:val="28"/>
          <w:lang w:val="es-CO"/>
        </w:rPr>
        <w:t>presunción de inocencia como garantía esencial del debido proceso. A juicio del demandante, en tal escenario, si se profiere una sentencia condenatoria, el acusado es considerado responsable con base en una decisión que no es definitiva</w:t>
      </w:r>
      <w:r w:rsidR="004438E2" w:rsidRPr="00021A99">
        <w:rPr>
          <w:color w:val="000000" w:themeColor="text1"/>
          <w:sz w:val="28"/>
          <w:szCs w:val="28"/>
          <w:lang w:val="es-CO"/>
        </w:rPr>
        <w:t>,</w:t>
      </w:r>
      <w:r w:rsidRPr="00021A99">
        <w:rPr>
          <w:color w:val="000000" w:themeColor="text1"/>
          <w:sz w:val="28"/>
          <w:szCs w:val="28"/>
          <w:lang w:val="es-CO"/>
        </w:rPr>
        <w:t xml:space="preserve"> dado que existe un recurso pendiente de resolverse. </w:t>
      </w:r>
    </w:p>
    <w:p w14:paraId="55763D96" w14:textId="77777777" w:rsidR="00FC64D1" w:rsidRPr="00021A99" w:rsidRDefault="00FC64D1" w:rsidP="00E067C2">
      <w:pPr>
        <w:pStyle w:val="Textoindependiente"/>
        <w:widowControl w:val="0"/>
        <w:tabs>
          <w:tab w:val="left" w:pos="567"/>
        </w:tabs>
        <w:autoSpaceDE w:val="0"/>
        <w:autoSpaceDN w:val="0"/>
        <w:spacing w:after="0"/>
        <w:ind w:right="19"/>
        <w:jc w:val="both"/>
        <w:rPr>
          <w:color w:val="000000" w:themeColor="text1"/>
          <w:sz w:val="28"/>
          <w:szCs w:val="28"/>
          <w:lang w:val="es-CO"/>
        </w:rPr>
      </w:pPr>
    </w:p>
    <w:p w14:paraId="07947C55" w14:textId="7883833C" w:rsidR="00672D01" w:rsidRPr="00021A99" w:rsidRDefault="00672D01"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021A99">
        <w:rPr>
          <w:color w:val="000000" w:themeColor="text1"/>
          <w:sz w:val="28"/>
          <w:szCs w:val="28"/>
          <w:lang w:val="es-ES_tradnl"/>
        </w:rPr>
        <w:t xml:space="preserve">Asimismo, la demanda recurre a argumentos abstractos en ambos cargos </w:t>
      </w:r>
      <w:r w:rsidR="00815F29" w:rsidRPr="00021A99">
        <w:rPr>
          <w:color w:val="000000" w:themeColor="text1"/>
          <w:sz w:val="28"/>
          <w:szCs w:val="28"/>
          <w:lang w:val="es-CO"/>
        </w:rPr>
        <w:t>–</w:t>
      </w:r>
      <w:r w:rsidRPr="00021A99">
        <w:rPr>
          <w:color w:val="000000" w:themeColor="text1"/>
          <w:sz w:val="28"/>
          <w:szCs w:val="28"/>
          <w:lang w:val="es-ES_tradnl"/>
        </w:rPr>
        <w:t xml:space="preserve">como el desconocimiento de la presunción de </w:t>
      </w:r>
      <w:r w:rsidR="00170DBE" w:rsidRPr="00021A99">
        <w:rPr>
          <w:color w:val="000000" w:themeColor="text1"/>
          <w:sz w:val="28"/>
          <w:szCs w:val="28"/>
          <w:lang w:val="es-ES_tradnl"/>
        </w:rPr>
        <w:t>i</w:t>
      </w:r>
      <w:r w:rsidRPr="00021A99">
        <w:rPr>
          <w:color w:val="000000" w:themeColor="text1"/>
          <w:sz w:val="28"/>
          <w:szCs w:val="28"/>
          <w:lang w:val="es-ES_tradnl"/>
        </w:rPr>
        <w:t>nocencia o del orden justo y legal</w:t>
      </w:r>
      <w:r w:rsidR="00574F66" w:rsidRPr="00021A99">
        <w:rPr>
          <w:color w:val="000000" w:themeColor="text1"/>
          <w:sz w:val="28"/>
          <w:szCs w:val="28"/>
          <w:lang w:val="es-ES_tradnl"/>
        </w:rPr>
        <w:t xml:space="preserve"> </w:t>
      </w:r>
      <w:r w:rsidRPr="00021A99">
        <w:rPr>
          <w:color w:val="000000" w:themeColor="text1"/>
          <w:sz w:val="28"/>
          <w:szCs w:val="28"/>
          <w:lang w:val="es-ES_tradnl"/>
        </w:rPr>
        <w:t xml:space="preserve">de cara </w:t>
      </w:r>
      <w:r w:rsidR="00574F66" w:rsidRPr="00021A99">
        <w:rPr>
          <w:color w:val="000000" w:themeColor="text1"/>
          <w:sz w:val="28"/>
          <w:szCs w:val="28"/>
          <w:lang w:val="es-ES_tradnl"/>
        </w:rPr>
        <w:t>al supuesto mandato de captura</w:t>
      </w:r>
      <w:r w:rsidR="00815F29" w:rsidRPr="00021A99">
        <w:rPr>
          <w:color w:val="000000" w:themeColor="text1"/>
          <w:sz w:val="28"/>
          <w:szCs w:val="28"/>
          <w:lang w:val="es-CO"/>
        </w:rPr>
        <w:t>–</w:t>
      </w:r>
      <w:r w:rsidRPr="00021A99">
        <w:rPr>
          <w:color w:val="000000" w:themeColor="text1"/>
          <w:sz w:val="28"/>
          <w:szCs w:val="28"/>
          <w:lang w:val="es-ES_tradnl"/>
        </w:rPr>
        <w:t xml:space="preserve">, pero olvida describir puntualmente cómo la interpretación acusada modifica o excede el alcance normativo fijado por la Jurisdicción </w:t>
      </w:r>
      <w:r w:rsidRPr="00021A99">
        <w:rPr>
          <w:sz w:val="28"/>
          <w:szCs w:val="28"/>
          <w:lang w:val="es-ES_tradnl"/>
        </w:rPr>
        <w:t>Ordinaria</w:t>
      </w:r>
      <w:r w:rsidR="00815F29" w:rsidRPr="00021A99">
        <w:rPr>
          <w:color w:val="000000" w:themeColor="text1"/>
          <w:sz w:val="28"/>
          <w:szCs w:val="28"/>
          <w:lang w:val="es-ES_tradnl"/>
        </w:rPr>
        <w:t xml:space="preserve"> Penal</w:t>
      </w:r>
      <w:r w:rsidRPr="00021A99">
        <w:rPr>
          <w:sz w:val="28"/>
          <w:szCs w:val="28"/>
          <w:lang w:val="es-ES_tradnl"/>
        </w:rPr>
        <w:t>, de manera que result</w:t>
      </w:r>
      <w:r w:rsidR="00090365" w:rsidRPr="00021A99">
        <w:rPr>
          <w:sz w:val="28"/>
          <w:szCs w:val="28"/>
          <w:lang w:val="es-ES_tradnl"/>
        </w:rPr>
        <w:t>e</w:t>
      </w:r>
      <w:r w:rsidRPr="00021A99">
        <w:rPr>
          <w:sz w:val="28"/>
          <w:szCs w:val="28"/>
          <w:lang w:val="es-ES_tradnl"/>
        </w:rPr>
        <w:t xml:space="preserve"> contrario a la Constitución.</w:t>
      </w:r>
    </w:p>
    <w:p w14:paraId="1E64B404" w14:textId="77777777" w:rsidR="00574F66" w:rsidRPr="00021A99" w:rsidRDefault="00574F66" w:rsidP="00E067C2">
      <w:pPr>
        <w:pStyle w:val="Prrafodelista"/>
        <w:rPr>
          <w:color w:val="000000" w:themeColor="text1"/>
          <w:sz w:val="28"/>
          <w:szCs w:val="28"/>
          <w:lang w:val="es-ES_tradnl"/>
        </w:rPr>
      </w:pPr>
    </w:p>
    <w:p w14:paraId="463FD434" w14:textId="15508962" w:rsidR="0007784C" w:rsidRPr="00021A99" w:rsidRDefault="00574F66" w:rsidP="002E4947">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021A99">
        <w:rPr>
          <w:color w:val="000000" w:themeColor="text1"/>
          <w:sz w:val="28"/>
          <w:szCs w:val="28"/>
          <w:lang w:val="es-ES_tradnl"/>
        </w:rPr>
        <w:t xml:space="preserve">En cuarto lugar, la demanda no satisfizo el requisito de </w:t>
      </w:r>
      <w:r w:rsidRPr="00021A99">
        <w:rPr>
          <w:b/>
          <w:bCs/>
          <w:i/>
          <w:iCs/>
          <w:color w:val="000000" w:themeColor="text1"/>
          <w:sz w:val="28"/>
          <w:szCs w:val="28"/>
          <w:lang w:val="es-ES_tradnl"/>
        </w:rPr>
        <w:t>pertinencia</w:t>
      </w:r>
      <w:r w:rsidR="004438E2" w:rsidRPr="00021A99">
        <w:rPr>
          <w:color w:val="000000" w:themeColor="text1"/>
          <w:sz w:val="28"/>
          <w:szCs w:val="28"/>
          <w:lang w:val="es-ES_tradnl"/>
        </w:rPr>
        <w:t>,</w:t>
      </w:r>
      <w:r w:rsidRPr="00021A99">
        <w:rPr>
          <w:i/>
          <w:iCs/>
          <w:color w:val="000000" w:themeColor="text1"/>
          <w:sz w:val="28"/>
          <w:szCs w:val="28"/>
          <w:lang w:val="es-ES_tradnl"/>
        </w:rPr>
        <w:t xml:space="preserve"> </w:t>
      </w:r>
      <w:r w:rsidRPr="00021A99">
        <w:rPr>
          <w:color w:val="000000" w:themeColor="text1"/>
          <w:sz w:val="28"/>
          <w:szCs w:val="28"/>
          <w:lang w:val="es-ES_tradnl"/>
        </w:rPr>
        <w:t xml:space="preserve">porque los cargos planteados se limitan a cuestionar meras discusiones hermenéuticas y de alcance legal, sin exponer verdaderos problemas de relevancia constitucional. </w:t>
      </w:r>
      <w:r w:rsidR="0007784C" w:rsidRPr="00021A99">
        <w:rPr>
          <w:color w:val="000000" w:themeColor="text1"/>
          <w:sz w:val="28"/>
          <w:szCs w:val="28"/>
          <w:lang w:val="es-ES_tradnl"/>
        </w:rPr>
        <w:t xml:space="preserve">En cuanto al primer cargo, relativo al supuesto desconocimiento del principio de </w:t>
      </w:r>
      <w:r w:rsidR="00815F29" w:rsidRPr="00021A99">
        <w:rPr>
          <w:color w:val="000000" w:themeColor="text1"/>
          <w:sz w:val="28"/>
          <w:szCs w:val="28"/>
          <w:lang w:val="es-ES_tradnl"/>
        </w:rPr>
        <w:t xml:space="preserve">la </w:t>
      </w:r>
      <w:r w:rsidR="0007784C" w:rsidRPr="00021A99">
        <w:rPr>
          <w:color w:val="000000" w:themeColor="text1"/>
          <w:sz w:val="28"/>
          <w:szCs w:val="28"/>
          <w:lang w:val="es-ES_tradnl"/>
        </w:rPr>
        <w:t>presunción de inocencia, la Sala observa que la cuestión planteada es esencialmente hermenéutica y carece de verdadera relevancia constitucional. La demanda se limitó a objetar puntualmente determinadas interpretaciones de la Corte Suprema de Justicia</w:t>
      </w:r>
      <w:r w:rsidR="003C7309" w:rsidRPr="00021A99">
        <w:rPr>
          <w:color w:val="000000" w:themeColor="text1"/>
          <w:sz w:val="28"/>
          <w:szCs w:val="28"/>
          <w:lang w:val="es-ES_tradnl"/>
        </w:rPr>
        <w:t xml:space="preserve"> y de tribunales superiores de distrito</w:t>
      </w:r>
      <w:r w:rsidR="004438E2" w:rsidRPr="00021A99">
        <w:rPr>
          <w:color w:val="000000" w:themeColor="text1"/>
          <w:sz w:val="28"/>
          <w:szCs w:val="28"/>
          <w:lang w:val="es-ES_tradnl"/>
        </w:rPr>
        <w:t>,</w:t>
      </w:r>
      <w:r w:rsidR="0007784C" w:rsidRPr="00021A99">
        <w:rPr>
          <w:color w:val="000000" w:themeColor="text1"/>
          <w:sz w:val="28"/>
          <w:szCs w:val="28"/>
          <w:lang w:val="es-ES_tradnl"/>
        </w:rPr>
        <w:t xml:space="preserve"> sin explicar de qué modo la “</w:t>
      </w:r>
      <w:r w:rsidR="0007784C" w:rsidRPr="00021A99">
        <w:rPr>
          <w:i/>
          <w:iCs/>
          <w:color w:val="000000" w:themeColor="text1"/>
          <w:sz w:val="28"/>
          <w:szCs w:val="28"/>
          <w:lang w:val="es-ES_tradnl"/>
        </w:rPr>
        <w:t>norma jurisprudencial</w:t>
      </w:r>
      <w:r w:rsidR="0007784C" w:rsidRPr="00021A99">
        <w:rPr>
          <w:color w:val="000000" w:themeColor="text1"/>
          <w:sz w:val="28"/>
          <w:szCs w:val="28"/>
          <w:lang w:val="es-ES_tradnl"/>
        </w:rPr>
        <w:t>” derivada vulnera efectivamente el mencionado principio.</w:t>
      </w:r>
    </w:p>
    <w:p w14:paraId="19BCABBB" w14:textId="77777777" w:rsidR="0007784C" w:rsidRPr="00021A99" w:rsidRDefault="0007784C" w:rsidP="00E067C2">
      <w:pPr>
        <w:pStyle w:val="Prrafodelista"/>
        <w:rPr>
          <w:color w:val="000000" w:themeColor="text1"/>
          <w:sz w:val="28"/>
          <w:szCs w:val="28"/>
          <w:lang w:val="es-ES_tradnl"/>
        </w:rPr>
      </w:pPr>
    </w:p>
    <w:p w14:paraId="6537B169" w14:textId="21E54BDF" w:rsidR="0081066D" w:rsidRPr="00021A99" w:rsidRDefault="0007784C"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021A99">
        <w:rPr>
          <w:color w:val="000000" w:themeColor="text1"/>
          <w:sz w:val="28"/>
          <w:szCs w:val="28"/>
          <w:lang w:val="es-ES_tradnl"/>
        </w:rPr>
        <w:t>De otro lado, sobre el segundo cargo</w:t>
      </w:r>
      <w:r w:rsidR="004438E2" w:rsidRPr="00021A99">
        <w:rPr>
          <w:color w:val="000000" w:themeColor="text1"/>
          <w:sz w:val="28"/>
          <w:szCs w:val="28"/>
          <w:lang w:val="es-ES_tradnl"/>
        </w:rPr>
        <w:t>,</w:t>
      </w:r>
      <w:r w:rsidRPr="00021A99">
        <w:rPr>
          <w:color w:val="000000" w:themeColor="text1"/>
          <w:sz w:val="28"/>
          <w:szCs w:val="28"/>
          <w:lang w:val="es-ES_tradnl"/>
        </w:rPr>
        <w:t xml:space="preserve"> que alude al desconocimiento del debido proceso en sentido amplio y de la vigencia de un orden justo, la Sala considera que reproduce una controversia técnico-procesal </w:t>
      </w:r>
      <w:r w:rsidR="00815F29" w:rsidRPr="00021A99">
        <w:rPr>
          <w:color w:val="000000" w:themeColor="text1"/>
          <w:sz w:val="28"/>
          <w:szCs w:val="28"/>
          <w:lang w:val="es-ES_tradnl"/>
        </w:rPr>
        <w:t>sobre</w:t>
      </w:r>
      <w:r w:rsidRPr="00021A99">
        <w:rPr>
          <w:color w:val="000000" w:themeColor="text1"/>
          <w:sz w:val="28"/>
          <w:szCs w:val="28"/>
          <w:lang w:val="es-ES_tradnl"/>
        </w:rPr>
        <w:t xml:space="preserve"> los efectos del recurso de apelación, materia propia de la jurisdicción ordinaria y no de este tribunal</w:t>
      </w:r>
      <w:r w:rsidR="00D53D13" w:rsidRPr="00021A99">
        <w:rPr>
          <w:color w:val="000000" w:themeColor="text1"/>
          <w:sz w:val="28"/>
          <w:szCs w:val="28"/>
          <w:lang w:val="es-ES_tradnl"/>
        </w:rPr>
        <w:t>, que</w:t>
      </w:r>
      <w:r w:rsidR="004438E2" w:rsidRPr="00021A99">
        <w:rPr>
          <w:color w:val="000000" w:themeColor="text1"/>
          <w:sz w:val="28"/>
          <w:szCs w:val="28"/>
          <w:lang w:val="es-ES_tradnl"/>
        </w:rPr>
        <w:t>,</w:t>
      </w:r>
      <w:r w:rsidR="00D53D13" w:rsidRPr="00021A99">
        <w:rPr>
          <w:color w:val="000000" w:themeColor="text1"/>
          <w:sz w:val="28"/>
          <w:szCs w:val="28"/>
          <w:lang w:val="es-ES_tradnl"/>
        </w:rPr>
        <w:t xml:space="preserve"> como ya se dijo, tampoco se desprende de las normas identificadas como objeto de control</w:t>
      </w:r>
      <w:r w:rsidRPr="00021A99">
        <w:rPr>
          <w:color w:val="000000" w:themeColor="text1"/>
          <w:sz w:val="28"/>
          <w:szCs w:val="28"/>
          <w:lang w:val="es-ES_tradnl"/>
        </w:rPr>
        <w:t>. Así, al centrarse en la forma en que se concede y se aplica el efecto suspensivo, el demandante se queda en una inconformidad subjetiva sobre la conveniencia de la interpretación, sin demostrar que dicha interpretación genere un problema de constitucionalidad susceptible de control abstracto por la Corte Constitucional.</w:t>
      </w:r>
    </w:p>
    <w:p w14:paraId="249DE3CF" w14:textId="77777777" w:rsidR="0081066D" w:rsidRPr="00021A99" w:rsidRDefault="0081066D" w:rsidP="00E067C2">
      <w:pPr>
        <w:pStyle w:val="Prrafodelista"/>
        <w:rPr>
          <w:color w:val="000000" w:themeColor="text1"/>
          <w:sz w:val="28"/>
          <w:szCs w:val="28"/>
          <w:lang w:val="es-ES_tradnl"/>
        </w:rPr>
      </w:pPr>
    </w:p>
    <w:p w14:paraId="2B401837" w14:textId="1E47598A" w:rsidR="0081066D" w:rsidRPr="00021A99" w:rsidRDefault="0081066D"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021A99">
        <w:rPr>
          <w:color w:val="000000" w:themeColor="text1"/>
          <w:sz w:val="28"/>
          <w:szCs w:val="28"/>
          <w:lang w:val="es-ES_tradnl"/>
        </w:rPr>
        <w:t xml:space="preserve">Por último, tal </w:t>
      </w:r>
      <w:r w:rsidR="00021A99" w:rsidRPr="00021A99">
        <w:rPr>
          <w:color w:val="000000" w:themeColor="text1"/>
          <w:sz w:val="28"/>
          <w:szCs w:val="28"/>
          <w:lang w:val="es-ES_tradnl"/>
        </w:rPr>
        <w:t xml:space="preserve">y </w:t>
      </w:r>
      <w:r w:rsidRPr="00021A99">
        <w:rPr>
          <w:color w:val="000000" w:themeColor="text1"/>
          <w:sz w:val="28"/>
          <w:szCs w:val="28"/>
          <w:lang w:val="es-ES_tradnl"/>
        </w:rPr>
        <w:t>como lo ha precisado la jurisprudencia constitucional</w:t>
      </w:r>
      <w:r w:rsidR="004438E2" w:rsidRPr="00021A99">
        <w:rPr>
          <w:color w:val="000000" w:themeColor="text1"/>
          <w:sz w:val="28"/>
          <w:szCs w:val="28"/>
          <w:lang w:val="es-ES_tradnl"/>
        </w:rPr>
        <w:t>, el</w:t>
      </w:r>
      <w:r w:rsidRPr="00021A99">
        <w:rPr>
          <w:color w:val="000000" w:themeColor="text1"/>
          <w:sz w:val="28"/>
          <w:szCs w:val="28"/>
          <w:lang w:val="es-ES_tradnl"/>
        </w:rPr>
        <w:t xml:space="preserve"> requisito de </w:t>
      </w:r>
      <w:r w:rsidRPr="00021A99">
        <w:rPr>
          <w:b/>
          <w:bCs/>
          <w:i/>
          <w:iCs/>
          <w:color w:val="000000" w:themeColor="text1"/>
          <w:sz w:val="28"/>
          <w:szCs w:val="28"/>
          <w:lang w:val="es-ES_tradnl"/>
        </w:rPr>
        <w:t>suficiencia</w:t>
      </w:r>
      <w:r w:rsidRPr="00021A99">
        <w:rPr>
          <w:color w:val="000000" w:themeColor="text1"/>
          <w:sz w:val="28"/>
          <w:szCs w:val="28"/>
          <w:lang w:val="es-ES_tradnl"/>
        </w:rPr>
        <w:t xml:space="preserve"> impone</w:t>
      </w:r>
      <w:r w:rsidR="004438E2" w:rsidRPr="00021A99">
        <w:rPr>
          <w:color w:val="000000" w:themeColor="text1"/>
          <w:sz w:val="28"/>
          <w:szCs w:val="28"/>
          <w:lang w:val="es-ES_tradnl"/>
        </w:rPr>
        <w:t>,</w:t>
      </w:r>
      <w:r w:rsidRPr="00021A99">
        <w:rPr>
          <w:color w:val="000000" w:themeColor="text1"/>
          <w:sz w:val="28"/>
          <w:szCs w:val="28"/>
          <w:lang w:val="es-ES_tradnl"/>
        </w:rPr>
        <w:t xml:space="preserve"> en este tipo de demandas</w:t>
      </w:r>
      <w:r w:rsidR="004438E2" w:rsidRPr="00021A99">
        <w:rPr>
          <w:color w:val="000000" w:themeColor="text1"/>
          <w:sz w:val="28"/>
          <w:szCs w:val="28"/>
          <w:lang w:val="es-ES_tradnl"/>
        </w:rPr>
        <w:t>,</w:t>
      </w:r>
      <w:r w:rsidRPr="00021A99">
        <w:rPr>
          <w:color w:val="000000" w:themeColor="text1"/>
          <w:sz w:val="28"/>
          <w:szCs w:val="28"/>
          <w:lang w:val="es-ES_tradnl"/>
        </w:rPr>
        <w:t xml:space="preserve"> la carga de demostrar que la interpretación reprochada no es el producto aislado de un caso concreto, sino el reflejo de una postura </w:t>
      </w:r>
      <w:r w:rsidRPr="00021A99">
        <w:rPr>
          <w:b/>
          <w:bCs/>
          <w:color w:val="000000" w:themeColor="text1"/>
          <w:sz w:val="28"/>
          <w:szCs w:val="28"/>
          <w:lang w:val="es-ES_tradnl"/>
        </w:rPr>
        <w:t>consistente</w:t>
      </w:r>
      <w:r w:rsidRPr="00021A99">
        <w:rPr>
          <w:color w:val="000000" w:themeColor="text1"/>
          <w:sz w:val="28"/>
          <w:szCs w:val="28"/>
          <w:lang w:val="es-ES_tradnl"/>
        </w:rPr>
        <w:t xml:space="preserve"> y </w:t>
      </w:r>
      <w:r w:rsidRPr="00021A99">
        <w:rPr>
          <w:b/>
          <w:bCs/>
          <w:color w:val="000000" w:themeColor="text1"/>
          <w:sz w:val="28"/>
          <w:szCs w:val="28"/>
          <w:lang w:val="es-ES_tradnl"/>
        </w:rPr>
        <w:t>reiterada</w:t>
      </w:r>
      <w:r w:rsidRPr="00021A99">
        <w:rPr>
          <w:color w:val="000000" w:themeColor="text1"/>
          <w:sz w:val="28"/>
          <w:szCs w:val="28"/>
          <w:lang w:val="es-ES_tradnl"/>
        </w:rPr>
        <w:t xml:space="preserve"> del operador jurídico</w:t>
      </w:r>
      <w:r w:rsidR="00825260" w:rsidRPr="00021A99">
        <w:rPr>
          <w:color w:val="000000" w:themeColor="text1"/>
          <w:sz w:val="28"/>
          <w:szCs w:val="28"/>
          <w:lang w:val="es-ES_tradnl"/>
        </w:rPr>
        <w:t xml:space="preserve">, </w:t>
      </w:r>
      <w:r w:rsidR="00021A99" w:rsidRPr="00021A99">
        <w:rPr>
          <w:color w:val="000000" w:themeColor="text1"/>
          <w:sz w:val="28"/>
          <w:szCs w:val="28"/>
          <w:lang w:val="es-ES_tradnl"/>
        </w:rPr>
        <w:t>lo cual, entre otras, no se cumple en este caso, al advertir</w:t>
      </w:r>
      <w:r w:rsidR="00825260" w:rsidRPr="00021A99">
        <w:rPr>
          <w:color w:val="000000" w:themeColor="text1"/>
          <w:sz w:val="28"/>
          <w:szCs w:val="28"/>
          <w:lang w:val="es-ES_tradnl"/>
        </w:rPr>
        <w:t xml:space="preserve"> la divergencia de criterios</w:t>
      </w:r>
      <w:r w:rsidR="00021A99" w:rsidRPr="00021A99">
        <w:rPr>
          <w:color w:val="000000" w:themeColor="text1"/>
          <w:sz w:val="28"/>
          <w:szCs w:val="28"/>
          <w:lang w:val="es-ES_tradnl"/>
        </w:rPr>
        <w:t xml:space="preserve"> que</w:t>
      </w:r>
      <w:r w:rsidR="00825260" w:rsidRPr="00021A99">
        <w:rPr>
          <w:color w:val="000000" w:themeColor="text1"/>
          <w:sz w:val="28"/>
          <w:szCs w:val="28"/>
          <w:lang w:val="es-ES_tradnl"/>
        </w:rPr>
        <w:t xml:space="preserve"> fue evidenciada en la </w:t>
      </w:r>
      <w:r w:rsidR="004438E2" w:rsidRPr="00021A99">
        <w:rPr>
          <w:color w:val="000000" w:themeColor="text1"/>
          <w:sz w:val="28"/>
          <w:szCs w:val="28"/>
          <w:lang w:val="es-ES_tradnl"/>
        </w:rPr>
        <w:t xml:space="preserve">sentencia </w:t>
      </w:r>
      <w:r w:rsidR="00825260" w:rsidRPr="00021A99">
        <w:rPr>
          <w:color w:val="000000" w:themeColor="text1"/>
          <w:sz w:val="28"/>
          <w:szCs w:val="28"/>
          <w:lang w:val="es-ES_tradnl"/>
        </w:rPr>
        <w:t>SU-</w:t>
      </w:r>
      <w:r w:rsidR="004E3159" w:rsidRPr="00021A99">
        <w:rPr>
          <w:color w:val="000000" w:themeColor="text1"/>
          <w:sz w:val="28"/>
          <w:szCs w:val="28"/>
          <w:lang w:val="es-ES_tradnl"/>
        </w:rPr>
        <w:t>220 de 2024</w:t>
      </w:r>
      <w:r w:rsidRPr="00021A99">
        <w:rPr>
          <w:color w:val="000000" w:themeColor="text1"/>
          <w:sz w:val="28"/>
          <w:szCs w:val="28"/>
          <w:lang w:val="es-ES_tradnl"/>
        </w:rPr>
        <w:t xml:space="preserve">. En este sentido, para acreditar la suficiencia se requiere evidenciar una cadena de pronunciamientos uniformes que configuren una verdadera </w:t>
      </w:r>
      <w:r w:rsidRPr="00021A99">
        <w:rPr>
          <w:i/>
          <w:iCs/>
          <w:color w:val="000000" w:themeColor="text1"/>
          <w:sz w:val="28"/>
          <w:szCs w:val="28"/>
          <w:lang w:val="es-ES_tradnl"/>
        </w:rPr>
        <w:t xml:space="preserve">doctrina del derecho </w:t>
      </w:r>
      <w:r w:rsidR="00021A99" w:rsidRPr="00021A99">
        <w:rPr>
          <w:i/>
          <w:iCs/>
          <w:color w:val="000000" w:themeColor="text1"/>
          <w:sz w:val="28"/>
          <w:szCs w:val="28"/>
          <w:lang w:val="es-ES_tradnl"/>
        </w:rPr>
        <w:t>viviente.</w:t>
      </w:r>
      <w:r w:rsidR="00021A99" w:rsidRPr="00021A99">
        <w:rPr>
          <w:color w:val="000000" w:themeColor="text1"/>
          <w:sz w:val="28"/>
          <w:szCs w:val="28"/>
          <w:lang w:val="es-ES_tradnl"/>
        </w:rPr>
        <w:t xml:space="preserve"> Sin</w:t>
      </w:r>
      <w:r w:rsidRPr="00021A99">
        <w:rPr>
          <w:color w:val="000000" w:themeColor="text1"/>
          <w:sz w:val="28"/>
          <w:szCs w:val="28"/>
          <w:lang w:val="es-ES_tradnl"/>
        </w:rPr>
        <w:t xml:space="preserve"> embargo, la demanda se limita a citar unas pocas sentencias puntuales de la Corte Suprema de Justicia y de la propia Corte Constitucional, sin conformar una norma jurídica respaldada por una interpretación estable y sistemática sobre la ejecución de condenas apeladas.</w:t>
      </w:r>
    </w:p>
    <w:p w14:paraId="68D0EF1D" w14:textId="77777777" w:rsidR="00BC1770" w:rsidRPr="00021A99" w:rsidRDefault="00BC1770" w:rsidP="00E067C2">
      <w:pPr>
        <w:pStyle w:val="Prrafodelista"/>
        <w:rPr>
          <w:color w:val="000000" w:themeColor="text1"/>
          <w:sz w:val="28"/>
          <w:szCs w:val="28"/>
          <w:lang w:val="es-ES_tradnl"/>
        </w:rPr>
      </w:pPr>
    </w:p>
    <w:p w14:paraId="7C5B3D25" w14:textId="1307CEB5" w:rsidR="00BC1770" w:rsidRPr="00021A99" w:rsidRDefault="00021A99" w:rsidP="00E067C2">
      <w:pPr>
        <w:pStyle w:val="Textoindependiente"/>
        <w:widowControl w:val="0"/>
        <w:numPr>
          <w:ilvl w:val="0"/>
          <w:numId w:val="30"/>
        </w:numPr>
        <w:tabs>
          <w:tab w:val="left" w:pos="567"/>
        </w:tabs>
        <w:autoSpaceDE w:val="0"/>
        <w:autoSpaceDN w:val="0"/>
        <w:spacing w:after="0"/>
        <w:ind w:left="0" w:right="19" w:firstLine="0"/>
        <w:jc w:val="both"/>
        <w:rPr>
          <w:color w:val="000000" w:themeColor="text1"/>
          <w:sz w:val="28"/>
          <w:szCs w:val="28"/>
          <w:lang w:val="es-ES_tradnl"/>
        </w:rPr>
      </w:pPr>
      <w:r w:rsidRPr="00021A99">
        <w:rPr>
          <w:sz w:val="28"/>
          <w:szCs w:val="28"/>
          <w:lang w:val="es-ES_tradnl"/>
        </w:rPr>
        <w:t>Finalmente</w:t>
      </w:r>
      <w:r w:rsidR="00BC1770" w:rsidRPr="00021A99">
        <w:rPr>
          <w:sz w:val="28"/>
          <w:szCs w:val="28"/>
          <w:lang w:val="es-ES_tradnl"/>
        </w:rPr>
        <w:t>, más allá de precisar la consistencia de esa línea interpretativa, corresponde al demandante aportar los elementos fácticos y argumentativos que demuestren que dicha postura genera un problema constitucional real</w:t>
      </w:r>
      <w:r w:rsidR="004E3159" w:rsidRPr="00021A99">
        <w:rPr>
          <w:sz w:val="28"/>
          <w:szCs w:val="28"/>
          <w:lang w:val="es-ES_tradnl"/>
        </w:rPr>
        <w:t xml:space="preserve"> y sólido,</w:t>
      </w:r>
      <w:r w:rsidR="00BC1770" w:rsidRPr="00021A99">
        <w:rPr>
          <w:sz w:val="28"/>
          <w:szCs w:val="28"/>
          <w:lang w:val="es-ES_tradnl"/>
        </w:rPr>
        <w:t xml:space="preserve"> y no </w:t>
      </w:r>
      <w:r w:rsidR="00BC1770" w:rsidRPr="00021A99">
        <w:rPr>
          <w:sz w:val="28"/>
          <w:szCs w:val="28"/>
          <w:lang w:val="es-ES_tradnl"/>
        </w:rPr>
        <w:lastRenderedPageBreak/>
        <w:t xml:space="preserve">meramente teórico. Esto implica describir los efectos prácticos de la interpretación en múltiples casos </w:t>
      </w:r>
      <w:r w:rsidRPr="00021A99">
        <w:rPr>
          <w:color w:val="000000" w:themeColor="text1"/>
          <w:sz w:val="28"/>
          <w:szCs w:val="28"/>
          <w:lang w:val="es-CO"/>
        </w:rPr>
        <w:t>–</w:t>
      </w:r>
      <w:r w:rsidR="00BC1770" w:rsidRPr="00021A99">
        <w:rPr>
          <w:sz w:val="28"/>
          <w:szCs w:val="28"/>
          <w:lang w:val="es-ES_tradnl"/>
        </w:rPr>
        <w:t>por ejemplo, la afectación concreta de la presunción de inocencia en sentencias condenatorias sujetas al recurso de apelación</w:t>
      </w:r>
      <w:r w:rsidRPr="00021A99">
        <w:rPr>
          <w:color w:val="000000" w:themeColor="text1"/>
          <w:sz w:val="28"/>
          <w:szCs w:val="28"/>
          <w:lang w:val="es-CO"/>
        </w:rPr>
        <w:t>–</w:t>
      </w:r>
      <w:r w:rsidR="00BC1770" w:rsidRPr="00021A99">
        <w:rPr>
          <w:sz w:val="28"/>
          <w:szCs w:val="28"/>
          <w:lang w:val="es-ES_tradnl"/>
        </w:rPr>
        <w:t xml:space="preserve"> y explicar cómo esas consecuencias vulneran derechos fundamentales o principios superiores. Al no lograr evidenciar que la interpretación cuestionada plantee un verdadero conflicto constitucional, estima la Sala </w:t>
      </w:r>
      <w:r w:rsidRPr="00021A99">
        <w:rPr>
          <w:sz w:val="28"/>
          <w:szCs w:val="28"/>
          <w:lang w:val="es-ES_tradnl"/>
        </w:rPr>
        <w:t xml:space="preserve">Plena </w:t>
      </w:r>
      <w:r w:rsidR="00BC1770" w:rsidRPr="00021A99">
        <w:rPr>
          <w:sz w:val="28"/>
          <w:szCs w:val="28"/>
          <w:lang w:val="es-ES_tradnl"/>
        </w:rPr>
        <w:t xml:space="preserve">que </w:t>
      </w:r>
      <w:r w:rsidR="00BC1770" w:rsidRPr="00021A99">
        <w:rPr>
          <w:color w:val="000000" w:themeColor="text1"/>
          <w:sz w:val="28"/>
          <w:szCs w:val="28"/>
          <w:shd w:val="clear" w:color="auto" w:fill="FFFFFF"/>
          <w:lang w:val="es-ES_tradnl"/>
        </w:rPr>
        <w:t>los argumentos expuestos en la demanda no logran suscitar una duda mínima sobre la inconstitucionalidad de las disposiciones cuestionadas y</w:t>
      </w:r>
      <w:r w:rsidR="004438E2" w:rsidRPr="00021A99">
        <w:rPr>
          <w:color w:val="000000" w:themeColor="text1"/>
          <w:sz w:val="28"/>
          <w:szCs w:val="28"/>
          <w:shd w:val="clear" w:color="auto" w:fill="FFFFFF"/>
          <w:lang w:val="es-ES_tradnl"/>
        </w:rPr>
        <w:t>,</w:t>
      </w:r>
      <w:r w:rsidR="00BC1770" w:rsidRPr="00021A99">
        <w:rPr>
          <w:color w:val="000000" w:themeColor="text1"/>
          <w:sz w:val="28"/>
          <w:szCs w:val="28"/>
          <w:shd w:val="clear" w:color="auto" w:fill="FFFFFF"/>
          <w:lang w:val="es-ES_tradnl"/>
        </w:rPr>
        <w:t xml:space="preserve"> por </w:t>
      </w:r>
      <w:r w:rsidRPr="00021A99">
        <w:rPr>
          <w:color w:val="000000" w:themeColor="text1"/>
          <w:sz w:val="28"/>
          <w:szCs w:val="28"/>
          <w:shd w:val="clear" w:color="auto" w:fill="FFFFFF"/>
          <w:lang w:val="es-ES_tradnl"/>
        </w:rPr>
        <w:t xml:space="preserve">lo </w:t>
      </w:r>
      <w:r w:rsidR="00BC1770" w:rsidRPr="00021A99">
        <w:rPr>
          <w:color w:val="000000" w:themeColor="text1"/>
          <w:sz w:val="28"/>
          <w:szCs w:val="28"/>
          <w:shd w:val="clear" w:color="auto" w:fill="FFFFFF"/>
          <w:lang w:val="es-ES_tradnl"/>
        </w:rPr>
        <w:t>tanto</w:t>
      </w:r>
      <w:r w:rsidR="004438E2" w:rsidRPr="00021A99">
        <w:rPr>
          <w:color w:val="000000" w:themeColor="text1"/>
          <w:sz w:val="28"/>
          <w:szCs w:val="28"/>
          <w:shd w:val="clear" w:color="auto" w:fill="FFFFFF"/>
          <w:lang w:val="es-ES_tradnl"/>
        </w:rPr>
        <w:t>,</w:t>
      </w:r>
      <w:r w:rsidR="00BC1770" w:rsidRPr="00021A99">
        <w:rPr>
          <w:color w:val="000000" w:themeColor="text1"/>
          <w:sz w:val="28"/>
          <w:szCs w:val="28"/>
          <w:shd w:val="clear" w:color="auto" w:fill="FFFFFF"/>
          <w:lang w:val="es-ES_tradnl"/>
        </w:rPr>
        <w:t xml:space="preserve"> procederá a emitir una </w:t>
      </w:r>
      <w:r w:rsidR="00740DD3" w:rsidRPr="00021A99">
        <w:rPr>
          <w:color w:val="000000" w:themeColor="text1"/>
          <w:sz w:val="28"/>
          <w:szCs w:val="28"/>
          <w:shd w:val="clear" w:color="auto" w:fill="FFFFFF"/>
          <w:lang w:val="es-ES_tradnl"/>
        </w:rPr>
        <w:t>decisión</w:t>
      </w:r>
      <w:r w:rsidR="00BC1770" w:rsidRPr="00021A99">
        <w:rPr>
          <w:color w:val="000000" w:themeColor="text1"/>
          <w:sz w:val="28"/>
          <w:szCs w:val="28"/>
          <w:shd w:val="clear" w:color="auto" w:fill="FFFFFF"/>
          <w:lang w:val="es-ES_tradnl"/>
        </w:rPr>
        <w:t xml:space="preserve"> inhibitoria</w:t>
      </w:r>
      <w:r w:rsidR="00BC1770" w:rsidRPr="00021A99">
        <w:rPr>
          <w:sz w:val="28"/>
          <w:szCs w:val="28"/>
          <w:lang w:val="es-ES_tradnl"/>
        </w:rPr>
        <w:t>.</w:t>
      </w:r>
    </w:p>
    <w:p w14:paraId="07983F31" w14:textId="77777777" w:rsidR="00BC1770" w:rsidRPr="00021A99" w:rsidRDefault="00BC1770" w:rsidP="00E067C2">
      <w:pPr>
        <w:pStyle w:val="Textoindependiente"/>
        <w:widowControl w:val="0"/>
        <w:tabs>
          <w:tab w:val="left" w:pos="567"/>
        </w:tabs>
        <w:autoSpaceDE w:val="0"/>
        <w:autoSpaceDN w:val="0"/>
        <w:spacing w:after="0"/>
        <w:ind w:right="19"/>
        <w:jc w:val="both"/>
        <w:rPr>
          <w:color w:val="000000" w:themeColor="text1"/>
          <w:sz w:val="28"/>
          <w:szCs w:val="28"/>
          <w:lang w:val="es-ES_tradnl"/>
        </w:rPr>
      </w:pPr>
    </w:p>
    <w:p w14:paraId="23379C9B" w14:textId="4B75D5DB" w:rsidR="00D27034" w:rsidRPr="00021A99" w:rsidRDefault="00FD2895" w:rsidP="00E067C2">
      <w:pPr>
        <w:pStyle w:val="Prrafodelista"/>
        <w:widowControl w:val="0"/>
        <w:ind w:left="0"/>
        <w:jc w:val="center"/>
        <w:outlineLvl w:val="0"/>
        <w:rPr>
          <w:rFonts w:eastAsia="Cambria"/>
          <w:b/>
          <w:color w:val="000000" w:themeColor="text1"/>
          <w:sz w:val="28"/>
          <w:szCs w:val="28"/>
          <w:lang w:val="es-ES"/>
        </w:rPr>
      </w:pPr>
      <w:r w:rsidRPr="00021A99">
        <w:rPr>
          <w:rFonts w:eastAsia="Cambria"/>
          <w:b/>
          <w:color w:val="000000" w:themeColor="text1"/>
          <w:sz w:val="28"/>
          <w:szCs w:val="28"/>
          <w:lang w:val="es-ES"/>
        </w:rPr>
        <w:t xml:space="preserve">V.   </w:t>
      </w:r>
      <w:r w:rsidR="00D27034" w:rsidRPr="00021A99">
        <w:rPr>
          <w:rFonts w:eastAsia="Cambria"/>
          <w:b/>
          <w:color w:val="000000" w:themeColor="text1"/>
          <w:sz w:val="28"/>
          <w:szCs w:val="28"/>
          <w:lang w:val="es-ES"/>
        </w:rPr>
        <w:t>DECISIÓN</w:t>
      </w:r>
    </w:p>
    <w:p w14:paraId="277FA720" w14:textId="77777777" w:rsidR="00D27034" w:rsidRPr="00021A99" w:rsidRDefault="00D27034" w:rsidP="00E067C2">
      <w:pPr>
        <w:widowControl w:val="0"/>
        <w:jc w:val="both"/>
        <w:rPr>
          <w:rFonts w:eastAsiaTheme="minorHAnsi"/>
          <w:color w:val="000000" w:themeColor="text1"/>
          <w:sz w:val="28"/>
          <w:szCs w:val="28"/>
          <w:lang w:eastAsia="en-US"/>
        </w:rPr>
      </w:pPr>
    </w:p>
    <w:p w14:paraId="673B2EAB" w14:textId="77777777" w:rsidR="00D27034" w:rsidRPr="00021A99" w:rsidRDefault="00D27034" w:rsidP="00E067C2">
      <w:pPr>
        <w:widowControl w:val="0"/>
        <w:jc w:val="both"/>
        <w:rPr>
          <w:rFonts w:eastAsiaTheme="minorHAnsi"/>
          <w:color w:val="000000" w:themeColor="text1"/>
          <w:sz w:val="28"/>
          <w:szCs w:val="28"/>
          <w:lang w:eastAsia="en-US"/>
        </w:rPr>
      </w:pPr>
      <w:r w:rsidRPr="00021A99">
        <w:rPr>
          <w:rFonts w:eastAsiaTheme="minorHAnsi"/>
          <w:color w:val="000000" w:themeColor="text1"/>
          <w:sz w:val="28"/>
          <w:szCs w:val="28"/>
          <w:lang w:eastAsia="en-US"/>
        </w:rPr>
        <w:t>La Corte Constitucional de la República de Colombia, administrando justicia en nombre del pueblo y por mandato de la Constitución,</w:t>
      </w:r>
    </w:p>
    <w:p w14:paraId="647A513A" w14:textId="77777777" w:rsidR="00D27034" w:rsidRPr="00021A99" w:rsidRDefault="00D27034" w:rsidP="00E067C2">
      <w:pPr>
        <w:widowControl w:val="0"/>
        <w:jc w:val="both"/>
        <w:rPr>
          <w:rFonts w:eastAsiaTheme="minorHAnsi"/>
          <w:b/>
          <w:color w:val="000000" w:themeColor="text1"/>
          <w:sz w:val="28"/>
          <w:szCs w:val="28"/>
          <w:lang w:eastAsia="en-US"/>
        </w:rPr>
      </w:pPr>
    </w:p>
    <w:p w14:paraId="438B089E" w14:textId="77777777" w:rsidR="00D27034" w:rsidRPr="00021A99" w:rsidRDefault="00D27034" w:rsidP="00E067C2">
      <w:pPr>
        <w:widowControl w:val="0"/>
        <w:jc w:val="center"/>
        <w:rPr>
          <w:rFonts w:eastAsiaTheme="minorHAnsi"/>
          <w:b/>
          <w:color w:val="000000" w:themeColor="text1"/>
          <w:sz w:val="28"/>
          <w:szCs w:val="28"/>
          <w:lang w:eastAsia="en-US"/>
        </w:rPr>
      </w:pPr>
      <w:r w:rsidRPr="00021A99">
        <w:rPr>
          <w:rFonts w:eastAsiaTheme="minorHAnsi"/>
          <w:b/>
          <w:color w:val="000000" w:themeColor="text1"/>
          <w:sz w:val="28"/>
          <w:szCs w:val="28"/>
          <w:lang w:eastAsia="en-US"/>
        </w:rPr>
        <w:t>RESUELVE</w:t>
      </w:r>
    </w:p>
    <w:p w14:paraId="47D67A7A" w14:textId="77777777" w:rsidR="00D27034" w:rsidRPr="00021A99" w:rsidRDefault="00D27034" w:rsidP="00E067C2">
      <w:pPr>
        <w:widowControl w:val="0"/>
        <w:jc w:val="both"/>
        <w:rPr>
          <w:rFonts w:eastAsiaTheme="minorHAnsi"/>
          <w:color w:val="000000" w:themeColor="text1"/>
          <w:sz w:val="28"/>
          <w:szCs w:val="28"/>
          <w:lang w:eastAsia="en-US"/>
        </w:rPr>
      </w:pPr>
    </w:p>
    <w:p w14:paraId="1FCA3176" w14:textId="4B0CEBF7" w:rsidR="00740DD3" w:rsidRPr="00021A99" w:rsidRDefault="00021A99" w:rsidP="00E067C2">
      <w:pPr>
        <w:widowControl w:val="0"/>
        <w:jc w:val="both"/>
        <w:rPr>
          <w:rFonts w:eastAsiaTheme="minorHAnsi"/>
          <w:color w:val="000000" w:themeColor="text1"/>
          <w:sz w:val="28"/>
          <w:szCs w:val="28"/>
          <w:lang w:eastAsia="en-US"/>
        </w:rPr>
      </w:pPr>
      <w:bookmarkStart w:id="12" w:name="_Hlk113003102"/>
      <w:bookmarkStart w:id="13" w:name="_Hlk9514800"/>
      <w:r w:rsidRPr="00021A99">
        <w:rPr>
          <w:rFonts w:eastAsiaTheme="minorHAnsi"/>
          <w:b/>
          <w:bCs/>
          <w:color w:val="000000" w:themeColor="text1"/>
          <w:sz w:val="28"/>
          <w:szCs w:val="28"/>
          <w:lang w:eastAsia="en-US"/>
        </w:rPr>
        <w:t>ÚNICO</w:t>
      </w:r>
      <w:r w:rsidR="00740DD3" w:rsidRPr="00021A99">
        <w:rPr>
          <w:rFonts w:eastAsiaTheme="minorHAnsi"/>
          <w:color w:val="000000" w:themeColor="text1"/>
          <w:sz w:val="28"/>
          <w:szCs w:val="28"/>
          <w:lang w:eastAsia="en-US"/>
        </w:rPr>
        <w:t xml:space="preserve">: Declararse </w:t>
      </w:r>
      <w:r w:rsidR="00740DD3" w:rsidRPr="00021A99">
        <w:rPr>
          <w:rFonts w:eastAsiaTheme="minorHAnsi"/>
          <w:b/>
          <w:bCs/>
          <w:color w:val="000000" w:themeColor="text1"/>
          <w:sz w:val="28"/>
          <w:szCs w:val="28"/>
          <w:lang w:eastAsia="en-US"/>
        </w:rPr>
        <w:t>INHIBIDA</w:t>
      </w:r>
      <w:r w:rsidR="00740DD3" w:rsidRPr="00021A99">
        <w:rPr>
          <w:rFonts w:eastAsiaTheme="minorHAnsi"/>
          <w:color w:val="000000" w:themeColor="text1"/>
          <w:sz w:val="28"/>
          <w:szCs w:val="28"/>
          <w:lang w:eastAsia="en-US"/>
        </w:rPr>
        <w:t xml:space="preserve"> para adoptar un pronunciamiento de fondo sobre los artículos 63 del Código Penal y 177 del Código de Procedimiento Penal, por ineptitud sustantiva de la demanda.</w:t>
      </w:r>
      <w:bookmarkEnd w:id="12"/>
    </w:p>
    <w:p w14:paraId="328FF0EE" w14:textId="77777777" w:rsidR="00740DD3" w:rsidRPr="00021A99" w:rsidRDefault="00740DD3" w:rsidP="00E067C2">
      <w:pPr>
        <w:widowControl w:val="0"/>
        <w:jc w:val="both"/>
        <w:rPr>
          <w:rFonts w:eastAsiaTheme="minorHAnsi"/>
          <w:color w:val="000000" w:themeColor="text1"/>
          <w:sz w:val="28"/>
          <w:szCs w:val="28"/>
          <w:lang w:eastAsia="en-US"/>
        </w:rPr>
      </w:pPr>
    </w:p>
    <w:bookmarkEnd w:id="13"/>
    <w:p w14:paraId="2D84DBD9" w14:textId="77777777" w:rsidR="00D27034" w:rsidRPr="00D061DF" w:rsidRDefault="00D27034" w:rsidP="00E067C2">
      <w:pPr>
        <w:widowControl w:val="0"/>
        <w:pBdr>
          <w:top w:val="nil"/>
          <w:left w:val="nil"/>
          <w:bottom w:val="nil"/>
          <w:right w:val="nil"/>
          <w:between w:val="nil"/>
        </w:pBdr>
        <w:jc w:val="both"/>
        <w:rPr>
          <w:rFonts w:eastAsia="Calibri"/>
          <w:color w:val="000000" w:themeColor="text1"/>
          <w:sz w:val="28"/>
          <w:szCs w:val="28"/>
          <w:shd w:val="clear" w:color="auto" w:fill="FFFFFF"/>
          <w:lang w:eastAsia="es-ES"/>
        </w:rPr>
      </w:pPr>
      <w:r w:rsidRPr="00021A99">
        <w:rPr>
          <w:rFonts w:eastAsia="Calibri"/>
          <w:color w:val="000000" w:themeColor="text1"/>
          <w:sz w:val="28"/>
          <w:szCs w:val="28"/>
          <w:shd w:val="clear" w:color="auto" w:fill="FFFFFF"/>
          <w:lang w:eastAsia="es-ES"/>
        </w:rPr>
        <w:t>Notifíquese, comuníquese y cúmplase,</w:t>
      </w:r>
    </w:p>
    <w:p w14:paraId="2DDB00C8" w14:textId="77777777" w:rsidR="00FB7A39" w:rsidRPr="00D061DF" w:rsidRDefault="00FB7A39" w:rsidP="00E067C2">
      <w:pPr>
        <w:jc w:val="both"/>
        <w:rPr>
          <w:color w:val="000000" w:themeColor="text1"/>
          <w:sz w:val="28"/>
          <w:szCs w:val="28"/>
        </w:rPr>
      </w:pPr>
    </w:p>
    <w:p w14:paraId="181716FC" w14:textId="08A993D8" w:rsidR="00FB7A39" w:rsidRPr="00D061DF" w:rsidRDefault="00FB7A39" w:rsidP="00E067C2">
      <w:pPr>
        <w:jc w:val="both"/>
        <w:rPr>
          <w:color w:val="000000" w:themeColor="text1"/>
          <w:sz w:val="28"/>
          <w:szCs w:val="28"/>
        </w:rPr>
      </w:pPr>
    </w:p>
    <w:bookmarkEnd w:id="0"/>
    <w:p w14:paraId="6C6D60CF" w14:textId="77777777" w:rsidR="00617052" w:rsidRPr="0063264C" w:rsidRDefault="00617052" w:rsidP="00E067C2">
      <w:pPr>
        <w:jc w:val="both"/>
        <w:rPr>
          <w:color w:val="000000" w:themeColor="text1"/>
          <w:sz w:val="28"/>
          <w:szCs w:val="28"/>
          <w:lang w:val="es-ES"/>
        </w:rPr>
      </w:pPr>
    </w:p>
    <w:p w14:paraId="73E2C0FE" w14:textId="0653E657" w:rsidR="00A328E6" w:rsidRDefault="00A328E6" w:rsidP="00E067C2">
      <w:pPr>
        <w:jc w:val="both"/>
        <w:rPr>
          <w:color w:val="000000" w:themeColor="text1"/>
          <w:sz w:val="28"/>
          <w:szCs w:val="28"/>
          <w:lang w:val="es-ES"/>
        </w:rPr>
      </w:pPr>
    </w:p>
    <w:p w14:paraId="5BB85771" w14:textId="49FF80F6" w:rsidR="00922062" w:rsidRDefault="00922062" w:rsidP="00E067C2">
      <w:pPr>
        <w:jc w:val="both"/>
        <w:rPr>
          <w:color w:val="000000" w:themeColor="text1"/>
          <w:sz w:val="28"/>
          <w:szCs w:val="28"/>
          <w:lang w:val="es-ES"/>
        </w:rPr>
      </w:pPr>
    </w:p>
    <w:p w14:paraId="6A034152" w14:textId="254C0303" w:rsidR="00922062" w:rsidRDefault="00922062" w:rsidP="00E067C2">
      <w:pPr>
        <w:jc w:val="both"/>
        <w:rPr>
          <w:color w:val="000000" w:themeColor="text1"/>
          <w:sz w:val="28"/>
          <w:szCs w:val="28"/>
          <w:lang w:val="es-ES"/>
        </w:rPr>
      </w:pPr>
    </w:p>
    <w:p w14:paraId="52C9DDBA" w14:textId="7578D158" w:rsidR="00922062" w:rsidRDefault="00922062" w:rsidP="00922062">
      <w:pPr>
        <w:jc w:val="center"/>
        <w:rPr>
          <w:color w:val="000000" w:themeColor="text1"/>
          <w:sz w:val="28"/>
          <w:szCs w:val="28"/>
          <w:lang w:val="es-ES"/>
        </w:rPr>
      </w:pPr>
      <w:r w:rsidRPr="00922062">
        <w:rPr>
          <w:color w:val="000000" w:themeColor="text1"/>
          <w:sz w:val="28"/>
          <w:szCs w:val="28"/>
          <w:lang w:val="es-ES"/>
        </w:rPr>
        <w:t>JORGE ENRIQUE IBÁÑEZ NAJAR</w:t>
      </w:r>
    </w:p>
    <w:p w14:paraId="3704203E" w14:textId="5AB3E5F0" w:rsidR="00922062" w:rsidRDefault="00922062" w:rsidP="00922062">
      <w:pPr>
        <w:jc w:val="center"/>
        <w:rPr>
          <w:color w:val="000000" w:themeColor="text1"/>
          <w:sz w:val="28"/>
          <w:szCs w:val="28"/>
          <w:lang w:val="es-ES"/>
        </w:rPr>
      </w:pPr>
      <w:r w:rsidRPr="00922062">
        <w:rPr>
          <w:color w:val="000000" w:themeColor="text1"/>
          <w:sz w:val="28"/>
          <w:szCs w:val="28"/>
          <w:lang w:val="es-ES"/>
        </w:rPr>
        <w:t>Presidente</w:t>
      </w:r>
    </w:p>
    <w:p w14:paraId="428905C6" w14:textId="69DFFDE7" w:rsidR="00922062" w:rsidRDefault="00922062" w:rsidP="00922062">
      <w:pPr>
        <w:jc w:val="center"/>
        <w:rPr>
          <w:color w:val="000000" w:themeColor="text1"/>
          <w:sz w:val="28"/>
          <w:szCs w:val="28"/>
          <w:lang w:val="es-ES"/>
        </w:rPr>
      </w:pPr>
      <w:r w:rsidRPr="00922062">
        <w:rPr>
          <w:color w:val="000000" w:themeColor="text1"/>
          <w:sz w:val="28"/>
          <w:szCs w:val="28"/>
          <w:lang w:val="es-ES"/>
        </w:rPr>
        <w:t>Con salvamento de voto</w:t>
      </w:r>
    </w:p>
    <w:p w14:paraId="511C67E0" w14:textId="288A72A7" w:rsidR="00922062" w:rsidRDefault="00922062" w:rsidP="00922062">
      <w:pPr>
        <w:jc w:val="center"/>
        <w:rPr>
          <w:color w:val="000000" w:themeColor="text1"/>
          <w:sz w:val="28"/>
          <w:szCs w:val="28"/>
          <w:lang w:val="es-ES"/>
        </w:rPr>
      </w:pPr>
    </w:p>
    <w:p w14:paraId="625D4722" w14:textId="2F7ED4B8" w:rsidR="00922062" w:rsidRDefault="00922062" w:rsidP="00922062">
      <w:pPr>
        <w:jc w:val="center"/>
        <w:rPr>
          <w:color w:val="000000" w:themeColor="text1"/>
          <w:sz w:val="28"/>
          <w:szCs w:val="28"/>
          <w:lang w:val="es-ES"/>
        </w:rPr>
      </w:pPr>
    </w:p>
    <w:p w14:paraId="2FB369DE" w14:textId="10F12705" w:rsidR="00922062" w:rsidRDefault="00922062" w:rsidP="00922062">
      <w:pPr>
        <w:jc w:val="center"/>
        <w:rPr>
          <w:color w:val="000000" w:themeColor="text1"/>
          <w:sz w:val="28"/>
          <w:szCs w:val="28"/>
          <w:lang w:val="es-ES"/>
        </w:rPr>
      </w:pPr>
    </w:p>
    <w:p w14:paraId="5F6B0ACE" w14:textId="3E5D27FE" w:rsidR="00922062" w:rsidRDefault="00922062" w:rsidP="00922062">
      <w:pPr>
        <w:jc w:val="center"/>
        <w:rPr>
          <w:color w:val="000000" w:themeColor="text1"/>
          <w:sz w:val="28"/>
          <w:szCs w:val="28"/>
          <w:lang w:val="es-ES"/>
        </w:rPr>
      </w:pPr>
      <w:r w:rsidRPr="00922062">
        <w:rPr>
          <w:color w:val="000000" w:themeColor="text1"/>
          <w:sz w:val="28"/>
          <w:szCs w:val="28"/>
          <w:lang w:val="es-ES"/>
        </w:rPr>
        <w:t>NATALIA ÁNGEL CABO</w:t>
      </w:r>
    </w:p>
    <w:p w14:paraId="16D40288" w14:textId="535BF4C2" w:rsidR="00922062" w:rsidRDefault="00922062" w:rsidP="00922062">
      <w:pPr>
        <w:jc w:val="center"/>
        <w:rPr>
          <w:color w:val="000000" w:themeColor="text1"/>
          <w:sz w:val="28"/>
          <w:szCs w:val="28"/>
          <w:lang w:val="es-ES"/>
        </w:rPr>
      </w:pPr>
      <w:r w:rsidRPr="00922062">
        <w:rPr>
          <w:color w:val="000000" w:themeColor="text1"/>
          <w:sz w:val="28"/>
          <w:szCs w:val="28"/>
          <w:lang w:val="es-ES"/>
        </w:rPr>
        <w:t>Magistrada</w:t>
      </w:r>
    </w:p>
    <w:p w14:paraId="09C99AE2" w14:textId="0FA781C7" w:rsidR="00922062" w:rsidRDefault="00922062" w:rsidP="00922062">
      <w:pPr>
        <w:jc w:val="center"/>
        <w:rPr>
          <w:color w:val="000000" w:themeColor="text1"/>
          <w:sz w:val="28"/>
          <w:szCs w:val="28"/>
          <w:lang w:val="es-ES"/>
        </w:rPr>
      </w:pPr>
    </w:p>
    <w:p w14:paraId="282A56DB" w14:textId="7B52E5CC" w:rsidR="00922062" w:rsidRDefault="00922062" w:rsidP="00922062">
      <w:pPr>
        <w:jc w:val="center"/>
        <w:rPr>
          <w:color w:val="000000" w:themeColor="text1"/>
          <w:sz w:val="28"/>
          <w:szCs w:val="28"/>
          <w:lang w:val="es-ES"/>
        </w:rPr>
      </w:pPr>
    </w:p>
    <w:p w14:paraId="3646C5EF" w14:textId="5424415B" w:rsidR="00922062" w:rsidRDefault="00922062" w:rsidP="00922062">
      <w:pPr>
        <w:jc w:val="center"/>
        <w:rPr>
          <w:color w:val="000000" w:themeColor="text1"/>
          <w:sz w:val="28"/>
          <w:szCs w:val="28"/>
          <w:lang w:val="es-ES"/>
        </w:rPr>
      </w:pPr>
    </w:p>
    <w:p w14:paraId="52D9FC0E" w14:textId="69450554" w:rsidR="00922062" w:rsidRDefault="00922062" w:rsidP="00922062">
      <w:pPr>
        <w:jc w:val="center"/>
        <w:rPr>
          <w:color w:val="000000" w:themeColor="text1"/>
          <w:sz w:val="28"/>
          <w:szCs w:val="28"/>
          <w:lang w:val="es-ES"/>
        </w:rPr>
      </w:pPr>
      <w:r w:rsidRPr="00922062">
        <w:rPr>
          <w:color w:val="000000" w:themeColor="text1"/>
          <w:sz w:val="28"/>
          <w:szCs w:val="28"/>
          <w:lang w:val="es-ES"/>
        </w:rPr>
        <w:t>JUAN CARLOS CORTÉS GONZÁLEZ</w:t>
      </w:r>
    </w:p>
    <w:p w14:paraId="17EA5A89" w14:textId="55520796" w:rsidR="00922062" w:rsidRDefault="00922062" w:rsidP="00922062">
      <w:pPr>
        <w:jc w:val="center"/>
        <w:rPr>
          <w:color w:val="000000" w:themeColor="text1"/>
          <w:sz w:val="28"/>
          <w:szCs w:val="28"/>
          <w:lang w:val="es-ES"/>
        </w:rPr>
      </w:pPr>
      <w:r w:rsidRPr="00922062">
        <w:rPr>
          <w:color w:val="000000" w:themeColor="text1"/>
          <w:sz w:val="28"/>
          <w:szCs w:val="28"/>
          <w:lang w:val="es-ES"/>
        </w:rPr>
        <w:t>Magistrado</w:t>
      </w:r>
    </w:p>
    <w:p w14:paraId="46F9DE82" w14:textId="5A508E2E" w:rsidR="00922062" w:rsidRDefault="00922062" w:rsidP="00922062">
      <w:pPr>
        <w:jc w:val="center"/>
        <w:rPr>
          <w:color w:val="000000" w:themeColor="text1"/>
          <w:sz w:val="28"/>
          <w:szCs w:val="28"/>
          <w:lang w:val="es-ES"/>
        </w:rPr>
      </w:pPr>
    </w:p>
    <w:p w14:paraId="5F6B54C6" w14:textId="33A01682" w:rsidR="00922062" w:rsidRDefault="00922062" w:rsidP="00922062">
      <w:pPr>
        <w:jc w:val="center"/>
        <w:rPr>
          <w:color w:val="000000" w:themeColor="text1"/>
          <w:sz w:val="28"/>
          <w:szCs w:val="28"/>
          <w:lang w:val="es-ES"/>
        </w:rPr>
      </w:pPr>
    </w:p>
    <w:p w14:paraId="1F8C4641" w14:textId="636FFAF6" w:rsidR="00922062" w:rsidRDefault="00922062" w:rsidP="00922062">
      <w:pPr>
        <w:jc w:val="center"/>
        <w:rPr>
          <w:color w:val="000000" w:themeColor="text1"/>
          <w:sz w:val="28"/>
          <w:szCs w:val="28"/>
          <w:lang w:val="es-ES"/>
        </w:rPr>
      </w:pPr>
    </w:p>
    <w:p w14:paraId="164B1AD1" w14:textId="6C801A7A" w:rsidR="00922062" w:rsidRDefault="00922062" w:rsidP="00922062">
      <w:pPr>
        <w:jc w:val="center"/>
        <w:rPr>
          <w:color w:val="000000" w:themeColor="text1"/>
          <w:sz w:val="28"/>
          <w:szCs w:val="28"/>
          <w:lang w:val="es-ES"/>
        </w:rPr>
      </w:pPr>
      <w:r w:rsidRPr="00922062">
        <w:rPr>
          <w:color w:val="000000" w:themeColor="text1"/>
          <w:sz w:val="28"/>
          <w:szCs w:val="28"/>
          <w:lang w:val="es-ES"/>
        </w:rPr>
        <w:t>DIANA FAJARDO RIVERA</w:t>
      </w:r>
    </w:p>
    <w:p w14:paraId="0984A6BF" w14:textId="5C1F9AD2" w:rsidR="00922062" w:rsidRDefault="00922062" w:rsidP="00922062">
      <w:pPr>
        <w:jc w:val="center"/>
        <w:rPr>
          <w:color w:val="000000" w:themeColor="text1"/>
          <w:sz w:val="28"/>
          <w:szCs w:val="28"/>
          <w:lang w:val="es-ES"/>
        </w:rPr>
      </w:pPr>
      <w:r w:rsidRPr="00922062">
        <w:rPr>
          <w:color w:val="000000" w:themeColor="text1"/>
          <w:sz w:val="28"/>
          <w:szCs w:val="28"/>
          <w:lang w:val="es-ES"/>
        </w:rPr>
        <w:t>Magistrada</w:t>
      </w:r>
    </w:p>
    <w:p w14:paraId="43834494" w14:textId="5076E321" w:rsidR="00922062" w:rsidRDefault="00922062" w:rsidP="00922062">
      <w:pPr>
        <w:jc w:val="center"/>
        <w:rPr>
          <w:color w:val="000000" w:themeColor="text1"/>
          <w:sz w:val="28"/>
          <w:szCs w:val="28"/>
          <w:lang w:val="es-ES"/>
        </w:rPr>
      </w:pPr>
      <w:r w:rsidRPr="00922062">
        <w:rPr>
          <w:color w:val="000000" w:themeColor="text1"/>
          <w:sz w:val="28"/>
          <w:szCs w:val="28"/>
          <w:lang w:val="es-ES"/>
        </w:rPr>
        <w:t>Con salvamento de voto</w:t>
      </w:r>
    </w:p>
    <w:p w14:paraId="7BF43975" w14:textId="7EA3E043" w:rsidR="00922062" w:rsidRDefault="00922062" w:rsidP="00922062">
      <w:pPr>
        <w:jc w:val="center"/>
        <w:rPr>
          <w:color w:val="000000" w:themeColor="text1"/>
          <w:sz w:val="28"/>
          <w:szCs w:val="28"/>
          <w:lang w:val="es-ES"/>
        </w:rPr>
      </w:pPr>
    </w:p>
    <w:p w14:paraId="6FDF6A8A" w14:textId="6907283E" w:rsidR="00922062" w:rsidRDefault="00922062" w:rsidP="00922062">
      <w:pPr>
        <w:jc w:val="center"/>
        <w:rPr>
          <w:color w:val="000000" w:themeColor="text1"/>
          <w:sz w:val="28"/>
          <w:szCs w:val="28"/>
          <w:lang w:val="es-ES"/>
        </w:rPr>
      </w:pPr>
    </w:p>
    <w:p w14:paraId="529FB2F5" w14:textId="53A13213" w:rsidR="00922062" w:rsidRDefault="00922062" w:rsidP="00922062">
      <w:pPr>
        <w:jc w:val="center"/>
        <w:rPr>
          <w:color w:val="000000" w:themeColor="text1"/>
          <w:sz w:val="28"/>
          <w:szCs w:val="28"/>
          <w:lang w:val="es-ES"/>
        </w:rPr>
      </w:pPr>
    </w:p>
    <w:p w14:paraId="25BDD512" w14:textId="0C737A19" w:rsidR="00922062" w:rsidRDefault="00922062" w:rsidP="00922062">
      <w:pPr>
        <w:jc w:val="center"/>
        <w:rPr>
          <w:color w:val="000000" w:themeColor="text1"/>
          <w:sz w:val="28"/>
          <w:szCs w:val="28"/>
          <w:lang w:val="es-ES"/>
        </w:rPr>
      </w:pPr>
      <w:r w:rsidRPr="00922062">
        <w:rPr>
          <w:color w:val="000000" w:themeColor="text1"/>
          <w:sz w:val="28"/>
          <w:szCs w:val="28"/>
          <w:lang w:val="es-ES"/>
        </w:rPr>
        <w:lastRenderedPageBreak/>
        <w:t>VLADIMIR FERNÁNDEZ ANDRADE</w:t>
      </w:r>
    </w:p>
    <w:p w14:paraId="451FD2DE" w14:textId="481D7545" w:rsidR="00922062" w:rsidRDefault="00922062" w:rsidP="00922062">
      <w:pPr>
        <w:jc w:val="center"/>
        <w:rPr>
          <w:color w:val="000000" w:themeColor="text1"/>
          <w:sz w:val="28"/>
          <w:szCs w:val="28"/>
          <w:lang w:val="es-ES"/>
        </w:rPr>
      </w:pPr>
      <w:r w:rsidRPr="00922062">
        <w:rPr>
          <w:color w:val="000000" w:themeColor="text1"/>
          <w:sz w:val="28"/>
          <w:szCs w:val="28"/>
          <w:lang w:val="es-ES"/>
        </w:rPr>
        <w:t>Magistrado</w:t>
      </w:r>
    </w:p>
    <w:p w14:paraId="2D28A11F" w14:textId="2267C7B7" w:rsidR="00922062" w:rsidRDefault="00922062" w:rsidP="00922062">
      <w:pPr>
        <w:jc w:val="center"/>
        <w:rPr>
          <w:color w:val="000000" w:themeColor="text1"/>
          <w:sz w:val="28"/>
          <w:szCs w:val="28"/>
          <w:lang w:val="es-ES"/>
        </w:rPr>
      </w:pPr>
    </w:p>
    <w:p w14:paraId="02657274" w14:textId="08E47DBF" w:rsidR="00922062" w:rsidRDefault="00922062" w:rsidP="00922062">
      <w:pPr>
        <w:jc w:val="center"/>
        <w:rPr>
          <w:color w:val="000000" w:themeColor="text1"/>
          <w:sz w:val="28"/>
          <w:szCs w:val="28"/>
          <w:lang w:val="es-ES"/>
        </w:rPr>
      </w:pPr>
    </w:p>
    <w:p w14:paraId="40B8C54E" w14:textId="0B7625A9" w:rsidR="00922062" w:rsidRDefault="00922062" w:rsidP="00922062">
      <w:pPr>
        <w:jc w:val="center"/>
        <w:rPr>
          <w:color w:val="000000" w:themeColor="text1"/>
          <w:sz w:val="28"/>
          <w:szCs w:val="28"/>
          <w:lang w:val="es-ES"/>
        </w:rPr>
      </w:pPr>
    </w:p>
    <w:p w14:paraId="1C9BDC86" w14:textId="2AC5D622" w:rsidR="00922062" w:rsidRDefault="00922062" w:rsidP="00922062">
      <w:pPr>
        <w:jc w:val="center"/>
        <w:rPr>
          <w:color w:val="000000" w:themeColor="text1"/>
          <w:sz w:val="28"/>
          <w:szCs w:val="28"/>
          <w:lang w:val="es-ES"/>
        </w:rPr>
      </w:pPr>
      <w:r w:rsidRPr="00922062">
        <w:rPr>
          <w:color w:val="000000" w:themeColor="text1"/>
          <w:sz w:val="28"/>
          <w:szCs w:val="28"/>
          <w:lang w:val="es-ES"/>
        </w:rPr>
        <w:t>PAOLA ANDREA MENESES MOSQUERA</w:t>
      </w:r>
    </w:p>
    <w:p w14:paraId="02B4A81A" w14:textId="3FA16428" w:rsidR="00922062" w:rsidRDefault="00922062" w:rsidP="00922062">
      <w:pPr>
        <w:jc w:val="center"/>
        <w:rPr>
          <w:color w:val="000000" w:themeColor="text1"/>
          <w:sz w:val="28"/>
          <w:szCs w:val="28"/>
          <w:lang w:val="es-ES"/>
        </w:rPr>
      </w:pPr>
      <w:r w:rsidRPr="00922062">
        <w:rPr>
          <w:color w:val="000000" w:themeColor="text1"/>
          <w:sz w:val="28"/>
          <w:szCs w:val="28"/>
          <w:lang w:val="es-ES"/>
        </w:rPr>
        <w:t>Magistrada</w:t>
      </w:r>
    </w:p>
    <w:p w14:paraId="2D8C35AA" w14:textId="75A1D0E7" w:rsidR="00922062" w:rsidRDefault="00922062" w:rsidP="00922062">
      <w:pPr>
        <w:jc w:val="center"/>
        <w:rPr>
          <w:color w:val="000000" w:themeColor="text1"/>
          <w:sz w:val="28"/>
          <w:szCs w:val="28"/>
          <w:lang w:val="es-ES"/>
        </w:rPr>
      </w:pPr>
      <w:r w:rsidRPr="00922062">
        <w:rPr>
          <w:color w:val="000000" w:themeColor="text1"/>
          <w:sz w:val="28"/>
          <w:szCs w:val="28"/>
          <w:lang w:val="es-ES"/>
        </w:rPr>
        <w:t>Ausente con comisión</w:t>
      </w:r>
    </w:p>
    <w:p w14:paraId="5BD82AAC" w14:textId="538B5AC5" w:rsidR="00922062" w:rsidRDefault="00922062" w:rsidP="00922062">
      <w:pPr>
        <w:jc w:val="center"/>
        <w:rPr>
          <w:color w:val="000000" w:themeColor="text1"/>
          <w:sz w:val="28"/>
          <w:szCs w:val="28"/>
          <w:lang w:val="es-ES"/>
        </w:rPr>
      </w:pPr>
    </w:p>
    <w:p w14:paraId="24260C3D" w14:textId="62B03D60" w:rsidR="00922062" w:rsidRDefault="00922062" w:rsidP="00922062">
      <w:pPr>
        <w:jc w:val="center"/>
        <w:rPr>
          <w:color w:val="000000" w:themeColor="text1"/>
          <w:sz w:val="28"/>
          <w:szCs w:val="28"/>
          <w:lang w:val="es-ES"/>
        </w:rPr>
      </w:pPr>
    </w:p>
    <w:p w14:paraId="1E2F7514" w14:textId="1DAB34A5" w:rsidR="00922062" w:rsidRDefault="00922062" w:rsidP="00922062">
      <w:pPr>
        <w:jc w:val="center"/>
        <w:rPr>
          <w:color w:val="000000" w:themeColor="text1"/>
          <w:sz w:val="28"/>
          <w:szCs w:val="28"/>
          <w:lang w:val="es-ES"/>
        </w:rPr>
      </w:pPr>
    </w:p>
    <w:p w14:paraId="401A7F1D" w14:textId="601F70BE" w:rsidR="00922062" w:rsidRDefault="00922062" w:rsidP="00922062">
      <w:pPr>
        <w:jc w:val="center"/>
        <w:rPr>
          <w:color w:val="000000" w:themeColor="text1"/>
          <w:sz w:val="28"/>
          <w:szCs w:val="28"/>
          <w:lang w:val="es-ES"/>
        </w:rPr>
      </w:pPr>
      <w:r w:rsidRPr="00922062">
        <w:rPr>
          <w:color w:val="000000" w:themeColor="text1"/>
          <w:sz w:val="28"/>
          <w:szCs w:val="28"/>
          <w:lang w:val="es-ES"/>
        </w:rPr>
        <w:t xml:space="preserve">CAROLINA </w:t>
      </w:r>
      <w:proofErr w:type="gramStart"/>
      <w:r w:rsidRPr="00922062">
        <w:rPr>
          <w:color w:val="000000" w:themeColor="text1"/>
          <w:sz w:val="28"/>
          <w:szCs w:val="28"/>
          <w:lang w:val="es-ES"/>
        </w:rPr>
        <w:t>RAMÍREZ  PÉREZ</w:t>
      </w:r>
      <w:proofErr w:type="gramEnd"/>
    </w:p>
    <w:p w14:paraId="3135173F" w14:textId="3DB6EFF3" w:rsidR="00922062" w:rsidRDefault="00922062" w:rsidP="00922062">
      <w:pPr>
        <w:jc w:val="center"/>
        <w:rPr>
          <w:color w:val="000000" w:themeColor="text1"/>
          <w:sz w:val="28"/>
          <w:szCs w:val="28"/>
          <w:lang w:val="es-ES"/>
        </w:rPr>
      </w:pPr>
      <w:r w:rsidRPr="00922062">
        <w:rPr>
          <w:color w:val="000000" w:themeColor="text1"/>
          <w:sz w:val="28"/>
          <w:szCs w:val="28"/>
          <w:lang w:val="es-ES"/>
        </w:rPr>
        <w:t>Magistrada (e)</w:t>
      </w:r>
    </w:p>
    <w:p w14:paraId="2E202581" w14:textId="3DD3461E" w:rsidR="00922062" w:rsidRDefault="00922062" w:rsidP="00922062">
      <w:pPr>
        <w:jc w:val="center"/>
        <w:rPr>
          <w:color w:val="000000" w:themeColor="text1"/>
          <w:sz w:val="28"/>
          <w:szCs w:val="28"/>
          <w:lang w:val="es-ES"/>
        </w:rPr>
      </w:pPr>
    </w:p>
    <w:p w14:paraId="6D35C709" w14:textId="432191D1" w:rsidR="00922062" w:rsidRDefault="00922062" w:rsidP="00922062">
      <w:pPr>
        <w:jc w:val="center"/>
        <w:rPr>
          <w:color w:val="000000" w:themeColor="text1"/>
          <w:sz w:val="28"/>
          <w:szCs w:val="28"/>
          <w:lang w:val="es-ES"/>
        </w:rPr>
      </w:pPr>
    </w:p>
    <w:p w14:paraId="79E3C7FA" w14:textId="327BC5D8" w:rsidR="00922062" w:rsidRDefault="00922062" w:rsidP="00922062">
      <w:pPr>
        <w:jc w:val="center"/>
        <w:rPr>
          <w:color w:val="000000" w:themeColor="text1"/>
          <w:sz w:val="28"/>
          <w:szCs w:val="28"/>
          <w:lang w:val="es-ES"/>
        </w:rPr>
      </w:pPr>
    </w:p>
    <w:p w14:paraId="48494470" w14:textId="39DF83D7" w:rsidR="00922062" w:rsidRDefault="00922062" w:rsidP="00922062">
      <w:pPr>
        <w:jc w:val="center"/>
        <w:rPr>
          <w:color w:val="000000" w:themeColor="text1"/>
          <w:sz w:val="28"/>
          <w:szCs w:val="28"/>
          <w:lang w:val="es-ES"/>
        </w:rPr>
      </w:pPr>
      <w:r w:rsidRPr="00922062">
        <w:rPr>
          <w:color w:val="000000" w:themeColor="text1"/>
          <w:sz w:val="28"/>
          <w:szCs w:val="28"/>
          <w:lang w:val="es-ES"/>
        </w:rPr>
        <w:t>MIGUEL POLO ROSERO</w:t>
      </w:r>
    </w:p>
    <w:p w14:paraId="4ED1A7D2" w14:textId="529AA885" w:rsidR="00922062" w:rsidRDefault="00922062" w:rsidP="00922062">
      <w:pPr>
        <w:jc w:val="center"/>
        <w:rPr>
          <w:color w:val="000000" w:themeColor="text1"/>
          <w:sz w:val="28"/>
          <w:szCs w:val="28"/>
          <w:lang w:val="es-ES"/>
        </w:rPr>
      </w:pPr>
      <w:r w:rsidRPr="00922062">
        <w:rPr>
          <w:color w:val="000000" w:themeColor="text1"/>
          <w:sz w:val="28"/>
          <w:szCs w:val="28"/>
          <w:lang w:val="es-ES"/>
        </w:rPr>
        <w:t>Magistrado</w:t>
      </w:r>
    </w:p>
    <w:p w14:paraId="123FE54A" w14:textId="1F13E590" w:rsidR="00922062" w:rsidRDefault="00922062" w:rsidP="00922062">
      <w:pPr>
        <w:jc w:val="center"/>
        <w:rPr>
          <w:color w:val="000000" w:themeColor="text1"/>
          <w:sz w:val="28"/>
          <w:szCs w:val="28"/>
          <w:lang w:val="es-ES"/>
        </w:rPr>
      </w:pPr>
    </w:p>
    <w:p w14:paraId="595A9569" w14:textId="0322BDA8" w:rsidR="00922062" w:rsidRDefault="00922062" w:rsidP="00922062">
      <w:pPr>
        <w:jc w:val="center"/>
        <w:rPr>
          <w:color w:val="000000" w:themeColor="text1"/>
          <w:sz w:val="28"/>
          <w:szCs w:val="28"/>
          <w:lang w:val="es-ES"/>
        </w:rPr>
      </w:pPr>
    </w:p>
    <w:p w14:paraId="66D287B5" w14:textId="35AD1501" w:rsidR="00922062" w:rsidRDefault="00922062" w:rsidP="00922062">
      <w:pPr>
        <w:jc w:val="center"/>
        <w:rPr>
          <w:color w:val="000000" w:themeColor="text1"/>
          <w:sz w:val="28"/>
          <w:szCs w:val="28"/>
          <w:lang w:val="es-ES"/>
        </w:rPr>
      </w:pPr>
    </w:p>
    <w:p w14:paraId="56052972" w14:textId="0826AB69" w:rsidR="00922062" w:rsidRDefault="00922062" w:rsidP="00922062">
      <w:pPr>
        <w:jc w:val="center"/>
        <w:rPr>
          <w:color w:val="000000" w:themeColor="text1"/>
          <w:sz w:val="28"/>
          <w:szCs w:val="28"/>
          <w:lang w:val="es-ES"/>
        </w:rPr>
      </w:pPr>
      <w:r w:rsidRPr="00922062">
        <w:rPr>
          <w:color w:val="000000" w:themeColor="text1"/>
          <w:sz w:val="28"/>
          <w:szCs w:val="28"/>
          <w:lang w:val="es-ES"/>
        </w:rPr>
        <w:t>JOSE FERNANDO REYES CUARTAS</w:t>
      </w:r>
    </w:p>
    <w:p w14:paraId="4E8AA300" w14:textId="7A5B6CF9" w:rsidR="00922062" w:rsidRDefault="00922062" w:rsidP="00922062">
      <w:pPr>
        <w:jc w:val="center"/>
        <w:rPr>
          <w:color w:val="000000" w:themeColor="text1"/>
          <w:sz w:val="28"/>
          <w:szCs w:val="28"/>
          <w:lang w:val="es-ES"/>
        </w:rPr>
      </w:pPr>
      <w:r w:rsidRPr="00922062">
        <w:rPr>
          <w:color w:val="000000" w:themeColor="text1"/>
          <w:sz w:val="28"/>
          <w:szCs w:val="28"/>
          <w:lang w:val="es-ES"/>
        </w:rPr>
        <w:t>Magistrado</w:t>
      </w:r>
    </w:p>
    <w:p w14:paraId="207073DC" w14:textId="7DE34FC8" w:rsidR="00922062" w:rsidRDefault="00922062" w:rsidP="00922062">
      <w:pPr>
        <w:jc w:val="center"/>
        <w:rPr>
          <w:color w:val="000000" w:themeColor="text1"/>
          <w:sz w:val="28"/>
          <w:szCs w:val="28"/>
          <w:lang w:val="es-ES"/>
        </w:rPr>
      </w:pPr>
    </w:p>
    <w:p w14:paraId="1478AC89" w14:textId="747FC76D" w:rsidR="00922062" w:rsidRDefault="00922062" w:rsidP="00922062">
      <w:pPr>
        <w:jc w:val="center"/>
        <w:rPr>
          <w:color w:val="000000" w:themeColor="text1"/>
          <w:sz w:val="28"/>
          <w:szCs w:val="28"/>
          <w:lang w:val="es-ES"/>
        </w:rPr>
      </w:pPr>
    </w:p>
    <w:p w14:paraId="6512A19F" w14:textId="16CF48E0" w:rsidR="00922062" w:rsidRDefault="00922062" w:rsidP="00922062">
      <w:pPr>
        <w:jc w:val="center"/>
        <w:rPr>
          <w:color w:val="000000" w:themeColor="text1"/>
          <w:sz w:val="28"/>
          <w:szCs w:val="28"/>
          <w:lang w:val="es-ES"/>
        </w:rPr>
      </w:pPr>
    </w:p>
    <w:p w14:paraId="1017D8C2" w14:textId="2ADDF287" w:rsidR="00922062" w:rsidRDefault="00922062" w:rsidP="00922062">
      <w:pPr>
        <w:jc w:val="center"/>
        <w:rPr>
          <w:color w:val="000000" w:themeColor="text1"/>
          <w:sz w:val="28"/>
          <w:szCs w:val="28"/>
          <w:lang w:val="es-ES"/>
        </w:rPr>
      </w:pPr>
      <w:r w:rsidRPr="00922062">
        <w:rPr>
          <w:color w:val="000000" w:themeColor="text1"/>
          <w:sz w:val="28"/>
          <w:szCs w:val="28"/>
          <w:lang w:val="es-ES"/>
        </w:rPr>
        <w:t>ANDREA LILIANA ROMERO LOPEZ</w:t>
      </w:r>
    </w:p>
    <w:p w14:paraId="1FADED81" w14:textId="52DF07FB" w:rsidR="00922062" w:rsidRDefault="00922062" w:rsidP="00922062">
      <w:pPr>
        <w:jc w:val="center"/>
        <w:rPr>
          <w:color w:val="000000" w:themeColor="text1"/>
          <w:sz w:val="28"/>
          <w:szCs w:val="28"/>
          <w:lang w:val="es-ES"/>
        </w:rPr>
      </w:pPr>
      <w:r w:rsidRPr="00922062">
        <w:rPr>
          <w:color w:val="000000" w:themeColor="text1"/>
          <w:sz w:val="28"/>
          <w:szCs w:val="28"/>
          <w:lang w:val="es-ES"/>
        </w:rPr>
        <w:t>Secretaria General</w:t>
      </w:r>
    </w:p>
    <w:sectPr w:rsidR="00922062" w:rsidSect="00D27034">
      <w:headerReference w:type="default" r:id="rId12"/>
      <w:footerReference w:type="even" r:id="rId13"/>
      <w:footerReference w:type="default" r:id="rId14"/>
      <w:headerReference w:type="first" r:id="rId15"/>
      <w:pgSz w:w="12242" w:h="18722"/>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572FB" w14:textId="77777777" w:rsidR="00CD3DAA" w:rsidRPr="00D061DF" w:rsidRDefault="00CD3DAA" w:rsidP="00D27034">
      <w:r w:rsidRPr="00D061DF">
        <w:separator/>
      </w:r>
    </w:p>
  </w:endnote>
  <w:endnote w:type="continuationSeparator" w:id="0">
    <w:p w14:paraId="50C74789" w14:textId="77777777" w:rsidR="00CD3DAA" w:rsidRPr="00D061DF" w:rsidRDefault="00CD3DAA" w:rsidP="00D27034">
      <w:r w:rsidRPr="00D061D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AAAAK+TimesNewRomanPSMT">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lang w:val="es-CO"/>
      </w:rPr>
      <w:id w:val="-1576656744"/>
      <w:docPartObj>
        <w:docPartGallery w:val="Page Numbers (Bottom of Page)"/>
        <w:docPartUnique/>
      </w:docPartObj>
    </w:sdtPr>
    <w:sdtContent>
      <w:p w14:paraId="7910F41F" w14:textId="77777777" w:rsidR="00F42A38" w:rsidRPr="00D061DF" w:rsidRDefault="00827A4D" w:rsidP="00181470">
        <w:pPr>
          <w:pStyle w:val="Piedepgina"/>
          <w:framePr w:wrap="none" w:vAnchor="text" w:hAnchor="margin" w:xAlign="right" w:y="1"/>
          <w:rPr>
            <w:rStyle w:val="Nmerodepgina"/>
            <w:lang w:val="es-CO"/>
          </w:rPr>
        </w:pPr>
        <w:r w:rsidRPr="00D061DF">
          <w:rPr>
            <w:rStyle w:val="Nmerodepgina"/>
            <w:lang w:val="es-CO"/>
          </w:rPr>
          <w:fldChar w:fldCharType="begin"/>
        </w:r>
        <w:r w:rsidRPr="00D061DF">
          <w:rPr>
            <w:rStyle w:val="Nmerodepgina"/>
            <w:lang w:val="es-CO"/>
          </w:rPr>
          <w:instrText xml:space="preserve"> PAGE </w:instrText>
        </w:r>
        <w:r w:rsidRPr="00D061DF">
          <w:rPr>
            <w:rStyle w:val="Nmerodepgina"/>
            <w:lang w:val="es-CO"/>
          </w:rPr>
          <w:fldChar w:fldCharType="end"/>
        </w:r>
      </w:p>
    </w:sdtContent>
  </w:sdt>
  <w:p w14:paraId="1A7249B1" w14:textId="77777777" w:rsidR="00F42A38" w:rsidRPr="00D061DF" w:rsidRDefault="00F42A38" w:rsidP="00123FE0">
    <w:pPr>
      <w:pStyle w:val="Piedepgina"/>
      <w:ind w:right="360"/>
      <w:rPr>
        <w:lang w:val="es-C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lang w:val="es-CO"/>
      </w:rPr>
      <w:id w:val="-563788566"/>
      <w:docPartObj>
        <w:docPartGallery w:val="Page Numbers (Bottom of Page)"/>
        <w:docPartUnique/>
      </w:docPartObj>
    </w:sdtPr>
    <w:sdtEndPr>
      <w:rPr>
        <w:rStyle w:val="Nmerodepgina"/>
        <w:sz w:val="20"/>
        <w:szCs w:val="20"/>
      </w:rPr>
    </w:sdtEndPr>
    <w:sdtContent>
      <w:p w14:paraId="676F13B8" w14:textId="77777777" w:rsidR="00F42A38" w:rsidRPr="00D061DF" w:rsidRDefault="00827A4D" w:rsidP="00181470">
        <w:pPr>
          <w:pStyle w:val="Piedepgina"/>
          <w:framePr w:wrap="none" w:vAnchor="text" w:hAnchor="margin" w:xAlign="right" w:y="1"/>
          <w:rPr>
            <w:rStyle w:val="Nmerodepgina"/>
            <w:lang w:val="es-CO"/>
          </w:rPr>
        </w:pPr>
        <w:r w:rsidRPr="00D061DF">
          <w:rPr>
            <w:rStyle w:val="Nmerodepgina"/>
            <w:sz w:val="20"/>
            <w:szCs w:val="20"/>
            <w:lang w:val="es-CO"/>
          </w:rPr>
          <w:fldChar w:fldCharType="begin"/>
        </w:r>
        <w:r w:rsidRPr="00D061DF">
          <w:rPr>
            <w:rStyle w:val="Nmerodepgina"/>
            <w:sz w:val="20"/>
            <w:szCs w:val="20"/>
            <w:lang w:val="es-CO"/>
          </w:rPr>
          <w:instrText xml:space="preserve"> PAGE </w:instrText>
        </w:r>
        <w:r w:rsidRPr="00D061DF">
          <w:rPr>
            <w:rStyle w:val="Nmerodepgina"/>
            <w:sz w:val="20"/>
            <w:szCs w:val="20"/>
            <w:lang w:val="es-CO"/>
          </w:rPr>
          <w:fldChar w:fldCharType="separate"/>
        </w:r>
        <w:r w:rsidRPr="00D061DF">
          <w:rPr>
            <w:rStyle w:val="Nmerodepgina"/>
            <w:sz w:val="20"/>
            <w:szCs w:val="20"/>
            <w:lang w:val="es-CO"/>
          </w:rPr>
          <w:t>39</w:t>
        </w:r>
        <w:r w:rsidRPr="00D061DF">
          <w:rPr>
            <w:rStyle w:val="Nmerodepgina"/>
            <w:sz w:val="20"/>
            <w:szCs w:val="20"/>
            <w:lang w:val="es-CO"/>
          </w:rPr>
          <w:fldChar w:fldCharType="end"/>
        </w:r>
      </w:p>
    </w:sdtContent>
  </w:sdt>
  <w:p w14:paraId="2B546751" w14:textId="77777777" w:rsidR="00F42A38" w:rsidRPr="00D061DF" w:rsidRDefault="00F42A38" w:rsidP="00123FE0">
    <w:pPr>
      <w:pStyle w:val="Piedepgina"/>
      <w:ind w:right="360"/>
      <w:rPr>
        <w:lang w:val="es-C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C2ED3" w14:textId="77777777" w:rsidR="00CD3DAA" w:rsidRPr="00D061DF" w:rsidRDefault="00CD3DAA" w:rsidP="00D27034">
      <w:r w:rsidRPr="00D061DF">
        <w:separator/>
      </w:r>
    </w:p>
  </w:footnote>
  <w:footnote w:type="continuationSeparator" w:id="0">
    <w:p w14:paraId="76985C11" w14:textId="77777777" w:rsidR="00CD3DAA" w:rsidRPr="00D061DF" w:rsidRDefault="00CD3DAA" w:rsidP="00D27034">
      <w:r w:rsidRPr="00D061DF">
        <w:continuationSeparator/>
      </w:r>
    </w:p>
  </w:footnote>
  <w:footnote w:id="1">
    <w:p w14:paraId="619BE8BA" w14:textId="0DD1E489" w:rsidR="00D27034" w:rsidRPr="00A34EB0" w:rsidRDefault="00D27034" w:rsidP="007922EC">
      <w:pPr>
        <w:pStyle w:val="Textonotapie"/>
        <w:jc w:val="both"/>
        <w:rPr>
          <w:rFonts w:ascii="Times New Roman" w:hAnsi="Times New Roman" w:cs="Times New Roman"/>
          <w:color w:val="000000" w:themeColor="text1"/>
          <w:sz w:val="20"/>
          <w:szCs w:val="20"/>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w:t>
      </w:r>
      <w:bookmarkStart w:id="2" w:name="_Hlk158041633"/>
      <w:r w:rsidRPr="00A34EB0">
        <w:rPr>
          <w:rFonts w:ascii="Times New Roman" w:hAnsi="Times New Roman" w:cs="Times New Roman"/>
          <w:color w:val="000000" w:themeColor="text1"/>
          <w:sz w:val="20"/>
          <w:szCs w:val="20"/>
        </w:rPr>
        <w:t xml:space="preserve">En un inicio, </w:t>
      </w:r>
      <w:r w:rsidR="00A05331" w:rsidRPr="00A34EB0">
        <w:rPr>
          <w:rFonts w:ascii="Times New Roman" w:hAnsi="Times New Roman" w:cs="Times New Roman"/>
          <w:color w:val="000000" w:themeColor="text1"/>
          <w:sz w:val="20"/>
          <w:szCs w:val="20"/>
        </w:rPr>
        <w:t xml:space="preserve">la sustanciación de </w:t>
      </w:r>
      <w:r w:rsidRPr="00A34EB0">
        <w:rPr>
          <w:rFonts w:ascii="Times New Roman" w:hAnsi="Times New Roman" w:cs="Times New Roman"/>
          <w:color w:val="000000" w:themeColor="text1"/>
          <w:sz w:val="20"/>
          <w:szCs w:val="20"/>
        </w:rPr>
        <w:t>este expediente le correspondió al magistrado</w:t>
      </w:r>
      <w:r w:rsidR="0016189B" w:rsidRPr="00A34EB0">
        <w:rPr>
          <w:rFonts w:ascii="Times New Roman" w:hAnsi="Times New Roman" w:cs="Times New Roman"/>
          <w:color w:val="000000" w:themeColor="text1"/>
          <w:sz w:val="20"/>
          <w:szCs w:val="20"/>
        </w:rPr>
        <w:t xml:space="preserve"> Jorge Enrique Ibáñez </w:t>
      </w:r>
      <w:r w:rsidR="00966D52" w:rsidRPr="00A34EB0">
        <w:rPr>
          <w:rFonts w:ascii="Times New Roman" w:hAnsi="Times New Roman" w:cs="Times New Roman"/>
          <w:color w:val="000000" w:themeColor="text1"/>
          <w:sz w:val="20"/>
          <w:szCs w:val="20"/>
        </w:rPr>
        <w:t>N</w:t>
      </w:r>
      <w:r w:rsidR="0016189B" w:rsidRPr="00A34EB0">
        <w:rPr>
          <w:rFonts w:ascii="Times New Roman" w:hAnsi="Times New Roman" w:cs="Times New Roman"/>
          <w:color w:val="000000" w:themeColor="text1"/>
          <w:sz w:val="20"/>
          <w:szCs w:val="20"/>
        </w:rPr>
        <w:t xml:space="preserve">ajar, </w:t>
      </w:r>
      <w:bookmarkEnd w:id="2"/>
      <w:r w:rsidR="0016189B" w:rsidRPr="00A34EB0">
        <w:rPr>
          <w:rFonts w:ascii="Times New Roman" w:hAnsi="Times New Roman" w:cs="Times New Roman"/>
          <w:color w:val="000000" w:themeColor="text1"/>
          <w:sz w:val="20"/>
          <w:szCs w:val="20"/>
        </w:rPr>
        <w:t>pero su ponencia no fue acogida por la mayoría de la Sala Plena. Por</w:t>
      </w:r>
      <w:r w:rsidR="00A917D3" w:rsidRPr="00A34EB0">
        <w:rPr>
          <w:rFonts w:ascii="Times New Roman" w:hAnsi="Times New Roman" w:cs="Times New Roman"/>
          <w:color w:val="000000" w:themeColor="text1"/>
          <w:sz w:val="20"/>
          <w:szCs w:val="20"/>
        </w:rPr>
        <w:t xml:space="preserve"> lo</w:t>
      </w:r>
      <w:r w:rsidR="0016189B" w:rsidRPr="00A34EB0">
        <w:rPr>
          <w:rFonts w:ascii="Times New Roman" w:hAnsi="Times New Roman" w:cs="Times New Roman"/>
          <w:color w:val="000000" w:themeColor="text1"/>
          <w:sz w:val="20"/>
          <w:szCs w:val="20"/>
        </w:rPr>
        <w:t xml:space="preserve"> tanto, el nuevo reparto correspondió al magistrado Miguel Polo Rosero.</w:t>
      </w:r>
    </w:p>
  </w:footnote>
  <w:footnote w:id="2">
    <w:p w14:paraId="3C566BF4" w14:textId="7B98197E" w:rsidR="00216A44" w:rsidRPr="00A34EB0" w:rsidRDefault="00216A44" w:rsidP="007922EC">
      <w:pPr>
        <w:pStyle w:val="Textonotapie"/>
        <w:jc w:val="both"/>
        <w:rPr>
          <w:rFonts w:ascii="Times New Roman" w:hAnsi="Times New Roman" w:cs="Times New Roman"/>
          <w:sz w:val="20"/>
          <w:szCs w:val="20"/>
          <w:lang w:val="es-ES"/>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B44A43" w:rsidRPr="00A34EB0">
        <w:rPr>
          <w:rFonts w:ascii="Times New Roman" w:hAnsi="Times New Roman" w:cs="Times New Roman"/>
          <w:sz w:val="20"/>
          <w:szCs w:val="20"/>
        </w:rPr>
        <w:t xml:space="preserve">Los invitados a participar en los términos del artículo </w:t>
      </w:r>
      <w:r w:rsidR="00480F81" w:rsidRPr="00A34EB0">
        <w:rPr>
          <w:rFonts w:ascii="Times New Roman" w:hAnsi="Times New Roman" w:cs="Times New Roman"/>
          <w:sz w:val="20"/>
          <w:szCs w:val="20"/>
        </w:rPr>
        <w:t>13 del Decreto 2067 de 1991 fueron: la Sala de Casación Penal de la Corte Suprema de Justicia</w:t>
      </w:r>
      <w:r w:rsidR="00C506E7" w:rsidRPr="00A34EB0">
        <w:rPr>
          <w:rFonts w:ascii="Times New Roman" w:hAnsi="Times New Roman" w:cs="Times New Roman"/>
          <w:sz w:val="20"/>
          <w:szCs w:val="20"/>
        </w:rPr>
        <w:t>; la</w:t>
      </w:r>
      <w:r w:rsidR="00480F81" w:rsidRPr="00A34EB0">
        <w:rPr>
          <w:rFonts w:ascii="Times New Roman" w:hAnsi="Times New Roman" w:cs="Times New Roman"/>
          <w:sz w:val="20"/>
          <w:szCs w:val="20"/>
        </w:rPr>
        <w:t xml:space="preserve"> Defensoría del Pueblo</w:t>
      </w:r>
      <w:r w:rsidR="00C506E7" w:rsidRPr="00A34EB0">
        <w:rPr>
          <w:rFonts w:ascii="Times New Roman" w:hAnsi="Times New Roman" w:cs="Times New Roman"/>
          <w:sz w:val="20"/>
          <w:szCs w:val="20"/>
        </w:rPr>
        <w:t>; la</w:t>
      </w:r>
      <w:r w:rsidR="00480F81" w:rsidRPr="00A34EB0">
        <w:rPr>
          <w:rFonts w:ascii="Times New Roman" w:hAnsi="Times New Roman" w:cs="Times New Roman"/>
          <w:sz w:val="20"/>
          <w:szCs w:val="20"/>
        </w:rPr>
        <w:t xml:space="preserve"> Academia Colombiana de Jurisprudencia</w:t>
      </w:r>
      <w:r w:rsidR="00C506E7" w:rsidRPr="00A34EB0">
        <w:rPr>
          <w:rFonts w:ascii="Times New Roman" w:hAnsi="Times New Roman" w:cs="Times New Roman"/>
          <w:sz w:val="20"/>
          <w:szCs w:val="20"/>
        </w:rPr>
        <w:t>; el</w:t>
      </w:r>
      <w:r w:rsidR="00480F81" w:rsidRPr="00A34EB0">
        <w:rPr>
          <w:rFonts w:ascii="Times New Roman" w:hAnsi="Times New Roman" w:cs="Times New Roman"/>
          <w:sz w:val="20"/>
          <w:szCs w:val="20"/>
        </w:rPr>
        <w:t xml:space="preserve"> Instituto Colombiano de Derecho Procesa</w:t>
      </w:r>
      <w:r w:rsidR="00C506E7" w:rsidRPr="00A34EB0">
        <w:rPr>
          <w:rFonts w:ascii="Times New Roman" w:hAnsi="Times New Roman" w:cs="Times New Roman"/>
          <w:sz w:val="20"/>
          <w:szCs w:val="20"/>
        </w:rPr>
        <w:t xml:space="preserve">; el </w:t>
      </w:r>
      <w:r w:rsidR="00480F81" w:rsidRPr="00A34EB0">
        <w:rPr>
          <w:rFonts w:ascii="Times New Roman" w:hAnsi="Times New Roman" w:cs="Times New Roman"/>
          <w:sz w:val="20"/>
          <w:szCs w:val="20"/>
        </w:rPr>
        <w:t xml:space="preserve">Colegio Colombiano de Abogados Penalistas; las facultades de derecho de las universidades de Antioquia, Externado de Colombia, Javeriana, Libre de Bogotá, Nacional de Colombia, del Norte, de Nariño, Pontificia Bolivariana, del Rosario y Santo Tomás. Expediente digital, </w:t>
      </w:r>
      <w:r w:rsidR="00986F84" w:rsidRPr="00A34EB0">
        <w:rPr>
          <w:rFonts w:ascii="Times New Roman" w:hAnsi="Times New Roman" w:cs="Times New Roman"/>
          <w:sz w:val="20"/>
          <w:szCs w:val="20"/>
        </w:rPr>
        <w:t>auto del 23 de abril de 2024.</w:t>
      </w:r>
      <w:r w:rsidR="00276BA8" w:rsidRPr="00A34EB0">
        <w:rPr>
          <w:rFonts w:ascii="Times New Roman" w:hAnsi="Times New Roman" w:cs="Times New Roman"/>
          <w:sz w:val="20"/>
          <w:szCs w:val="20"/>
        </w:rPr>
        <w:t xml:space="preserve"> </w:t>
      </w:r>
    </w:p>
  </w:footnote>
  <w:footnote w:id="3">
    <w:p w14:paraId="2951BAA1" w14:textId="0F3C85DD" w:rsidR="00CA37E3" w:rsidRPr="00A34EB0" w:rsidRDefault="00CA37E3" w:rsidP="007922EC">
      <w:pPr>
        <w:pStyle w:val="Textonotapie"/>
        <w:rPr>
          <w:rFonts w:ascii="Times New Roman" w:hAnsi="Times New Roman" w:cs="Times New Roman"/>
          <w:sz w:val="20"/>
          <w:szCs w:val="20"/>
          <w:lang w:val="es-ES"/>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3E52A4" w:rsidRPr="00A34EB0">
        <w:rPr>
          <w:rFonts w:ascii="Times New Roman" w:hAnsi="Times New Roman" w:cs="Times New Roman"/>
          <w:sz w:val="20"/>
          <w:szCs w:val="20"/>
          <w:lang w:val="es-ES"/>
        </w:rPr>
        <w:t xml:space="preserve">Expediente digital, </w:t>
      </w:r>
      <w:r w:rsidR="006D58EC" w:rsidRPr="00A34EB0">
        <w:rPr>
          <w:rFonts w:ascii="Times New Roman" w:hAnsi="Times New Roman" w:cs="Times New Roman"/>
          <w:sz w:val="20"/>
          <w:szCs w:val="20"/>
          <w:lang w:val="es-ES"/>
        </w:rPr>
        <w:t>“</w:t>
      </w:r>
      <w:r w:rsidR="003E52A4" w:rsidRPr="00A34EB0">
        <w:rPr>
          <w:rFonts w:ascii="Times New Roman" w:hAnsi="Times New Roman" w:cs="Times New Roman"/>
          <w:i/>
          <w:iCs/>
          <w:sz w:val="20"/>
          <w:szCs w:val="20"/>
          <w:lang w:val="es-ES"/>
        </w:rPr>
        <w:t>demanda ciudadana</w:t>
      </w:r>
      <w:r w:rsidR="006D58EC" w:rsidRPr="00A34EB0">
        <w:rPr>
          <w:rFonts w:ascii="Times New Roman" w:hAnsi="Times New Roman" w:cs="Times New Roman"/>
          <w:i/>
          <w:iCs/>
          <w:sz w:val="20"/>
          <w:szCs w:val="20"/>
          <w:lang w:val="es-ES"/>
        </w:rPr>
        <w:t>.pdf”</w:t>
      </w:r>
      <w:r w:rsidR="003E52A4" w:rsidRPr="00A34EB0">
        <w:rPr>
          <w:rFonts w:ascii="Times New Roman" w:hAnsi="Times New Roman" w:cs="Times New Roman"/>
          <w:i/>
          <w:iCs/>
          <w:sz w:val="20"/>
          <w:szCs w:val="20"/>
          <w:lang w:val="es-ES"/>
        </w:rPr>
        <w:t>,</w:t>
      </w:r>
      <w:r w:rsidR="003E52A4" w:rsidRPr="00A34EB0">
        <w:rPr>
          <w:rFonts w:ascii="Times New Roman" w:hAnsi="Times New Roman" w:cs="Times New Roman"/>
          <w:sz w:val="20"/>
          <w:szCs w:val="20"/>
          <w:lang w:val="es-ES"/>
        </w:rPr>
        <w:t xml:space="preserve"> p. 3. </w:t>
      </w:r>
    </w:p>
  </w:footnote>
  <w:footnote w:id="4">
    <w:p w14:paraId="66287EAF" w14:textId="1DC9C4DE" w:rsidR="00240D88" w:rsidRPr="00A34EB0" w:rsidRDefault="00240D88" w:rsidP="007922EC">
      <w:pPr>
        <w:pStyle w:val="Textonotapie"/>
        <w:rPr>
          <w:rFonts w:ascii="Times New Roman" w:hAnsi="Times New Roman" w:cs="Times New Roman"/>
          <w:sz w:val="20"/>
          <w:szCs w:val="20"/>
          <w:lang w:val="es-ES"/>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Pr="00A34EB0">
        <w:rPr>
          <w:rFonts w:ascii="Times New Roman" w:hAnsi="Times New Roman" w:cs="Times New Roman"/>
          <w:i/>
          <w:iCs/>
          <w:sz w:val="20"/>
          <w:szCs w:val="20"/>
          <w:lang w:val="es-ES"/>
        </w:rPr>
        <w:t xml:space="preserve">Ibidem. </w:t>
      </w:r>
      <w:r w:rsidRPr="00A34EB0">
        <w:rPr>
          <w:rFonts w:ascii="Times New Roman" w:hAnsi="Times New Roman" w:cs="Times New Roman"/>
          <w:sz w:val="20"/>
          <w:szCs w:val="20"/>
          <w:lang w:val="es-ES"/>
        </w:rPr>
        <w:t xml:space="preserve"> </w:t>
      </w:r>
    </w:p>
  </w:footnote>
  <w:footnote w:id="5">
    <w:p w14:paraId="353C1F15" w14:textId="77777777" w:rsidR="00D27034" w:rsidRPr="00A34EB0" w:rsidRDefault="00D27034" w:rsidP="007922EC">
      <w:pPr>
        <w:pStyle w:val="Textonotapie"/>
        <w:jc w:val="both"/>
        <w:rPr>
          <w:rFonts w:ascii="Times New Roman" w:hAnsi="Times New Roman" w:cs="Times New Roman"/>
          <w:color w:val="000000" w:themeColor="text1"/>
          <w:sz w:val="20"/>
          <w:szCs w:val="20"/>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Los artículos 244 de la Constitución y 11 del Decreto 2067 de 1991 disponen que es deber de la Corte Constitucional comunicar “</w:t>
      </w:r>
      <w:r w:rsidRPr="00A34EB0">
        <w:rPr>
          <w:rFonts w:ascii="Times New Roman" w:hAnsi="Times New Roman" w:cs="Times New Roman"/>
          <w:i/>
          <w:iCs/>
          <w:color w:val="000000" w:themeColor="text1"/>
          <w:sz w:val="20"/>
          <w:szCs w:val="20"/>
        </w:rPr>
        <w:t xml:space="preserve">al </w:t>
      </w:r>
      <w:proofErr w:type="gramStart"/>
      <w:r w:rsidRPr="00A34EB0">
        <w:rPr>
          <w:rFonts w:ascii="Times New Roman" w:hAnsi="Times New Roman" w:cs="Times New Roman"/>
          <w:i/>
          <w:iCs/>
          <w:color w:val="000000" w:themeColor="text1"/>
          <w:sz w:val="20"/>
          <w:szCs w:val="20"/>
        </w:rPr>
        <w:t>Presidente</w:t>
      </w:r>
      <w:proofErr w:type="gramEnd"/>
      <w:r w:rsidRPr="00A34EB0">
        <w:rPr>
          <w:rFonts w:ascii="Times New Roman" w:hAnsi="Times New Roman" w:cs="Times New Roman"/>
          <w:i/>
          <w:iCs/>
          <w:color w:val="000000" w:themeColor="text1"/>
          <w:sz w:val="20"/>
          <w:szCs w:val="20"/>
        </w:rPr>
        <w:t xml:space="preserve"> de la República o al </w:t>
      </w:r>
      <w:proofErr w:type="gramStart"/>
      <w:r w:rsidRPr="00A34EB0">
        <w:rPr>
          <w:rFonts w:ascii="Times New Roman" w:hAnsi="Times New Roman" w:cs="Times New Roman"/>
          <w:i/>
          <w:iCs/>
          <w:color w:val="000000" w:themeColor="text1"/>
          <w:sz w:val="20"/>
          <w:szCs w:val="20"/>
        </w:rPr>
        <w:t>Presidente</w:t>
      </w:r>
      <w:proofErr w:type="gramEnd"/>
      <w:r w:rsidRPr="00A34EB0">
        <w:rPr>
          <w:rFonts w:ascii="Times New Roman" w:hAnsi="Times New Roman" w:cs="Times New Roman"/>
          <w:i/>
          <w:iCs/>
          <w:color w:val="000000" w:themeColor="text1"/>
          <w:sz w:val="20"/>
          <w:szCs w:val="20"/>
        </w:rPr>
        <w:t xml:space="preserve"> del Congreso, según el caso, la iniciación de cualquier proceso que tenga por objeto el examen de constitucionalidad de normas dictadas por ellos</w:t>
      </w:r>
      <w:r w:rsidRPr="00A34EB0">
        <w:rPr>
          <w:rFonts w:ascii="Times New Roman" w:hAnsi="Times New Roman" w:cs="Times New Roman"/>
          <w:color w:val="000000" w:themeColor="text1"/>
          <w:sz w:val="20"/>
          <w:szCs w:val="20"/>
        </w:rPr>
        <w:t>”. Esta comunicación, que se debe extender en el auto admisorio de la demanda, pretende que las respectivas autoridades rindan su concepto para justificar “</w:t>
      </w:r>
      <w:r w:rsidRPr="00A34EB0">
        <w:rPr>
          <w:rFonts w:ascii="Times New Roman" w:hAnsi="Times New Roman" w:cs="Times New Roman"/>
          <w:i/>
          <w:iCs/>
          <w:color w:val="000000" w:themeColor="text1"/>
          <w:sz w:val="20"/>
          <w:szCs w:val="20"/>
        </w:rPr>
        <w:t>la constitucionalidad de las normas sometidas a control</w:t>
      </w:r>
      <w:r w:rsidRPr="00A34EB0">
        <w:rPr>
          <w:rFonts w:ascii="Times New Roman" w:hAnsi="Times New Roman" w:cs="Times New Roman"/>
          <w:color w:val="000000" w:themeColor="text1"/>
          <w:sz w:val="20"/>
          <w:szCs w:val="20"/>
        </w:rPr>
        <w:t>” (apartado final del inciso segundo del artículo 11 del Decreto 2067 de 1991), la cual también puede hacerse extensiva “</w:t>
      </w:r>
      <w:r w:rsidRPr="00A34EB0">
        <w:rPr>
          <w:rFonts w:ascii="Times New Roman" w:hAnsi="Times New Roman" w:cs="Times New Roman"/>
          <w:i/>
          <w:iCs/>
          <w:color w:val="000000" w:themeColor="text1"/>
          <w:sz w:val="20"/>
          <w:szCs w:val="20"/>
        </w:rPr>
        <w:t>a los organismos o entidades del Estado que hubieren participado en la elaboración o expedición de la norma</w:t>
      </w:r>
      <w:r w:rsidRPr="00A34EB0">
        <w:rPr>
          <w:rFonts w:ascii="Times New Roman" w:hAnsi="Times New Roman" w:cs="Times New Roman"/>
          <w:color w:val="000000" w:themeColor="text1"/>
          <w:sz w:val="20"/>
          <w:szCs w:val="20"/>
        </w:rPr>
        <w:t>” (apartado inicial de la norma en cita).</w:t>
      </w:r>
    </w:p>
  </w:footnote>
  <w:footnote w:id="6">
    <w:p w14:paraId="5E81379A" w14:textId="77777777" w:rsidR="00D27034" w:rsidRPr="00A34EB0" w:rsidRDefault="00D27034" w:rsidP="007922EC">
      <w:pPr>
        <w:pStyle w:val="Textonotapie"/>
        <w:jc w:val="both"/>
        <w:rPr>
          <w:rFonts w:ascii="Times New Roman" w:hAnsi="Times New Roman" w:cs="Times New Roman"/>
          <w:color w:val="000000" w:themeColor="text1"/>
          <w:sz w:val="20"/>
          <w:szCs w:val="20"/>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El artículo 13 del Decreto 2067 de 1991 faculta al magistrado sustanciador para invitar “</w:t>
      </w:r>
      <w:r w:rsidRPr="00A34EB0">
        <w:rPr>
          <w:rFonts w:ascii="Times New Roman" w:hAnsi="Times New Roman" w:cs="Times New Roman"/>
          <w:i/>
          <w:iCs/>
          <w:color w:val="000000" w:themeColor="text1"/>
          <w:sz w:val="20"/>
          <w:szCs w:val="20"/>
        </w:rPr>
        <w:t>a entidades públicas, a organizaciones privadas y a expertos en las materias relacionadas con el tema del proceso</w:t>
      </w:r>
      <w:r w:rsidRPr="00A34EB0">
        <w:rPr>
          <w:rFonts w:ascii="Times New Roman" w:hAnsi="Times New Roman" w:cs="Times New Roman"/>
          <w:color w:val="000000" w:themeColor="text1"/>
          <w:sz w:val="20"/>
          <w:szCs w:val="20"/>
        </w:rPr>
        <w:t>” a conceptuar sobre aspectos relevantes para la elaboración del proyecto de fallo.</w:t>
      </w:r>
    </w:p>
  </w:footnote>
  <w:footnote w:id="7">
    <w:p w14:paraId="40E82B43" w14:textId="3C714690" w:rsidR="00B32042" w:rsidRPr="00A34EB0" w:rsidRDefault="00B32042" w:rsidP="007922EC">
      <w:pPr>
        <w:pStyle w:val="p1"/>
        <w:jc w:val="both"/>
        <w:rPr>
          <w:rFonts w:ascii="Times New Roman" w:eastAsia="SimSun" w:hAnsi="Times New Roman"/>
          <w:color w:val="000000" w:themeColor="text1"/>
          <w:kern w:val="2"/>
          <w:sz w:val="20"/>
          <w:szCs w:val="20"/>
          <w:lang w:eastAsia="en-US"/>
          <w14:ligatures w14:val="standardContextual"/>
        </w:rPr>
      </w:pPr>
      <w:r w:rsidRPr="00A34EB0">
        <w:rPr>
          <w:rStyle w:val="Refdenotaalpie"/>
          <w:rFonts w:ascii="Times New Roman" w:hAnsi="Times New Roman"/>
          <w:sz w:val="20"/>
          <w:szCs w:val="20"/>
        </w:rPr>
        <w:footnoteRef/>
      </w:r>
      <w:r w:rsidRPr="00A34EB0">
        <w:rPr>
          <w:rFonts w:ascii="Times New Roman" w:hAnsi="Times New Roman"/>
          <w:sz w:val="20"/>
          <w:szCs w:val="20"/>
        </w:rPr>
        <w:t xml:space="preserve"> </w:t>
      </w:r>
      <w:r w:rsidRPr="00A34EB0">
        <w:rPr>
          <w:rFonts w:ascii="Times New Roman" w:eastAsia="SimSun" w:hAnsi="Times New Roman"/>
          <w:color w:val="000000" w:themeColor="text1"/>
          <w:kern w:val="2"/>
          <w:sz w:val="20"/>
          <w:szCs w:val="20"/>
          <w:lang w:eastAsia="en-US"/>
          <w14:ligatures w14:val="standardContextual"/>
        </w:rPr>
        <w:t>Norberto Hernández Jiménez, Daniel Felipe Valencia Cárdenas y Alexa Liliana Rodríguez Padilla, actuando como ciudadanos e integrantes del Semillero en Derecho Penitenciario de la Pontificia Universidad Javeriana.</w:t>
      </w:r>
    </w:p>
  </w:footnote>
  <w:footnote w:id="8">
    <w:p w14:paraId="14734733" w14:textId="79320A05" w:rsidR="00B32042" w:rsidRPr="00A34EB0" w:rsidRDefault="00B32042" w:rsidP="007922EC">
      <w:pPr>
        <w:pStyle w:val="Textonotapie"/>
        <w:jc w:val="both"/>
        <w:rPr>
          <w:rFonts w:ascii="Times New Roman" w:hAnsi="Times New Roman" w:cs="Times New Roman"/>
          <w:sz w:val="20"/>
          <w:szCs w:val="20"/>
          <w:lang w:val="es-ES_tradnl"/>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8143E8" w:rsidRPr="00A34EB0">
        <w:rPr>
          <w:rFonts w:ascii="Times New Roman" w:hAnsi="Times New Roman" w:cs="Times New Roman"/>
          <w:sz w:val="20"/>
          <w:szCs w:val="20"/>
        </w:rPr>
        <w:t>Francisco Bernate Ochoa</w:t>
      </w:r>
      <w:r w:rsidR="009233A0" w:rsidRPr="00A34EB0">
        <w:rPr>
          <w:rFonts w:ascii="Times New Roman" w:hAnsi="Times New Roman" w:cs="Times New Roman"/>
          <w:sz w:val="20"/>
          <w:szCs w:val="20"/>
        </w:rPr>
        <w:t>,</w:t>
      </w:r>
      <w:r w:rsidR="00CB0FD7" w:rsidRPr="00A34EB0">
        <w:rPr>
          <w:rFonts w:ascii="Times New Roman" w:hAnsi="Times New Roman" w:cs="Times New Roman"/>
          <w:sz w:val="20"/>
          <w:szCs w:val="20"/>
        </w:rPr>
        <w:t xml:space="preserve"> en calidad de investigador de la Academia Colombiana de Jurisprudencia</w:t>
      </w:r>
      <w:r w:rsidR="008143E8" w:rsidRPr="00A34EB0">
        <w:rPr>
          <w:rFonts w:ascii="Times New Roman" w:hAnsi="Times New Roman" w:cs="Times New Roman"/>
          <w:sz w:val="20"/>
          <w:szCs w:val="20"/>
        </w:rPr>
        <w:t>.</w:t>
      </w:r>
    </w:p>
  </w:footnote>
  <w:footnote w:id="9">
    <w:p w14:paraId="171E49BC" w14:textId="5E4ADDF6" w:rsidR="007922EC" w:rsidRPr="00A34EB0" w:rsidRDefault="007922EC" w:rsidP="007922EC">
      <w:pPr>
        <w:pStyle w:val="Textonotapie"/>
        <w:jc w:val="both"/>
        <w:rPr>
          <w:rFonts w:ascii="Times New Roman" w:hAnsi="Times New Roman" w:cs="Times New Roman"/>
          <w:sz w:val="20"/>
          <w:szCs w:val="20"/>
          <w:lang w:val="es-MX"/>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bookmarkStart w:id="8" w:name="450"/>
      <w:r w:rsidRPr="00A34EB0">
        <w:rPr>
          <w:rFonts w:ascii="Times New Roman" w:hAnsi="Times New Roman" w:cs="Times New Roman"/>
          <w:b/>
          <w:bCs/>
          <w:i/>
          <w:iCs/>
          <w:sz w:val="20"/>
          <w:szCs w:val="20"/>
        </w:rPr>
        <w:t>Artículo 450. Acusado no privado de la libertad.</w:t>
      </w:r>
      <w:bookmarkEnd w:id="8"/>
      <w:r w:rsidRPr="00A34EB0">
        <w:rPr>
          <w:rFonts w:ascii="Times New Roman" w:hAnsi="Times New Roman" w:cs="Times New Roman"/>
          <w:i/>
          <w:iCs/>
          <w:sz w:val="20"/>
          <w:szCs w:val="20"/>
        </w:rPr>
        <w:t xml:space="preserve"> Si al momento de anunciar el sentido del fallo el acusado declarado culpable no se hallare detenido, el juez podrá disponer que continúe en libertad hasta el momento de dictar sentencia. // </w:t>
      </w:r>
      <w:r w:rsidRPr="007922EC">
        <w:rPr>
          <w:rFonts w:ascii="Times New Roman" w:hAnsi="Times New Roman" w:cs="Times New Roman"/>
          <w:i/>
          <w:iCs/>
          <w:sz w:val="20"/>
          <w:szCs w:val="20"/>
        </w:rPr>
        <w:t>Si la detención es necesaria, de conformidad con las normas de este código, el juez la ordenará y librará inmediatamente la orden de encarcelamiento.</w:t>
      </w:r>
      <w:r w:rsidRPr="00A34EB0">
        <w:rPr>
          <w:rFonts w:ascii="Times New Roman" w:hAnsi="Times New Roman" w:cs="Times New Roman"/>
          <w:i/>
          <w:iCs/>
          <w:sz w:val="20"/>
          <w:szCs w:val="20"/>
        </w:rPr>
        <w:t>”</w:t>
      </w:r>
      <w:r w:rsidRPr="00A34EB0">
        <w:rPr>
          <w:rFonts w:ascii="Times New Roman" w:hAnsi="Times New Roman" w:cs="Times New Roman"/>
          <w:sz w:val="20"/>
          <w:szCs w:val="20"/>
        </w:rPr>
        <w:t xml:space="preserve"> </w:t>
      </w:r>
    </w:p>
  </w:footnote>
  <w:footnote w:id="10">
    <w:p w14:paraId="6726101E" w14:textId="5CC7A265" w:rsidR="008A4873" w:rsidRPr="00A34EB0" w:rsidRDefault="008A4873" w:rsidP="008A4873">
      <w:pPr>
        <w:pStyle w:val="Textonotapie"/>
        <w:jc w:val="both"/>
        <w:rPr>
          <w:rFonts w:ascii="Times New Roman" w:hAnsi="Times New Roman" w:cs="Times New Roman"/>
          <w:i/>
          <w:iCs/>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El artículo 450 del CPP fue declarado exequible, entre otras, al señalar que: “'</w:t>
      </w:r>
      <w:r w:rsidRPr="00A34EB0">
        <w:rPr>
          <w:rFonts w:ascii="Times New Roman" w:hAnsi="Times New Roman" w:cs="Times New Roman"/>
          <w:i/>
          <w:iCs/>
          <w:sz w:val="20"/>
          <w:szCs w:val="20"/>
        </w:rPr>
        <w:t xml:space="preserve">(...) la Corte reiteró que el juez de conocimiento tiene la obligación de evaluar todas las circunstancias relacionadas con el caso y la conducta desarrollada por el acusado, velando por la integridad de sus derechos fundamentales y la vigencia del principio pro </w:t>
      </w:r>
      <w:proofErr w:type="spellStart"/>
      <w:r w:rsidRPr="00A34EB0">
        <w:rPr>
          <w:rFonts w:ascii="Times New Roman" w:hAnsi="Times New Roman" w:cs="Times New Roman"/>
          <w:i/>
          <w:iCs/>
          <w:sz w:val="20"/>
          <w:szCs w:val="20"/>
        </w:rPr>
        <w:t>liberta</w:t>
      </w:r>
      <w:r w:rsidR="009233A0" w:rsidRPr="00A34EB0">
        <w:rPr>
          <w:rFonts w:ascii="Times New Roman" w:hAnsi="Times New Roman" w:cs="Times New Roman"/>
          <w:i/>
          <w:iCs/>
          <w:sz w:val="20"/>
          <w:szCs w:val="20"/>
        </w:rPr>
        <w:t>te</w:t>
      </w:r>
      <w:proofErr w:type="spellEnd"/>
      <w:r w:rsidR="009233A0" w:rsidRPr="00A34EB0">
        <w:rPr>
          <w:rFonts w:ascii="Times New Roman" w:hAnsi="Times New Roman" w:cs="Times New Roman"/>
          <w:i/>
          <w:iCs/>
          <w:sz w:val="20"/>
          <w:szCs w:val="20"/>
        </w:rPr>
        <w:t>.</w:t>
      </w:r>
      <w:r w:rsidRPr="00A34EB0">
        <w:rPr>
          <w:rFonts w:ascii="Times New Roman" w:hAnsi="Times New Roman" w:cs="Times New Roman"/>
          <w:i/>
          <w:iCs/>
          <w:sz w:val="20"/>
          <w:szCs w:val="20"/>
        </w:rPr>
        <w:t xml:space="preserve"> Por lo mismo, el funcionario debe asumir rigurosamente, que la privación de la libertad es excepcional y que más aún debe serlo la privación de la libertad intramural, por lo cual y de conformidad con la doctrina reconocida por la Corte, ‘las autoridades deben verificar en cada caso concreto la procedencia de los subrogados penales como la prisión o detención domiciliaria, la vigilancia electrónica y la libertad provisional, pues éstas desarrollan finalidades constitucionales esenciales en el Estado Social de Derecho.’ (…)</w:t>
      </w:r>
      <w:r w:rsidRPr="00A34EB0">
        <w:rPr>
          <w:rFonts w:ascii="Times New Roman" w:hAnsi="Times New Roman" w:cs="Times New Roman"/>
          <w:sz w:val="20"/>
          <w:szCs w:val="20"/>
        </w:rPr>
        <w:t>”.</w:t>
      </w:r>
      <w:r w:rsidRPr="00A34EB0">
        <w:rPr>
          <w:rFonts w:ascii="Times New Roman" w:hAnsi="Times New Roman" w:cs="Times New Roman"/>
          <w:i/>
          <w:iCs/>
          <w:sz w:val="20"/>
          <w:szCs w:val="20"/>
        </w:rPr>
        <w:t>.</w:t>
      </w:r>
    </w:p>
  </w:footnote>
  <w:footnote w:id="11">
    <w:p w14:paraId="1020DFE0" w14:textId="3A6B3A5F" w:rsidR="00CB0FD7" w:rsidRPr="00A34EB0" w:rsidRDefault="00CB0FD7" w:rsidP="007922EC">
      <w:pPr>
        <w:pStyle w:val="Textonotapie"/>
        <w:jc w:val="both"/>
        <w:rPr>
          <w:rFonts w:ascii="Times New Roman" w:hAnsi="Times New Roman" w:cs="Times New Roman"/>
          <w:sz w:val="20"/>
          <w:szCs w:val="20"/>
          <w:lang w:val="es-ES_tradnl"/>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Oscar Mauricio Ceballos Martínez</w:t>
      </w:r>
      <w:r w:rsidR="00310E70" w:rsidRPr="00A34EB0">
        <w:rPr>
          <w:rFonts w:ascii="Times New Roman" w:hAnsi="Times New Roman" w:cs="Times New Roman"/>
          <w:sz w:val="20"/>
          <w:szCs w:val="20"/>
        </w:rPr>
        <w:t>, en calidad de director de desarrollo del derecho y ordenamiento jurídico.</w:t>
      </w:r>
    </w:p>
  </w:footnote>
  <w:footnote w:id="12">
    <w:p w14:paraId="78DD03BB" w14:textId="77777777" w:rsidR="00FE19AC" w:rsidRPr="00A34EB0" w:rsidRDefault="00CB0FD7" w:rsidP="007922EC">
      <w:pPr>
        <w:pStyle w:val="p1"/>
        <w:jc w:val="both"/>
        <w:rPr>
          <w:rFonts w:ascii="Times New Roman" w:eastAsia="SimSun" w:hAnsi="Times New Roman"/>
          <w:color w:val="auto"/>
          <w:kern w:val="2"/>
          <w:sz w:val="20"/>
          <w:szCs w:val="20"/>
          <w:lang w:eastAsia="en-US"/>
          <w14:ligatures w14:val="standardContextual"/>
        </w:rPr>
      </w:pPr>
      <w:r w:rsidRPr="00A34EB0">
        <w:rPr>
          <w:rStyle w:val="Refdenotaalpie"/>
          <w:rFonts w:ascii="Times New Roman" w:hAnsi="Times New Roman"/>
          <w:sz w:val="20"/>
          <w:szCs w:val="20"/>
        </w:rPr>
        <w:footnoteRef/>
      </w:r>
      <w:r w:rsidRPr="00A34EB0">
        <w:rPr>
          <w:rFonts w:ascii="Times New Roman" w:hAnsi="Times New Roman"/>
          <w:sz w:val="20"/>
          <w:szCs w:val="20"/>
        </w:rPr>
        <w:t xml:space="preserve"> </w:t>
      </w:r>
      <w:proofErr w:type="spellStart"/>
      <w:r w:rsidR="00FE19AC" w:rsidRPr="00A34EB0">
        <w:rPr>
          <w:rFonts w:ascii="Times New Roman" w:eastAsia="SimSun" w:hAnsi="Times New Roman"/>
          <w:color w:val="auto"/>
          <w:kern w:val="2"/>
          <w:sz w:val="20"/>
          <w:szCs w:val="20"/>
          <w:lang w:eastAsia="en-US"/>
          <w14:ligatures w14:val="standardContextual"/>
        </w:rPr>
        <w:t>Enán</w:t>
      </w:r>
      <w:proofErr w:type="spellEnd"/>
      <w:r w:rsidR="00FE19AC" w:rsidRPr="00A34EB0">
        <w:rPr>
          <w:rFonts w:ascii="Times New Roman" w:eastAsia="SimSun" w:hAnsi="Times New Roman"/>
          <w:color w:val="auto"/>
          <w:kern w:val="2"/>
          <w:sz w:val="20"/>
          <w:szCs w:val="20"/>
          <w:lang w:eastAsia="en-US"/>
          <w14:ligatures w14:val="standardContextual"/>
        </w:rPr>
        <w:t xml:space="preserve"> Arrieta Burgos, Andrés Felipe Duque Pedroza, Ana Milena Montoya Mattos, Valeria Martínez Arcila y Harold</w:t>
      </w:r>
    </w:p>
    <w:p w14:paraId="7FB69B68" w14:textId="71739F04" w:rsidR="00CB0FD7" w:rsidRPr="00A34EB0" w:rsidRDefault="00FE19AC" w:rsidP="009233A0">
      <w:pPr>
        <w:jc w:val="both"/>
        <w:rPr>
          <w:color w:val="000000"/>
          <w:sz w:val="20"/>
          <w:szCs w:val="20"/>
          <w:lang w:val="es-ES" w:eastAsia="es-ES_tradnl"/>
        </w:rPr>
      </w:pPr>
      <w:r w:rsidRPr="00A34EB0">
        <w:rPr>
          <w:rFonts w:eastAsia="SimSun"/>
          <w:kern w:val="2"/>
          <w:sz w:val="20"/>
          <w:szCs w:val="20"/>
          <w:lang w:eastAsia="en-US"/>
          <w14:ligatures w14:val="standardContextual"/>
        </w:rPr>
        <w:t>Darío Zuluaga Vanegas, actuando como ciudadanos, profesores y estudiantes de la Clínica Jurídica de la Escuela</w:t>
      </w:r>
      <w:r w:rsidR="009233A0" w:rsidRPr="00A34EB0">
        <w:rPr>
          <w:rFonts w:eastAsia="SimSun"/>
          <w:kern w:val="2"/>
          <w:sz w:val="20"/>
          <w:szCs w:val="20"/>
          <w:lang w:eastAsia="en-US"/>
          <w14:ligatures w14:val="standardContextual"/>
        </w:rPr>
        <w:t xml:space="preserve"> </w:t>
      </w:r>
      <w:r w:rsidRPr="00A34EB0">
        <w:rPr>
          <w:color w:val="000000"/>
          <w:sz w:val="20"/>
          <w:szCs w:val="20"/>
          <w:lang w:val="es-ES" w:eastAsia="es-ES_tradnl"/>
        </w:rPr>
        <w:t>de</w:t>
      </w:r>
      <w:r w:rsidR="009233A0" w:rsidRPr="00A34EB0">
        <w:rPr>
          <w:color w:val="000000"/>
          <w:sz w:val="20"/>
          <w:szCs w:val="20"/>
          <w:lang w:val="es-ES" w:eastAsia="es-ES_tradnl"/>
        </w:rPr>
        <w:t xml:space="preserve"> </w:t>
      </w:r>
      <w:r w:rsidRPr="00A34EB0">
        <w:rPr>
          <w:color w:val="000000"/>
          <w:sz w:val="20"/>
          <w:szCs w:val="20"/>
          <w:lang w:val="es-ES" w:eastAsia="es-ES_tradnl"/>
        </w:rPr>
        <w:t>Derecho y Ciencias Políticas de la Universidad Pontificia Bolivariana</w:t>
      </w:r>
      <w:r w:rsidR="009233A0" w:rsidRPr="00A34EB0">
        <w:rPr>
          <w:color w:val="000000"/>
          <w:sz w:val="20"/>
          <w:szCs w:val="20"/>
          <w:lang w:val="es-ES" w:eastAsia="es-ES_tradnl"/>
        </w:rPr>
        <w:t>.</w:t>
      </w:r>
    </w:p>
  </w:footnote>
  <w:footnote w:id="13">
    <w:p w14:paraId="0959FC98" w14:textId="02064CAA" w:rsidR="00DB5B30" w:rsidRPr="00A34EB0" w:rsidRDefault="00DB5B30" w:rsidP="007922EC">
      <w:pPr>
        <w:pStyle w:val="Textonotapie"/>
        <w:jc w:val="both"/>
        <w:rPr>
          <w:rFonts w:ascii="Times New Roman" w:hAnsi="Times New Roman" w:cs="Times New Roman"/>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C37F39" w:rsidRPr="00A34EB0">
        <w:rPr>
          <w:rFonts w:ascii="Times New Roman" w:hAnsi="Times New Roman" w:cs="Times New Roman"/>
          <w:sz w:val="20"/>
          <w:szCs w:val="20"/>
        </w:rPr>
        <w:t>Johana Rodríguez en calidad de asesora jurídica del área de derecho penal, junto con Sergio Enrique Vega Guerreo, Juliana Ramírez González y Johanna Rodríguez Guzmán</w:t>
      </w:r>
      <w:r w:rsidR="00EC7D32" w:rsidRPr="00A34EB0">
        <w:rPr>
          <w:rFonts w:ascii="Times New Roman" w:hAnsi="Times New Roman" w:cs="Times New Roman"/>
          <w:sz w:val="20"/>
          <w:szCs w:val="20"/>
        </w:rPr>
        <w:t>; así como Valentina Díaz Moya, María Isabel Mora Bautista y Martín Felipe Portillo Vásquez</w:t>
      </w:r>
      <w:r w:rsidR="009233A0" w:rsidRPr="00A34EB0">
        <w:rPr>
          <w:rFonts w:ascii="Times New Roman" w:hAnsi="Times New Roman" w:cs="Times New Roman"/>
          <w:sz w:val="20"/>
          <w:szCs w:val="20"/>
        </w:rPr>
        <w:t>,</w:t>
      </w:r>
      <w:r w:rsidR="00EC7D32" w:rsidRPr="00A34EB0">
        <w:rPr>
          <w:rFonts w:ascii="Times New Roman" w:hAnsi="Times New Roman" w:cs="Times New Roman"/>
          <w:sz w:val="20"/>
          <w:szCs w:val="20"/>
        </w:rPr>
        <w:t xml:space="preserve"> miembros del Grupo de Prisiones del Consultorio Jurídico de la Universidad de los Andes</w:t>
      </w:r>
      <w:r w:rsidR="009233A0" w:rsidRPr="00A34EB0">
        <w:rPr>
          <w:rFonts w:ascii="Times New Roman" w:hAnsi="Times New Roman" w:cs="Times New Roman"/>
          <w:sz w:val="20"/>
          <w:szCs w:val="20"/>
        </w:rPr>
        <w:t>.</w:t>
      </w:r>
    </w:p>
  </w:footnote>
  <w:footnote w:id="14">
    <w:p w14:paraId="51F58B1B" w14:textId="68BA905F" w:rsidR="00DB5B30" w:rsidRPr="00A34EB0" w:rsidRDefault="00DB5B30" w:rsidP="007922EC">
      <w:pPr>
        <w:pStyle w:val="Textonotapie"/>
        <w:jc w:val="both"/>
        <w:rPr>
          <w:rFonts w:ascii="Times New Roman" w:hAnsi="Times New Roman" w:cs="Times New Roman"/>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28457B" w:rsidRPr="00A34EB0">
        <w:rPr>
          <w:rFonts w:ascii="Times New Roman" w:hAnsi="Times New Roman" w:cs="Times New Roman"/>
          <w:sz w:val="20"/>
          <w:szCs w:val="20"/>
        </w:rPr>
        <w:t xml:space="preserve">Juan Camilo Páez </w:t>
      </w:r>
      <w:proofErr w:type="spellStart"/>
      <w:r w:rsidR="0028457B" w:rsidRPr="00A34EB0">
        <w:rPr>
          <w:rFonts w:ascii="Times New Roman" w:hAnsi="Times New Roman" w:cs="Times New Roman"/>
          <w:sz w:val="20"/>
          <w:szCs w:val="20"/>
        </w:rPr>
        <w:t>Jaimes</w:t>
      </w:r>
      <w:proofErr w:type="spellEnd"/>
      <w:r w:rsidR="0028457B" w:rsidRPr="00A34EB0">
        <w:rPr>
          <w:rFonts w:ascii="Times New Roman" w:hAnsi="Times New Roman" w:cs="Times New Roman"/>
          <w:sz w:val="20"/>
          <w:szCs w:val="20"/>
        </w:rPr>
        <w:t>, en calidad de miembro del ICDP.</w:t>
      </w:r>
    </w:p>
  </w:footnote>
  <w:footnote w:id="15">
    <w:p w14:paraId="5AD3FD8D" w14:textId="46B7D55F" w:rsidR="00DB5B30" w:rsidRPr="00A34EB0" w:rsidRDefault="00DB5B30" w:rsidP="007922EC">
      <w:pPr>
        <w:pStyle w:val="Textonotapie"/>
        <w:jc w:val="both"/>
        <w:rPr>
          <w:rFonts w:ascii="Times New Roman" w:hAnsi="Times New Roman" w:cs="Times New Roman"/>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CA3961" w:rsidRPr="00A34EB0">
        <w:rPr>
          <w:rFonts w:ascii="Times New Roman" w:hAnsi="Times New Roman" w:cs="Times New Roman"/>
          <w:sz w:val="20"/>
          <w:szCs w:val="20"/>
        </w:rPr>
        <w:t>Jorge Kenneth Burbano Villamarín, director del Observatorio de Intervención Ciudadana Constitucional de la Facultad de Derecho de la Universidad Libre de Bogotá; María Alejandra Parra Celis, magister en derecho penal, áreas penales y procesal penal de la Universidad Libre Seccional Cúcuta y Miembro del Observatorio</w:t>
      </w:r>
      <w:r w:rsidR="009233A0" w:rsidRPr="00A34EB0">
        <w:rPr>
          <w:rFonts w:ascii="Times New Roman" w:hAnsi="Times New Roman" w:cs="Times New Roman"/>
          <w:sz w:val="20"/>
          <w:szCs w:val="20"/>
        </w:rPr>
        <w:t>;</w:t>
      </w:r>
      <w:r w:rsidR="00CA3961" w:rsidRPr="00A34EB0">
        <w:rPr>
          <w:rFonts w:ascii="Times New Roman" w:hAnsi="Times New Roman" w:cs="Times New Roman"/>
          <w:sz w:val="20"/>
          <w:szCs w:val="20"/>
        </w:rPr>
        <w:t xml:space="preserve"> y Angie Daniela Jiménez, estudiante de derecho de la Universidad Libre seccional Cúcuta.</w:t>
      </w:r>
    </w:p>
  </w:footnote>
  <w:footnote w:id="16">
    <w:p w14:paraId="7477BC18" w14:textId="39C804E3" w:rsidR="00DB5B30" w:rsidRPr="00A34EB0" w:rsidRDefault="00DB5B30" w:rsidP="007922EC">
      <w:pPr>
        <w:pStyle w:val="Textonotapie"/>
        <w:jc w:val="both"/>
        <w:rPr>
          <w:rFonts w:ascii="Times New Roman" w:hAnsi="Times New Roman" w:cs="Times New Roman"/>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7227BD" w:rsidRPr="00A34EB0">
        <w:rPr>
          <w:rFonts w:ascii="Times New Roman" w:hAnsi="Times New Roman" w:cs="Times New Roman"/>
          <w:sz w:val="20"/>
          <w:szCs w:val="20"/>
        </w:rPr>
        <w:t>Natalia Alexandra Insuasty Daza, en su condición de representante legal de la Fundación Jurídica Proyecto Inocencia.</w:t>
      </w:r>
    </w:p>
  </w:footnote>
  <w:footnote w:id="17">
    <w:p w14:paraId="5B80B708" w14:textId="132C42EC" w:rsidR="00DB5B30" w:rsidRPr="00A34EB0" w:rsidRDefault="00DB5B30" w:rsidP="007922EC">
      <w:pPr>
        <w:pStyle w:val="Textonotapie"/>
        <w:jc w:val="both"/>
        <w:rPr>
          <w:rFonts w:ascii="Times New Roman" w:hAnsi="Times New Roman" w:cs="Times New Roman"/>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0095422B" w:rsidRPr="00A34EB0">
        <w:rPr>
          <w:rFonts w:ascii="Times New Roman" w:hAnsi="Times New Roman" w:cs="Times New Roman"/>
          <w:sz w:val="20"/>
          <w:szCs w:val="20"/>
        </w:rPr>
        <w:t xml:space="preserve">Ana Carolina Bernal Guacaneme de la Facultad de Ciencias Políticas y Jurídicas, consultorio Jurídico I, de la Universidad </w:t>
      </w:r>
      <w:r w:rsidR="009233A0" w:rsidRPr="00A34EB0">
        <w:rPr>
          <w:rFonts w:ascii="Times New Roman" w:hAnsi="Times New Roman" w:cs="Times New Roman"/>
          <w:sz w:val="20"/>
          <w:szCs w:val="20"/>
        </w:rPr>
        <w:t xml:space="preserve">de </w:t>
      </w:r>
      <w:r w:rsidR="0095422B" w:rsidRPr="00A34EB0">
        <w:rPr>
          <w:rFonts w:ascii="Times New Roman" w:hAnsi="Times New Roman" w:cs="Times New Roman"/>
          <w:sz w:val="20"/>
          <w:szCs w:val="20"/>
        </w:rPr>
        <w:t xml:space="preserve">San </w:t>
      </w:r>
      <w:r w:rsidR="006D58EC" w:rsidRPr="00A34EB0">
        <w:rPr>
          <w:rFonts w:ascii="Times New Roman" w:hAnsi="Times New Roman" w:cs="Times New Roman"/>
          <w:sz w:val="20"/>
          <w:szCs w:val="20"/>
        </w:rPr>
        <w:t>Buenaventura</w:t>
      </w:r>
      <w:r w:rsidR="0095422B" w:rsidRPr="00A34EB0">
        <w:rPr>
          <w:rFonts w:ascii="Times New Roman" w:hAnsi="Times New Roman" w:cs="Times New Roman"/>
          <w:sz w:val="20"/>
          <w:szCs w:val="20"/>
        </w:rPr>
        <w:t xml:space="preserve"> sede Bogotá.</w:t>
      </w:r>
    </w:p>
  </w:footnote>
  <w:footnote w:id="18">
    <w:p w14:paraId="30716D74" w14:textId="78AD7D7C" w:rsidR="00707221" w:rsidRPr="00A34EB0" w:rsidRDefault="00707221" w:rsidP="007922EC">
      <w:pPr>
        <w:pStyle w:val="Textonotapie"/>
        <w:jc w:val="both"/>
        <w:rPr>
          <w:rFonts w:ascii="Times New Roman" w:hAnsi="Times New Roman" w:cs="Times New Roman"/>
          <w:sz w:val="20"/>
          <w:szCs w:val="20"/>
          <w:lang w:val="es-ES_tradnl"/>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Pr="00A34EB0">
        <w:rPr>
          <w:rFonts w:ascii="Times New Roman" w:hAnsi="Times New Roman" w:cs="Times New Roman"/>
          <w:sz w:val="20"/>
          <w:szCs w:val="20"/>
          <w:lang w:val="es-ES_tradnl"/>
        </w:rPr>
        <w:t>Archivo, “</w:t>
      </w:r>
      <w:r w:rsidR="00086867" w:rsidRPr="00A34EB0">
        <w:rPr>
          <w:rFonts w:ascii="Times New Roman" w:hAnsi="Times New Roman" w:cs="Times New Roman"/>
          <w:i/>
          <w:iCs/>
          <w:sz w:val="20"/>
          <w:szCs w:val="20"/>
          <w:lang w:val="es-ES_tradnl"/>
        </w:rPr>
        <w:t>D0015594-Concepto Del Procurador General De La Nación-(2024-06-27 15-03-07).</w:t>
      </w:r>
      <w:proofErr w:type="spellStart"/>
      <w:r w:rsidR="00086867" w:rsidRPr="00A34EB0">
        <w:rPr>
          <w:rFonts w:ascii="Times New Roman" w:hAnsi="Times New Roman" w:cs="Times New Roman"/>
          <w:i/>
          <w:iCs/>
          <w:sz w:val="20"/>
          <w:szCs w:val="20"/>
          <w:lang w:val="es-ES_tradnl"/>
        </w:rPr>
        <w:t>pdf</w:t>
      </w:r>
      <w:proofErr w:type="spellEnd"/>
      <w:r w:rsidR="00086867" w:rsidRPr="00A34EB0">
        <w:rPr>
          <w:rFonts w:ascii="Times New Roman" w:hAnsi="Times New Roman" w:cs="Times New Roman"/>
          <w:sz w:val="20"/>
          <w:szCs w:val="20"/>
          <w:lang w:val="es-ES_tradnl"/>
        </w:rPr>
        <w:t>”.</w:t>
      </w:r>
    </w:p>
  </w:footnote>
  <w:footnote w:id="19">
    <w:p w14:paraId="669E1BB0" w14:textId="77777777" w:rsidR="00C82D4A" w:rsidRPr="00A34EB0" w:rsidRDefault="00C82D4A" w:rsidP="007922EC">
      <w:pPr>
        <w:pStyle w:val="Textonotapie"/>
        <w:rPr>
          <w:rFonts w:ascii="Times New Roman" w:hAnsi="Times New Roman" w:cs="Times New Roman"/>
          <w:color w:val="000000" w:themeColor="text1"/>
          <w:sz w:val="20"/>
          <w:szCs w:val="20"/>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Corte Constitucional, sentencia C-551 de 2019.</w:t>
      </w:r>
    </w:p>
  </w:footnote>
  <w:footnote w:id="20">
    <w:p w14:paraId="21F8CE37" w14:textId="6A7FDE0E" w:rsidR="00963ADD" w:rsidRPr="00A34EB0" w:rsidRDefault="00963ADD" w:rsidP="009233A0">
      <w:pPr>
        <w:pStyle w:val="Textonotapie"/>
        <w:jc w:val="both"/>
        <w:rPr>
          <w:rFonts w:ascii="Times New Roman" w:hAnsi="Times New Roman" w:cs="Times New Roman"/>
          <w:sz w:val="20"/>
          <w:szCs w:val="20"/>
          <w:lang w:val="es-ES_tradnl"/>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Pr="00A34EB0">
        <w:rPr>
          <w:rFonts w:ascii="Times New Roman" w:hAnsi="Times New Roman" w:cs="Times New Roman"/>
          <w:color w:val="000000" w:themeColor="text1"/>
          <w:sz w:val="20"/>
          <w:szCs w:val="20"/>
          <w:lang w:val="es-ES_tradnl"/>
        </w:rPr>
        <w:t xml:space="preserve">Corte Constitucional, sentencias </w:t>
      </w:r>
      <w:r w:rsidRPr="00A34EB0">
        <w:rPr>
          <w:rFonts w:ascii="Times New Roman" w:hAnsi="Times New Roman" w:cs="Times New Roman"/>
          <w:color w:val="000000" w:themeColor="text1"/>
          <w:sz w:val="20"/>
          <w:szCs w:val="20"/>
        </w:rPr>
        <w:t>C-1115 de 2004, C-1300 de 2005, C-074 de 2006, C-929 de 2007, C-623 de 2008, C-035 de 2020, C-044 de 2021, C-303 de 2021 y C-366 de 2022.</w:t>
      </w:r>
    </w:p>
  </w:footnote>
  <w:footnote w:id="21">
    <w:p w14:paraId="6BDB96EC" w14:textId="467B1DE6" w:rsidR="009233A0" w:rsidRPr="00A34EB0" w:rsidRDefault="009233A0">
      <w:pPr>
        <w:pStyle w:val="Textonotapie"/>
        <w:rPr>
          <w:rFonts w:ascii="Times New Roman" w:hAnsi="Times New Roman" w:cs="Times New Roman"/>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Esta disposición fue previamente citada en la nota a pie No. 9 de esta providencia. </w:t>
      </w:r>
    </w:p>
  </w:footnote>
  <w:footnote w:id="22">
    <w:p w14:paraId="3870CA97" w14:textId="35056523" w:rsidR="005D0209" w:rsidRPr="00A34EB0" w:rsidRDefault="005D0209" w:rsidP="00BE6B1E">
      <w:pPr>
        <w:pStyle w:val="Textonotapie"/>
        <w:jc w:val="both"/>
        <w:rPr>
          <w:rFonts w:ascii="Times New Roman" w:hAnsi="Times New Roman" w:cs="Times New Roman"/>
          <w:sz w:val="20"/>
          <w:szCs w:val="20"/>
          <w:lang w:val="es-MX"/>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lang w:val="es-MX"/>
        </w:rPr>
        <w:t xml:space="preserve"> Desde el inicio de esta técnica de control, en la sentencia C-426 de 2002 se explicó que: “</w:t>
      </w:r>
      <w:r w:rsidRPr="00A34EB0">
        <w:rPr>
          <w:rFonts w:ascii="Times New Roman" w:hAnsi="Times New Roman" w:cs="Times New Roman"/>
          <w:i/>
          <w:iCs/>
          <w:sz w:val="20"/>
          <w:szCs w:val="20"/>
          <w:lang w:val="es-MX"/>
        </w:rPr>
        <w:t>(…) esta</w:t>
      </w:r>
      <w:r w:rsidRPr="00A34EB0">
        <w:rPr>
          <w:rFonts w:ascii="Times New Roman" w:hAnsi="Times New Roman" w:cs="Times New Roman"/>
          <w:i/>
          <w:iCs/>
          <w:sz w:val="20"/>
          <w:szCs w:val="20"/>
        </w:rPr>
        <w:t xml:space="preserve"> Corporación ha venido señalando que, en principio, no le corresponde al juez constitucional resolver aquellos debates suscitados en torno al proceso de aplicación o interpretación de la ley, pues es claro que en estos casos no se trata de cuestionar el contenido literal de la norma impugnada, sino el sentido o alcance que a ésta le haya fijado la autoridad judicial competente. Según lo ha señalado, en tanto es la propia Constitución la que establece una separación entre la jurisdicción constitucional y las otras jurisdicciones, los conflictos jurídicos que surjan como consecuencia del proceso de aplicación de las normas legales han de ser resueltos por los jueces ordinarios y especializados a quien se les asigna dicha función. // (…)</w:t>
      </w:r>
      <w:r w:rsidRPr="005D0209">
        <w:rPr>
          <w:rFonts w:ascii="Times New Roman" w:hAnsi="Times New Roman" w:cs="Times New Roman"/>
          <w:i/>
          <w:iCs/>
          <w:sz w:val="20"/>
          <w:szCs w:val="20"/>
        </w:rPr>
        <w:t xml:space="preserve"> No obstante, también este alto Tribunal ha admitido que por vía de la acción pública de </w:t>
      </w:r>
      <w:proofErr w:type="spellStart"/>
      <w:r w:rsidRPr="005D0209">
        <w:rPr>
          <w:rFonts w:ascii="Times New Roman" w:hAnsi="Times New Roman" w:cs="Times New Roman"/>
          <w:i/>
          <w:iCs/>
          <w:sz w:val="20"/>
          <w:szCs w:val="20"/>
        </w:rPr>
        <w:t>inexequibilidad</w:t>
      </w:r>
      <w:proofErr w:type="spellEnd"/>
      <w:r w:rsidRPr="005D0209">
        <w:rPr>
          <w:rFonts w:ascii="Times New Roman" w:hAnsi="Times New Roman" w:cs="Times New Roman"/>
          <w:i/>
          <w:iCs/>
          <w:sz w:val="20"/>
          <w:szCs w:val="20"/>
        </w:rPr>
        <w:t xml:space="preserve"> se puedan resolver los conflictos atinentes a la interpretación de las normas jurídicas, cuando </w:t>
      </w:r>
      <w:r w:rsidRPr="00A34EB0">
        <w:rPr>
          <w:rFonts w:ascii="Times New Roman" w:hAnsi="Times New Roman" w:cs="Times New Roman"/>
          <w:i/>
          <w:iCs/>
          <w:sz w:val="20"/>
          <w:szCs w:val="20"/>
        </w:rPr>
        <w:t xml:space="preserve">(…) </w:t>
      </w:r>
      <w:r w:rsidRPr="00A34EB0">
        <w:rPr>
          <w:rFonts w:ascii="Times New Roman" w:hAnsi="Times New Roman" w:cs="Times New Roman"/>
          <w:b/>
          <w:bCs/>
          <w:i/>
          <w:iCs/>
          <w:sz w:val="20"/>
          <w:szCs w:val="20"/>
        </w:rPr>
        <w:t>a</w:t>
      </w:r>
      <w:r w:rsidRPr="005D0209">
        <w:rPr>
          <w:rFonts w:ascii="Times New Roman" w:hAnsi="Times New Roman" w:cs="Times New Roman"/>
          <w:b/>
          <w:bCs/>
          <w:i/>
          <w:iCs/>
          <w:sz w:val="20"/>
          <w:szCs w:val="20"/>
        </w:rPr>
        <w:t xml:space="preserve"> un enunciado normativo se le atribuyan distintos contenidos o significados</w:t>
      </w:r>
      <w:r w:rsidRPr="005D0209">
        <w:rPr>
          <w:rFonts w:ascii="Times New Roman" w:hAnsi="Times New Roman" w:cs="Times New Roman"/>
          <w:i/>
          <w:iCs/>
          <w:sz w:val="20"/>
          <w:szCs w:val="20"/>
        </w:rPr>
        <w:t xml:space="preserve">, consecuencia de la existencia de un presunto margen de indeterminación semántica, </w:t>
      </w:r>
      <w:r w:rsidRPr="00A34EB0">
        <w:rPr>
          <w:rFonts w:ascii="Times New Roman" w:hAnsi="Times New Roman" w:cs="Times New Roman"/>
          <w:i/>
          <w:iCs/>
          <w:sz w:val="20"/>
          <w:szCs w:val="20"/>
        </w:rPr>
        <w:t xml:space="preserve">(…) [pues] (…) </w:t>
      </w:r>
      <w:r w:rsidRPr="005D0209">
        <w:rPr>
          <w:rFonts w:ascii="Times New Roman" w:hAnsi="Times New Roman" w:cs="Times New Roman"/>
          <w:i/>
          <w:iCs/>
          <w:sz w:val="20"/>
          <w:szCs w:val="20"/>
        </w:rPr>
        <w:t>la escogencia práctica entre sus diversas lecturas trascienda el ámbito de lo estrictamente legal y adquiera relevancia constitucional, en cuanto que sus alternativas de aplicación pueden resultar irrazonables y desconocer los mandatos superiores.</w:t>
      </w:r>
      <w:r w:rsidRPr="00A34EB0">
        <w:rPr>
          <w:rFonts w:ascii="Times New Roman" w:hAnsi="Times New Roman" w:cs="Times New Roman"/>
          <w:i/>
          <w:iCs/>
          <w:sz w:val="20"/>
          <w:szCs w:val="20"/>
        </w:rPr>
        <w:t xml:space="preserve"> // (…) </w:t>
      </w:r>
      <w:r w:rsidRPr="005D0209">
        <w:rPr>
          <w:rFonts w:ascii="Times New Roman" w:hAnsi="Times New Roman" w:cs="Times New Roman"/>
          <w:i/>
          <w:iCs/>
          <w:sz w:val="20"/>
          <w:szCs w:val="20"/>
        </w:rPr>
        <w:t xml:space="preserve">De este modo, el principio de prevalencia o supremacía de la Carta, contenido en el artículo 4° Superior, se hace extensivo tanto al tenor literal de la ley como al </w:t>
      </w:r>
      <w:r w:rsidRPr="005D0209">
        <w:rPr>
          <w:rFonts w:ascii="Times New Roman" w:hAnsi="Times New Roman" w:cs="Times New Roman"/>
          <w:b/>
          <w:bCs/>
          <w:i/>
          <w:iCs/>
          <w:sz w:val="20"/>
          <w:szCs w:val="20"/>
        </w:rPr>
        <w:t>significado abstracto y real fijado por la autoridad judicial responsable -derecho viviente-, ya que en un Estado de Derecho no pueden subsistir aplicaciones normativas irrazonables que desborden el marco jurídico que fija la Constitución</w:t>
      </w:r>
      <w:r w:rsidR="00BE6B1E" w:rsidRPr="00A34EB0">
        <w:rPr>
          <w:rFonts w:ascii="Times New Roman" w:hAnsi="Times New Roman" w:cs="Times New Roman"/>
          <w:b/>
          <w:bCs/>
          <w:i/>
          <w:iCs/>
          <w:sz w:val="20"/>
          <w:szCs w:val="20"/>
        </w:rPr>
        <w:t>.</w:t>
      </w:r>
      <w:r w:rsidR="00BE6B1E" w:rsidRPr="00A34EB0">
        <w:rPr>
          <w:rFonts w:ascii="Times New Roman" w:hAnsi="Times New Roman" w:cs="Times New Roman"/>
          <w:i/>
          <w:iCs/>
          <w:sz w:val="20"/>
          <w:szCs w:val="20"/>
        </w:rPr>
        <w:t xml:space="preserve"> (…)</w:t>
      </w:r>
      <w:r w:rsidRPr="005D0209">
        <w:rPr>
          <w:rFonts w:ascii="Times New Roman" w:hAnsi="Times New Roman" w:cs="Times New Roman"/>
          <w:i/>
          <w:iCs/>
          <w:sz w:val="20"/>
          <w:szCs w:val="20"/>
        </w:rPr>
        <w:t xml:space="preserve">Adelantar el juicio de inconstitucionalidad de aquellas normas que generan conflictos en torno a su verdadero significado y alcance, no implica, entonces, una intromisión o desplazamiento de la competencia asignada a los jueces para aplicar la ley en cada caso en concreto, pues, en realidad, el proceso de control abstracto -en estos casos- se lleva a cabo sobre uno de los contenidos de la norma sometida a examen: </w:t>
      </w:r>
      <w:r w:rsidRPr="005D0209">
        <w:rPr>
          <w:rFonts w:ascii="Times New Roman" w:hAnsi="Times New Roman" w:cs="Times New Roman"/>
          <w:b/>
          <w:bCs/>
          <w:i/>
          <w:iCs/>
          <w:sz w:val="20"/>
          <w:szCs w:val="20"/>
        </w:rPr>
        <w:t xml:space="preserve">el que surge de la interpretación que en sentido general hace la </w:t>
      </w:r>
      <w:bookmarkStart w:id="10" w:name="_Hlk206417321"/>
      <w:r w:rsidRPr="005D0209">
        <w:rPr>
          <w:rFonts w:ascii="Times New Roman" w:hAnsi="Times New Roman" w:cs="Times New Roman"/>
          <w:b/>
          <w:bCs/>
          <w:i/>
          <w:iCs/>
          <w:sz w:val="20"/>
          <w:szCs w:val="20"/>
        </w:rPr>
        <w:t>autoridad judicial competente, y al cual se le han reconocido todos los efectos jurídicos como consecuencia de constituir la orientación jurisprudencial dominante o el criterio judicial obligatorio para quienes son destinatarios de la ley</w:t>
      </w:r>
      <w:bookmarkEnd w:id="10"/>
      <w:r w:rsidRPr="005D0209">
        <w:rPr>
          <w:rFonts w:ascii="Times New Roman" w:hAnsi="Times New Roman" w:cs="Times New Roman"/>
          <w:b/>
          <w:bCs/>
          <w:i/>
          <w:iCs/>
          <w:sz w:val="20"/>
          <w:szCs w:val="20"/>
        </w:rPr>
        <w:t>.</w:t>
      </w:r>
      <w:r w:rsidR="00BE6B1E" w:rsidRPr="00A34EB0">
        <w:rPr>
          <w:rFonts w:ascii="Times New Roman" w:hAnsi="Times New Roman" w:cs="Times New Roman"/>
          <w:sz w:val="20"/>
          <w:szCs w:val="20"/>
        </w:rPr>
        <w:t>”</w:t>
      </w:r>
      <w:r w:rsidRPr="005D0209">
        <w:rPr>
          <w:rFonts w:ascii="Times New Roman" w:hAnsi="Times New Roman" w:cs="Times New Roman"/>
          <w:sz w:val="20"/>
          <w:szCs w:val="20"/>
        </w:rPr>
        <w:t> </w:t>
      </w:r>
      <w:r w:rsidR="00BE6B1E" w:rsidRPr="00A34EB0">
        <w:rPr>
          <w:rFonts w:ascii="Times New Roman" w:hAnsi="Times New Roman" w:cs="Times New Roman"/>
          <w:sz w:val="20"/>
          <w:szCs w:val="20"/>
        </w:rPr>
        <w:t>Énfasis por fuera del texto original.</w:t>
      </w:r>
    </w:p>
  </w:footnote>
  <w:footnote w:id="23">
    <w:p w14:paraId="0EDA9836" w14:textId="5E515CF9" w:rsidR="00FC55DC" w:rsidRPr="00A34EB0" w:rsidRDefault="00FC55DC" w:rsidP="007922EC">
      <w:pPr>
        <w:pStyle w:val="Textonotapie"/>
        <w:jc w:val="both"/>
        <w:rPr>
          <w:rFonts w:ascii="Times New Roman" w:hAnsi="Times New Roman" w:cs="Times New Roman"/>
          <w:color w:val="000000" w:themeColor="text1"/>
          <w:sz w:val="20"/>
          <w:szCs w:val="20"/>
          <w:lang w:val="es-ES_tradnl"/>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Corte Constitucional, sentencia C-212 de 2024.</w:t>
      </w:r>
    </w:p>
  </w:footnote>
  <w:footnote w:id="24">
    <w:p w14:paraId="1174E30C" w14:textId="5F45C3DD" w:rsidR="00A910F6" w:rsidRPr="00A34EB0" w:rsidRDefault="00A910F6" w:rsidP="00BE784D">
      <w:pPr>
        <w:pStyle w:val="Textonotapie"/>
        <w:jc w:val="both"/>
        <w:rPr>
          <w:rFonts w:ascii="Times New Roman" w:hAnsi="Times New Roman" w:cs="Times New Roman"/>
          <w:color w:val="000000" w:themeColor="text1"/>
          <w:sz w:val="20"/>
          <w:szCs w:val="20"/>
          <w:lang w:val="es-ES_tradnl"/>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Corte Constitucional, sentencia C-325 de 2021 (negrilla fuera del texto).</w:t>
      </w:r>
    </w:p>
  </w:footnote>
  <w:footnote w:id="25">
    <w:p w14:paraId="58C590DB" w14:textId="6B4C226D" w:rsidR="00AA4D03" w:rsidRPr="00A34EB0" w:rsidRDefault="00AA4D03" w:rsidP="00BE784D">
      <w:pPr>
        <w:pStyle w:val="Textonotapie"/>
        <w:jc w:val="both"/>
        <w:rPr>
          <w:rFonts w:ascii="Times New Roman" w:hAnsi="Times New Roman" w:cs="Times New Roman"/>
          <w:sz w:val="20"/>
          <w:szCs w:val="20"/>
          <w:lang w:val="es-ES"/>
        </w:rPr>
      </w:pPr>
      <w:r w:rsidRPr="00A34EB0">
        <w:rPr>
          <w:rStyle w:val="Refdenotaalpie"/>
          <w:rFonts w:ascii="Times New Roman" w:hAnsi="Times New Roman" w:cs="Times New Roman"/>
          <w:sz w:val="20"/>
          <w:szCs w:val="20"/>
        </w:rPr>
        <w:footnoteRef/>
      </w:r>
      <w:r w:rsidRPr="00A34EB0">
        <w:rPr>
          <w:rFonts w:ascii="Times New Roman" w:hAnsi="Times New Roman" w:cs="Times New Roman"/>
          <w:i/>
          <w:iCs/>
          <w:sz w:val="20"/>
          <w:szCs w:val="20"/>
          <w:lang w:val="es-ES"/>
        </w:rPr>
        <w:t xml:space="preserve">Ibidem. </w:t>
      </w:r>
    </w:p>
  </w:footnote>
  <w:footnote w:id="26">
    <w:p w14:paraId="2B52AF1D" w14:textId="5190CEFD" w:rsidR="00BE784D" w:rsidRPr="00A34EB0" w:rsidRDefault="00BE784D" w:rsidP="00BE784D">
      <w:pPr>
        <w:pStyle w:val="Textonotapie"/>
        <w:jc w:val="both"/>
        <w:rPr>
          <w:sz w:val="20"/>
          <w:szCs w:val="20"/>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Corte Constitucional, sentencias</w:t>
      </w:r>
      <w:r w:rsidR="007F2519" w:rsidRPr="00A34EB0">
        <w:rPr>
          <w:rFonts w:ascii="Times New Roman" w:hAnsi="Times New Roman" w:cs="Times New Roman"/>
          <w:sz w:val="20"/>
          <w:szCs w:val="20"/>
        </w:rPr>
        <w:t xml:space="preserve"> </w:t>
      </w:r>
      <w:r w:rsidRPr="00A34EB0">
        <w:rPr>
          <w:rFonts w:ascii="Times New Roman" w:hAnsi="Times New Roman" w:cs="Times New Roman"/>
          <w:sz w:val="20"/>
          <w:szCs w:val="20"/>
          <w:lang w:val="es-ES"/>
        </w:rPr>
        <w:t xml:space="preserve">C-557 de 2001, C-426 de 2002, </w:t>
      </w:r>
      <w:r w:rsidR="007F2519" w:rsidRPr="00A34EB0">
        <w:rPr>
          <w:rFonts w:ascii="Times New Roman" w:hAnsi="Times New Roman" w:cs="Times New Roman"/>
          <w:sz w:val="20"/>
          <w:szCs w:val="20"/>
          <w:lang w:val="es-ES"/>
        </w:rPr>
        <w:t xml:space="preserve">C-901 de 2003, C-802 de 2008, </w:t>
      </w:r>
      <w:r w:rsidRPr="00A34EB0">
        <w:rPr>
          <w:rFonts w:ascii="Times New Roman" w:hAnsi="Times New Roman" w:cs="Times New Roman"/>
          <w:sz w:val="20"/>
          <w:szCs w:val="20"/>
          <w:lang w:val="es-ES"/>
        </w:rPr>
        <w:t>C-842 de 2010</w:t>
      </w:r>
      <w:r w:rsidR="007F2519" w:rsidRPr="00A34EB0">
        <w:rPr>
          <w:rFonts w:ascii="Times New Roman" w:hAnsi="Times New Roman" w:cs="Times New Roman"/>
          <w:sz w:val="20"/>
          <w:szCs w:val="20"/>
          <w:lang w:val="es-ES"/>
        </w:rPr>
        <w:t xml:space="preserve">, </w:t>
      </w:r>
      <w:r w:rsidR="001A72C7" w:rsidRPr="00A34EB0">
        <w:rPr>
          <w:rFonts w:ascii="Times New Roman" w:hAnsi="Times New Roman" w:cs="Times New Roman"/>
          <w:sz w:val="20"/>
          <w:szCs w:val="20"/>
          <w:lang w:val="es-ES"/>
        </w:rPr>
        <w:t xml:space="preserve">C-259 de 2015, </w:t>
      </w:r>
      <w:r w:rsidR="007F2519" w:rsidRPr="00A34EB0">
        <w:rPr>
          <w:rFonts w:ascii="Times New Roman" w:hAnsi="Times New Roman" w:cs="Times New Roman"/>
          <w:sz w:val="20"/>
          <w:szCs w:val="20"/>
          <w:lang w:val="es-ES"/>
        </w:rPr>
        <w:t>C-136 de 2017, C-294 de 2022</w:t>
      </w:r>
      <w:r w:rsidR="001A72C7" w:rsidRPr="00A34EB0">
        <w:rPr>
          <w:rFonts w:ascii="Times New Roman" w:hAnsi="Times New Roman" w:cs="Times New Roman"/>
          <w:sz w:val="20"/>
          <w:szCs w:val="20"/>
          <w:lang w:val="es-ES"/>
        </w:rPr>
        <w:t>,</w:t>
      </w:r>
      <w:r w:rsidR="007F2519" w:rsidRPr="00A34EB0">
        <w:rPr>
          <w:rFonts w:ascii="Times New Roman" w:hAnsi="Times New Roman" w:cs="Times New Roman"/>
          <w:sz w:val="20"/>
          <w:szCs w:val="20"/>
          <w:lang w:val="es-ES"/>
        </w:rPr>
        <w:t xml:space="preserve"> </w:t>
      </w:r>
      <w:r w:rsidR="001A72C7" w:rsidRPr="00A34EB0">
        <w:rPr>
          <w:rFonts w:ascii="Times New Roman" w:hAnsi="Times New Roman" w:cs="Times New Roman"/>
          <w:sz w:val="20"/>
          <w:szCs w:val="20"/>
          <w:lang w:val="es-ES"/>
        </w:rPr>
        <w:t xml:space="preserve">C-212 de 2024 y </w:t>
      </w:r>
      <w:r w:rsidR="007F2519" w:rsidRPr="00A34EB0">
        <w:rPr>
          <w:rFonts w:ascii="Times New Roman" w:hAnsi="Times New Roman" w:cs="Times New Roman"/>
          <w:sz w:val="20"/>
          <w:szCs w:val="20"/>
          <w:lang w:val="es-ES"/>
        </w:rPr>
        <w:t>C-097 de 2025</w:t>
      </w:r>
      <w:r w:rsidR="001A72C7" w:rsidRPr="00A34EB0">
        <w:rPr>
          <w:rFonts w:ascii="Times New Roman" w:hAnsi="Times New Roman" w:cs="Times New Roman"/>
          <w:sz w:val="20"/>
          <w:szCs w:val="20"/>
          <w:lang w:val="es-ES"/>
        </w:rPr>
        <w:t xml:space="preserve">, </w:t>
      </w:r>
      <w:r w:rsidR="007F2519" w:rsidRPr="00A34EB0">
        <w:rPr>
          <w:rFonts w:ascii="Times New Roman" w:hAnsi="Times New Roman" w:cs="Times New Roman"/>
          <w:sz w:val="20"/>
          <w:szCs w:val="20"/>
          <w:lang w:val="es-ES"/>
        </w:rPr>
        <w:t>entre otras.</w:t>
      </w:r>
    </w:p>
  </w:footnote>
  <w:footnote w:id="27">
    <w:p w14:paraId="0692FD06" w14:textId="705D8BA5" w:rsidR="00745798" w:rsidRPr="00A34EB0" w:rsidRDefault="00745798" w:rsidP="007922EC">
      <w:pPr>
        <w:pStyle w:val="Textonotapie"/>
        <w:rPr>
          <w:rFonts w:ascii="Times New Roman" w:hAnsi="Times New Roman" w:cs="Times New Roman"/>
          <w:sz w:val="20"/>
          <w:szCs w:val="20"/>
          <w:lang w:val="es-ES"/>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w:t>
      </w:r>
      <w:r w:rsidRPr="00A34EB0">
        <w:rPr>
          <w:rFonts w:ascii="Times New Roman" w:hAnsi="Times New Roman" w:cs="Times New Roman"/>
          <w:sz w:val="20"/>
          <w:szCs w:val="20"/>
          <w:lang w:val="es-ES"/>
        </w:rPr>
        <w:t xml:space="preserve">Así, en la </w:t>
      </w:r>
      <w:r w:rsidR="004F33F6" w:rsidRPr="00A34EB0">
        <w:rPr>
          <w:rFonts w:ascii="Times New Roman" w:hAnsi="Times New Roman" w:cs="Times New Roman"/>
          <w:sz w:val="20"/>
          <w:szCs w:val="20"/>
          <w:lang w:val="es-ES"/>
        </w:rPr>
        <w:t>C-418 de 2014, la Corte afirmó su competencia señalando que “</w:t>
      </w:r>
      <w:r w:rsidR="00D966A2" w:rsidRPr="00A34EB0">
        <w:rPr>
          <w:rFonts w:ascii="Times New Roman" w:hAnsi="Times New Roman" w:cs="Times New Roman"/>
          <w:i/>
          <w:iCs/>
          <w:sz w:val="20"/>
          <w:szCs w:val="20"/>
          <w:lang w:val="es-ES"/>
        </w:rPr>
        <w:t>es posible asumir excepcionalmente el control de constitucionalidad frente a interpretaciones abiertamente contrarias a la Constitución Política, a través del concepto del derecho viviente</w:t>
      </w:r>
      <w:r w:rsidR="004F33F6" w:rsidRPr="00A34EB0">
        <w:rPr>
          <w:rFonts w:ascii="Times New Roman" w:hAnsi="Times New Roman" w:cs="Times New Roman"/>
          <w:sz w:val="20"/>
          <w:szCs w:val="20"/>
          <w:lang w:val="es-ES"/>
        </w:rPr>
        <w:t>”</w:t>
      </w:r>
      <w:r w:rsidR="00D966A2" w:rsidRPr="00A34EB0">
        <w:rPr>
          <w:rFonts w:ascii="Times New Roman" w:hAnsi="Times New Roman" w:cs="Times New Roman"/>
          <w:sz w:val="20"/>
          <w:szCs w:val="20"/>
          <w:lang w:val="es-ES"/>
        </w:rPr>
        <w:t xml:space="preserve">. </w:t>
      </w:r>
    </w:p>
  </w:footnote>
  <w:footnote w:id="28">
    <w:p w14:paraId="7B90C7DD" w14:textId="77777777" w:rsidR="0052070A" w:rsidRPr="00A34EB0" w:rsidRDefault="0052070A" w:rsidP="007922EC">
      <w:pPr>
        <w:pStyle w:val="Textonotapie"/>
        <w:jc w:val="both"/>
        <w:rPr>
          <w:rFonts w:ascii="Times New Roman" w:hAnsi="Times New Roman" w:cs="Times New Roman"/>
          <w:color w:val="000000" w:themeColor="text1"/>
          <w:sz w:val="20"/>
          <w:szCs w:val="20"/>
          <w:lang w:val="es-ES_tradnl"/>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Corte Constitucional, sentencia C-212 de 2024.</w:t>
      </w:r>
    </w:p>
    <w:p w14:paraId="311D3105" w14:textId="7C506B6F" w:rsidR="0052070A" w:rsidRPr="00A34EB0" w:rsidRDefault="0052070A" w:rsidP="007922EC">
      <w:pPr>
        <w:pStyle w:val="Textonotapie"/>
        <w:rPr>
          <w:rFonts w:ascii="Times New Roman" w:hAnsi="Times New Roman" w:cs="Times New Roman"/>
          <w:sz w:val="20"/>
          <w:szCs w:val="20"/>
          <w:lang w:val="es-ES_tradnl"/>
        </w:rPr>
      </w:pPr>
    </w:p>
  </w:footnote>
  <w:footnote w:id="29">
    <w:p w14:paraId="624C5157" w14:textId="26492117" w:rsidR="00062F4C" w:rsidRPr="00A34EB0" w:rsidRDefault="00062F4C" w:rsidP="007922EC">
      <w:pPr>
        <w:pStyle w:val="Textonotapie"/>
        <w:jc w:val="both"/>
        <w:rPr>
          <w:rFonts w:ascii="Times New Roman" w:hAnsi="Times New Roman" w:cs="Times New Roman"/>
          <w:color w:val="000000" w:themeColor="text1"/>
          <w:sz w:val="20"/>
          <w:szCs w:val="20"/>
          <w:lang w:val="es-ES_tradnl"/>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w:t>
      </w:r>
      <w:r w:rsidRPr="00A34EB0">
        <w:rPr>
          <w:rFonts w:ascii="Times New Roman" w:hAnsi="Times New Roman" w:cs="Times New Roman"/>
          <w:color w:val="000000" w:themeColor="text1"/>
          <w:sz w:val="20"/>
          <w:szCs w:val="20"/>
          <w:lang w:val="es-ES_tradnl"/>
        </w:rPr>
        <w:t>Corte Constitucional, sentencia C-802 de 2008 (negrilla fuera del texto).</w:t>
      </w:r>
    </w:p>
  </w:footnote>
  <w:footnote w:id="30">
    <w:p w14:paraId="5A2FF944" w14:textId="0DFC06E4" w:rsidR="00A34EB0" w:rsidRPr="00A34EB0" w:rsidRDefault="00A34EB0" w:rsidP="00A34EB0">
      <w:pPr>
        <w:pStyle w:val="Textonotapie"/>
        <w:jc w:val="both"/>
        <w:rPr>
          <w:rFonts w:ascii="Times New Roman" w:hAnsi="Times New Roman" w:cs="Times New Roman"/>
          <w:sz w:val="20"/>
          <w:szCs w:val="20"/>
          <w:lang w:val="es-MX"/>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Corte Constitucional, sentencias C-342 de 2017 y SU-</w:t>
      </w:r>
      <w:r w:rsidR="00815F29">
        <w:rPr>
          <w:rFonts w:ascii="Times New Roman" w:hAnsi="Times New Roman" w:cs="Times New Roman"/>
          <w:sz w:val="20"/>
          <w:szCs w:val="20"/>
        </w:rPr>
        <w:t>220 de 2024.</w:t>
      </w:r>
    </w:p>
  </w:footnote>
  <w:footnote w:id="31">
    <w:p w14:paraId="49D8127E" w14:textId="5D003456" w:rsidR="004768FA" w:rsidRPr="00A34EB0" w:rsidRDefault="004768FA" w:rsidP="007922EC">
      <w:pPr>
        <w:pStyle w:val="Textonotapie"/>
        <w:jc w:val="both"/>
        <w:rPr>
          <w:rFonts w:ascii="Times New Roman" w:hAnsi="Times New Roman" w:cs="Times New Roman"/>
          <w:color w:val="000000" w:themeColor="text1"/>
          <w:sz w:val="20"/>
          <w:szCs w:val="20"/>
          <w:lang w:val="es-ES_tradnl"/>
        </w:rPr>
      </w:pPr>
      <w:r w:rsidRPr="00A34EB0">
        <w:rPr>
          <w:rStyle w:val="Refdenotaalpie"/>
          <w:rFonts w:ascii="Times New Roman" w:hAnsi="Times New Roman" w:cs="Times New Roman"/>
          <w:sz w:val="20"/>
          <w:szCs w:val="20"/>
        </w:rPr>
        <w:footnoteRef/>
      </w:r>
      <w:r w:rsidRPr="00A34EB0">
        <w:rPr>
          <w:rFonts w:ascii="Times New Roman" w:hAnsi="Times New Roman" w:cs="Times New Roman"/>
          <w:sz w:val="20"/>
          <w:szCs w:val="20"/>
        </w:rPr>
        <w:t xml:space="preserve"> Sala de Casación Penal de la Corte Suprema de Justicia, sentencia </w:t>
      </w:r>
      <w:r w:rsidRPr="00A34EB0">
        <w:rPr>
          <w:rFonts w:ascii="Times New Roman" w:hAnsi="Times New Roman" w:cs="Times New Roman"/>
          <w:color w:val="000000" w:themeColor="text1"/>
          <w:sz w:val="20"/>
          <w:szCs w:val="20"/>
        </w:rPr>
        <w:t>STP8591-2023 del 23 de agosto de 2023 (negrilla fuera del texto).</w:t>
      </w:r>
    </w:p>
  </w:footnote>
  <w:footnote w:id="32">
    <w:p w14:paraId="06F14BF4" w14:textId="0A9A2E89" w:rsidR="00F76A08" w:rsidRPr="00A34EB0" w:rsidRDefault="00F76A08" w:rsidP="007922EC">
      <w:pPr>
        <w:pStyle w:val="Textonotapie"/>
        <w:jc w:val="both"/>
        <w:rPr>
          <w:rFonts w:ascii="Times New Roman" w:hAnsi="Times New Roman" w:cs="Times New Roman"/>
          <w:i/>
          <w:iCs/>
          <w:color w:val="000000" w:themeColor="text1"/>
          <w:sz w:val="20"/>
          <w:szCs w:val="20"/>
          <w:lang w:val="es-ES_tradnl"/>
        </w:rPr>
      </w:pPr>
      <w:r w:rsidRPr="00A34EB0">
        <w:rPr>
          <w:rStyle w:val="Refdenotaalpie"/>
          <w:rFonts w:ascii="Times New Roman" w:hAnsi="Times New Roman" w:cs="Times New Roman"/>
          <w:color w:val="000000" w:themeColor="text1"/>
          <w:sz w:val="20"/>
          <w:szCs w:val="20"/>
        </w:rPr>
        <w:footnoteRef/>
      </w:r>
      <w:r w:rsidRPr="00A34EB0">
        <w:rPr>
          <w:rFonts w:ascii="Times New Roman" w:hAnsi="Times New Roman" w:cs="Times New Roman"/>
          <w:color w:val="000000" w:themeColor="text1"/>
          <w:sz w:val="20"/>
          <w:szCs w:val="20"/>
        </w:rPr>
        <w:t xml:space="preserve"> Corte Constitucional, sentencia SU-220 de 2024: “</w:t>
      </w:r>
      <w:r w:rsidRPr="00A34EB0">
        <w:rPr>
          <w:rFonts w:ascii="Times New Roman" w:hAnsi="Times New Roman" w:cs="Times New Roman"/>
          <w:i/>
          <w:iCs/>
          <w:color w:val="000000" w:themeColor="text1"/>
          <w:sz w:val="20"/>
          <w:szCs w:val="20"/>
          <w:shd w:val="clear" w:color="auto" w:fill="FFFFFF"/>
        </w:rPr>
        <w:t>la Sala Plena estudió el deber de motivación que debe tener en cuenta el juez penal al ordenar la captura de un procesado en el anuncio del sentido del fallo o en la sentencia y constató que existe una disparidad de criterios en la Corte Suprema de Justicia respecto a cómo se satisface dicho deber. En efecto, la Sala Plena observó que, en menos de un año, la Corte Suprema ha defendido tres interpretaciones diferentes sobre el estándar de motivación de la orden de captura</w:t>
      </w:r>
      <w:r w:rsidRPr="00A34EB0">
        <w:rPr>
          <w:rFonts w:ascii="Times New Roman" w:hAnsi="Times New Roman" w:cs="Times New Roman"/>
          <w:color w:val="000000" w:themeColor="text1"/>
          <w:sz w:val="20"/>
          <w:szCs w:val="20"/>
          <w:shd w:val="clear" w:color="auto" w:fill="FFFFFF"/>
        </w:rPr>
        <w:t>”</w:t>
      </w:r>
      <w:r w:rsidRPr="00A34EB0">
        <w:rPr>
          <w:rFonts w:ascii="Times New Roman" w:hAnsi="Times New Roman" w:cs="Times New Roman"/>
          <w:i/>
          <w:iCs/>
          <w:color w:val="000000" w:themeColor="text1"/>
          <w:sz w:val="20"/>
          <w:szCs w:val="20"/>
          <w:shd w:val="clear" w:color="auto" w:fill="FFFFFF"/>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D1C3A" w14:textId="087F6C4E" w:rsidR="00F42A38" w:rsidRPr="00D061DF" w:rsidRDefault="00827A4D" w:rsidP="00536528">
    <w:pPr>
      <w:pStyle w:val="Encabezado"/>
      <w:tabs>
        <w:tab w:val="clear" w:pos="4419"/>
        <w:tab w:val="clear" w:pos="8838"/>
        <w:tab w:val="left" w:pos="2314"/>
      </w:tabs>
      <w:jc w:val="right"/>
      <w:rPr>
        <w:iCs/>
        <w:sz w:val="20"/>
        <w:lang w:val="es-CO"/>
      </w:rPr>
    </w:pPr>
    <w:r w:rsidRPr="00D061DF">
      <w:rPr>
        <w:iCs/>
        <w:sz w:val="20"/>
        <w:lang w:val="es-CO"/>
      </w:rPr>
      <w:t>Expediente D-1</w:t>
    </w:r>
    <w:r w:rsidR="0016189B">
      <w:rPr>
        <w:iCs/>
        <w:sz w:val="20"/>
        <w:lang w:val="es-CO"/>
      </w:rPr>
      <w:t>5594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D3A1" w14:textId="77777777" w:rsidR="00F42A38" w:rsidRPr="00D061DF" w:rsidRDefault="00F42A38" w:rsidP="00863536">
    <w:pPr>
      <w:pStyle w:val="Encabezado"/>
      <w:jc w:val="center"/>
      <w:rPr>
        <w:b/>
        <w:bCs/>
        <w:sz w:val="28"/>
        <w:szCs w:val="28"/>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83D"/>
    <w:multiLevelType w:val="hybridMultilevel"/>
    <w:tmpl w:val="B6125102"/>
    <w:lvl w:ilvl="0" w:tplc="240A0017">
      <w:start w:val="7"/>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C37BDF"/>
    <w:multiLevelType w:val="hybridMultilevel"/>
    <w:tmpl w:val="52C25FDE"/>
    <w:lvl w:ilvl="0" w:tplc="FFFFFFFF">
      <w:start w:val="1"/>
      <w:numFmt w:val="upp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E065A4"/>
    <w:multiLevelType w:val="hybridMultilevel"/>
    <w:tmpl w:val="60563B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41E155C"/>
    <w:multiLevelType w:val="hybridMultilevel"/>
    <w:tmpl w:val="659A5E00"/>
    <w:lvl w:ilvl="0" w:tplc="FFFFFFFF">
      <w:start w:val="4"/>
      <w:numFmt w:val="upperLetter"/>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D635C1"/>
    <w:multiLevelType w:val="hybridMultilevel"/>
    <w:tmpl w:val="C38C695E"/>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66D4121"/>
    <w:multiLevelType w:val="hybridMultilevel"/>
    <w:tmpl w:val="7E4CBA0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AFA5D6B"/>
    <w:multiLevelType w:val="hybridMultilevel"/>
    <w:tmpl w:val="75D4C1AA"/>
    <w:lvl w:ilvl="0" w:tplc="D7266EAE">
      <w:start w:val="4"/>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0D12260B"/>
    <w:multiLevelType w:val="hybridMultilevel"/>
    <w:tmpl w:val="6AF4AE00"/>
    <w:lvl w:ilvl="0" w:tplc="822C6212">
      <w:start w:val="4"/>
      <w:numFmt w:val="upperLetter"/>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EEF2089"/>
    <w:multiLevelType w:val="hybridMultilevel"/>
    <w:tmpl w:val="C5B0A09C"/>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FDD56A5"/>
    <w:multiLevelType w:val="hybridMultilevel"/>
    <w:tmpl w:val="9AF659F0"/>
    <w:lvl w:ilvl="0" w:tplc="EA963D80">
      <w:numFmt w:val="bullet"/>
      <w:lvlText w:val="-"/>
      <w:lvlJc w:val="left"/>
      <w:pPr>
        <w:ind w:left="720" w:hanging="360"/>
      </w:pPr>
      <w:rPr>
        <w:rFonts w:ascii="Times New Roman" w:eastAsia="Times New Roman" w:hAnsi="Times New Roman"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157E3EFE"/>
    <w:multiLevelType w:val="hybridMultilevel"/>
    <w:tmpl w:val="86F04BBC"/>
    <w:lvl w:ilvl="0" w:tplc="1B12DBB2">
      <w:start w:val="1"/>
      <w:numFmt w:val="decimal"/>
      <w:lvlText w:val="%1."/>
      <w:lvlJc w:val="left"/>
      <w:pPr>
        <w:ind w:left="5464" w:hanging="360"/>
      </w:pPr>
      <w:rPr>
        <w:rFonts w:ascii="Times New Roman" w:hAnsi="Times New Roman" w:cs="Times New Roman" w:hint="default"/>
        <w:b w:val="0"/>
        <w:bCs w:val="0"/>
        <w:i w:val="0"/>
        <w:iCs w:val="0"/>
        <w:sz w:val="28"/>
        <w:szCs w:val="28"/>
      </w:rPr>
    </w:lvl>
    <w:lvl w:ilvl="1" w:tplc="93AE24AA">
      <w:start w:val="1"/>
      <w:numFmt w:val="lowerRoman"/>
      <w:lvlText w:val="(%2)"/>
      <w:lvlJc w:val="left"/>
      <w:pPr>
        <w:ind w:left="1800" w:hanging="720"/>
      </w:pPr>
      <w:rPr>
        <w:rFonts w:hint="default"/>
        <w:b w:val="0"/>
        <w:bCs/>
        <w:i w:val="0"/>
        <w:iCs/>
      </w:rPr>
    </w:lvl>
    <w:lvl w:ilvl="2" w:tplc="DCEE4E9E">
      <w:start w:val="1"/>
      <w:numFmt w:val="low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18B229AF"/>
    <w:multiLevelType w:val="hybridMultilevel"/>
    <w:tmpl w:val="79FE8642"/>
    <w:lvl w:ilvl="0" w:tplc="FFFFFFFF">
      <w:start w:val="1"/>
      <w:numFmt w:val="decimal"/>
      <w:lvlText w:val="%1."/>
      <w:lvlJc w:val="left"/>
      <w:pPr>
        <w:ind w:left="1637"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A84176"/>
    <w:multiLevelType w:val="multilevel"/>
    <w:tmpl w:val="0792C9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1199A"/>
    <w:multiLevelType w:val="hybridMultilevel"/>
    <w:tmpl w:val="B7ACE3CA"/>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4923FDC"/>
    <w:multiLevelType w:val="hybridMultilevel"/>
    <w:tmpl w:val="6CDE0644"/>
    <w:lvl w:ilvl="0" w:tplc="D536FA2C">
      <w:start w:val="1"/>
      <w:numFmt w:val="decimal"/>
      <w:lvlText w:val="%1."/>
      <w:lvlJc w:val="left"/>
      <w:pPr>
        <w:ind w:left="720" w:hanging="360"/>
      </w:pPr>
      <w:rPr>
        <w:rFonts w:hint="default"/>
        <w:b w:val="0"/>
        <w:bCs/>
        <w:i w:val="0"/>
        <w:i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7CD1855"/>
    <w:multiLevelType w:val="multilevel"/>
    <w:tmpl w:val="7EC4C232"/>
    <w:styleLink w:val="Listaactual1"/>
    <w:lvl w:ilvl="0">
      <w:start w:val="4"/>
      <w:numFmt w:val="upperRoman"/>
      <w:lvlText w:val="%1."/>
      <w:lvlJc w:val="left"/>
      <w:pPr>
        <w:ind w:left="-705" w:hanging="720"/>
      </w:pPr>
      <w:rPr>
        <w:rFonts w:hint="default"/>
      </w:rPr>
    </w:lvl>
    <w:lvl w:ilvl="1">
      <w:start w:val="1"/>
      <w:numFmt w:val="lowerLetter"/>
      <w:lvlText w:val="%2."/>
      <w:lvlJc w:val="left"/>
      <w:pPr>
        <w:ind w:left="-345" w:hanging="360"/>
      </w:pPr>
    </w:lvl>
    <w:lvl w:ilvl="2">
      <w:start w:val="1"/>
      <w:numFmt w:val="lowerRoman"/>
      <w:lvlText w:val="%3."/>
      <w:lvlJc w:val="right"/>
      <w:pPr>
        <w:ind w:left="375" w:hanging="180"/>
      </w:pPr>
    </w:lvl>
    <w:lvl w:ilvl="3">
      <w:start w:val="1"/>
      <w:numFmt w:val="decimal"/>
      <w:lvlText w:val="%4."/>
      <w:lvlJc w:val="left"/>
      <w:pPr>
        <w:ind w:left="1095" w:hanging="360"/>
      </w:pPr>
    </w:lvl>
    <w:lvl w:ilvl="4">
      <w:start w:val="1"/>
      <w:numFmt w:val="lowerLetter"/>
      <w:lvlText w:val="%5."/>
      <w:lvlJc w:val="left"/>
      <w:pPr>
        <w:ind w:left="1815" w:hanging="360"/>
      </w:pPr>
    </w:lvl>
    <w:lvl w:ilvl="5">
      <w:start w:val="1"/>
      <w:numFmt w:val="lowerRoman"/>
      <w:lvlText w:val="%6."/>
      <w:lvlJc w:val="right"/>
      <w:pPr>
        <w:ind w:left="2535" w:hanging="180"/>
      </w:pPr>
    </w:lvl>
    <w:lvl w:ilvl="6">
      <w:start w:val="1"/>
      <w:numFmt w:val="decimal"/>
      <w:lvlText w:val="%7."/>
      <w:lvlJc w:val="left"/>
      <w:pPr>
        <w:ind w:left="3255" w:hanging="360"/>
      </w:pPr>
    </w:lvl>
    <w:lvl w:ilvl="7">
      <w:start w:val="1"/>
      <w:numFmt w:val="lowerLetter"/>
      <w:lvlText w:val="%8."/>
      <w:lvlJc w:val="left"/>
      <w:pPr>
        <w:ind w:left="3975" w:hanging="360"/>
      </w:pPr>
    </w:lvl>
    <w:lvl w:ilvl="8">
      <w:start w:val="1"/>
      <w:numFmt w:val="lowerRoman"/>
      <w:lvlText w:val="%9."/>
      <w:lvlJc w:val="right"/>
      <w:pPr>
        <w:ind w:left="4695" w:hanging="180"/>
      </w:pPr>
    </w:lvl>
  </w:abstractNum>
  <w:abstractNum w:abstractNumId="16" w15:restartNumberingAfterBreak="0">
    <w:nsid w:val="29FB2B97"/>
    <w:multiLevelType w:val="hybridMultilevel"/>
    <w:tmpl w:val="60DC38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AFB154F"/>
    <w:multiLevelType w:val="hybridMultilevel"/>
    <w:tmpl w:val="683AFAFA"/>
    <w:lvl w:ilvl="0" w:tplc="16EEF7C4">
      <w:start w:val="3"/>
      <w:numFmt w:val="upperLetter"/>
      <w:lvlText w:val="%1."/>
      <w:lvlJc w:val="left"/>
      <w:pPr>
        <w:ind w:left="144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2CA27DCB"/>
    <w:multiLevelType w:val="hybridMultilevel"/>
    <w:tmpl w:val="6FB02E6E"/>
    <w:lvl w:ilvl="0" w:tplc="FDA41120">
      <w:start w:val="1"/>
      <w:numFmt w:val="upperRoman"/>
      <w:lvlText w:val="%1."/>
      <w:lvlJc w:val="left"/>
      <w:pPr>
        <w:ind w:left="1080" w:hanging="720"/>
      </w:pPr>
      <w:rPr>
        <w:rFonts w:hint="default"/>
      </w:rPr>
    </w:lvl>
    <w:lvl w:ilvl="1" w:tplc="080A0015">
      <w:start w:val="1"/>
      <w:numFmt w:val="upperLetter"/>
      <w:lvlText w:val="%2."/>
      <w:lvlJc w:val="left"/>
      <w:pPr>
        <w:ind w:left="1440" w:hanging="360"/>
      </w:pPr>
    </w:lvl>
    <w:lvl w:ilvl="2" w:tplc="F7F06600">
      <w:start w:val="1"/>
      <w:numFmt w:val="lowerRoman"/>
      <w:lvlText w:val="(%3)"/>
      <w:lvlJc w:val="left"/>
      <w:pPr>
        <w:ind w:left="2700" w:hanging="72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BD6C72"/>
    <w:multiLevelType w:val="hybridMultilevel"/>
    <w:tmpl w:val="52C25FDE"/>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2DD511B9"/>
    <w:multiLevelType w:val="hybridMultilevel"/>
    <w:tmpl w:val="145E9E2A"/>
    <w:lvl w:ilvl="0" w:tplc="E7A66174">
      <w:start w:val="1"/>
      <w:numFmt w:val="low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1B65755"/>
    <w:multiLevelType w:val="hybridMultilevel"/>
    <w:tmpl w:val="608691EE"/>
    <w:lvl w:ilvl="0" w:tplc="B9AA48F0">
      <w:start w:val="1"/>
      <w:numFmt w:val="decimal"/>
      <w:lvlText w:val="%1."/>
      <w:lvlJc w:val="left"/>
      <w:pPr>
        <w:ind w:left="720" w:hanging="360"/>
      </w:pPr>
      <w:rPr>
        <w:b w:val="0"/>
        <w:i w:val="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456116D"/>
    <w:multiLevelType w:val="multilevel"/>
    <w:tmpl w:val="6EE4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74866"/>
    <w:multiLevelType w:val="multilevel"/>
    <w:tmpl w:val="519E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CB45EA"/>
    <w:multiLevelType w:val="multilevel"/>
    <w:tmpl w:val="E406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9D361A"/>
    <w:multiLevelType w:val="hybridMultilevel"/>
    <w:tmpl w:val="24F2D312"/>
    <w:lvl w:ilvl="0" w:tplc="240A000F">
      <w:start w:val="1"/>
      <w:numFmt w:val="decimal"/>
      <w:lvlText w:val="%1."/>
      <w:lvlJc w:val="left"/>
      <w:pPr>
        <w:ind w:left="36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2E6333A"/>
    <w:multiLevelType w:val="hybridMultilevel"/>
    <w:tmpl w:val="6E680756"/>
    <w:lvl w:ilvl="0" w:tplc="32F06AD6">
      <w:start w:val="1"/>
      <w:numFmt w:val="decimal"/>
      <w:lvlText w:val="%1."/>
      <w:lvlJc w:val="left"/>
      <w:pPr>
        <w:ind w:left="355" w:hanging="360"/>
      </w:pPr>
      <w:rPr>
        <w:rFonts w:ascii="Times New Roman" w:hAnsi="Times New Roman" w:cs="Times New Roman" w:hint="default"/>
        <w:b w:val="0"/>
        <w:bCs w:val="0"/>
        <w:i w:val="0"/>
        <w:iCs/>
        <w:color w:val="auto"/>
        <w:sz w:val="28"/>
        <w:szCs w:val="28"/>
      </w:rPr>
    </w:lvl>
    <w:lvl w:ilvl="1" w:tplc="240A0019" w:tentative="1">
      <w:start w:val="1"/>
      <w:numFmt w:val="lowerLetter"/>
      <w:lvlText w:val="%2."/>
      <w:lvlJc w:val="left"/>
      <w:pPr>
        <w:ind w:left="1075" w:hanging="360"/>
      </w:pPr>
    </w:lvl>
    <w:lvl w:ilvl="2" w:tplc="240A001B" w:tentative="1">
      <w:start w:val="1"/>
      <w:numFmt w:val="lowerRoman"/>
      <w:lvlText w:val="%3."/>
      <w:lvlJc w:val="right"/>
      <w:pPr>
        <w:ind w:left="1795" w:hanging="180"/>
      </w:pPr>
    </w:lvl>
    <w:lvl w:ilvl="3" w:tplc="240A000F" w:tentative="1">
      <w:start w:val="1"/>
      <w:numFmt w:val="decimal"/>
      <w:lvlText w:val="%4."/>
      <w:lvlJc w:val="left"/>
      <w:pPr>
        <w:ind w:left="2515" w:hanging="360"/>
      </w:pPr>
    </w:lvl>
    <w:lvl w:ilvl="4" w:tplc="240A0019" w:tentative="1">
      <w:start w:val="1"/>
      <w:numFmt w:val="lowerLetter"/>
      <w:lvlText w:val="%5."/>
      <w:lvlJc w:val="left"/>
      <w:pPr>
        <w:ind w:left="3235" w:hanging="360"/>
      </w:pPr>
    </w:lvl>
    <w:lvl w:ilvl="5" w:tplc="240A001B" w:tentative="1">
      <w:start w:val="1"/>
      <w:numFmt w:val="lowerRoman"/>
      <w:lvlText w:val="%6."/>
      <w:lvlJc w:val="right"/>
      <w:pPr>
        <w:ind w:left="3955" w:hanging="180"/>
      </w:pPr>
    </w:lvl>
    <w:lvl w:ilvl="6" w:tplc="240A000F" w:tentative="1">
      <w:start w:val="1"/>
      <w:numFmt w:val="decimal"/>
      <w:lvlText w:val="%7."/>
      <w:lvlJc w:val="left"/>
      <w:pPr>
        <w:ind w:left="4675" w:hanging="360"/>
      </w:pPr>
    </w:lvl>
    <w:lvl w:ilvl="7" w:tplc="240A0019" w:tentative="1">
      <w:start w:val="1"/>
      <w:numFmt w:val="lowerLetter"/>
      <w:lvlText w:val="%8."/>
      <w:lvlJc w:val="left"/>
      <w:pPr>
        <w:ind w:left="5395" w:hanging="360"/>
      </w:pPr>
    </w:lvl>
    <w:lvl w:ilvl="8" w:tplc="240A001B" w:tentative="1">
      <w:start w:val="1"/>
      <w:numFmt w:val="lowerRoman"/>
      <w:lvlText w:val="%9."/>
      <w:lvlJc w:val="right"/>
      <w:pPr>
        <w:ind w:left="6115" w:hanging="180"/>
      </w:pPr>
    </w:lvl>
  </w:abstractNum>
  <w:abstractNum w:abstractNumId="27" w15:restartNumberingAfterBreak="0">
    <w:nsid w:val="498A08D6"/>
    <w:multiLevelType w:val="hybridMultilevel"/>
    <w:tmpl w:val="5B008E4A"/>
    <w:lvl w:ilvl="0" w:tplc="FFD64B34">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BC634EE"/>
    <w:multiLevelType w:val="multilevel"/>
    <w:tmpl w:val="FFFFFFFF"/>
    <w:lvl w:ilvl="0">
      <w:start w:val="1"/>
      <w:numFmt w:val="decimal"/>
      <w:lvlText w:val="%1."/>
      <w:lvlJc w:val="left"/>
      <w:pPr>
        <w:ind w:left="360" w:hanging="360"/>
      </w:pPr>
      <w:rPr>
        <w:rFonts w:cs="Times New Roman"/>
        <w:b w:val="0"/>
        <w:i w:val="0"/>
        <w:color w:val="000000" w:themeColor="text1"/>
        <w:sz w:val="28"/>
        <w:szCs w:val="28"/>
        <w:vertAlign w:val="baseline"/>
      </w:rPr>
    </w:lvl>
    <w:lvl w:ilvl="1">
      <w:start w:val="1"/>
      <w:numFmt w:val="decimal"/>
      <w:lvlText w:val="%1.%2."/>
      <w:lvlJc w:val="left"/>
      <w:pPr>
        <w:ind w:left="432" w:hanging="432"/>
      </w:pPr>
      <w:rPr>
        <w:rFonts w:cs="Times New Roman"/>
        <w:b w:val="0"/>
        <w:i w:val="0"/>
        <w:color w:val="000000"/>
        <w:vertAlign w:val="baseline"/>
      </w:rPr>
    </w:lvl>
    <w:lvl w:ilvl="2">
      <w:start w:val="1"/>
      <w:numFmt w:val="decimal"/>
      <w:lvlText w:val="%1.%2.%3."/>
      <w:lvlJc w:val="left"/>
      <w:pPr>
        <w:ind w:left="1224" w:hanging="504"/>
      </w:pPr>
      <w:rPr>
        <w:rFonts w:cs="Times New Roman"/>
        <w:i w:val="0"/>
        <w:vertAlign w:val="baseline"/>
      </w:rPr>
    </w:lvl>
    <w:lvl w:ilvl="3">
      <w:start w:val="1"/>
      <w:numFmt w:val="decimal"/>
      <w:lvlText w:val="%1.%2.%3.%4."/>
      <w:lvlJc w:val="left"/>
      <w:pPr>
        <w:ind w:left="1728" w:hanging="647"/>
      </w:pPr>
      <w:rPr>
        <w:rFonts w:cs="Times New Roman"/>
        <w:i w:val="0"/>
        <w:vertAlign w:val="baseline"/>
      </w:rPr>
    </w:lvl>
    <w:lvl w:ilvl="4">
      <w:start w:val="1"/>
      <w:numFmt w:val="decimal"/>
      <w:lvlText w:val="%1.%2.%3.%4.%5."/>
      <w:lvlJc w:val="left"/>
      <w:pPr>
        <w:ind w:left="2232" w:hanging="792"/>
      </w:pPr>
      <w:rPr>
        <w:rFonts w:cs="Times New Roman"/>
        <w:vertAlign w:val="baseline"/>
      </w:rPr>
    </w:lvl>
    <w:lvl w:ilvl="5">
      <w:start w:val="1"/>
      <w:numFmt w:val="decimal"/>
      <w:lvlText w:val="%1.%2.%3.%4.%5.%6."/>
      <w:lvlJc w:val="left"/>
      <w:pPr>
        <w:ind w:left="2736" w:hanging="935"/>
      </w:pPr>
      <w:rPr>
        <w:rFonts w:cs="Times New Roman"/>
        <w:vertAlign w:val="baseline"/>
      </w:rPr>
    </w:lvl>
    <w:lvl w:ilvl="6">
      <w:start w:val="1"/>
      <w:numFmt w:val="decimal"/>
      <w:lvlText w:val="%1.%2.%3.%4.%5.%6.%7."/>
      <w:lvlJc w:val="left"/>
      <w:pPr>
        <w:ind w:left="3240" w:hanging="1080"/>
      </w:pPr>
      <w:rPr>
        <w:rFonts w:cs="Times New Roman"/>
        <w:vertAlign w:val="baseline"/>
      </w:rPr>
    </w:lvl>
    <w:lvl w:ilvl="7">
      <w:start w:val="1"/>
      <w:numFmt w:val="decimal"/>
      <w:lvlText w:val="%1.%2.%3.%4.%5.%6.%7.%8."/>
      <w:lvlJc w:val="left"/>
      <w:pPr>
        <w:ind w:left="3744" w:hanging="1224"/>
      </w:pPr>
      <w:rPr>
        <w:rFonts w:cs="Times New Roman"/>
        <w:vertAlign w:val="baseline"/>
      </w:rPr>
    </w:lvl>
    <w:lvl w:ilvl="8">
      <w:start w:val="1"/>
      <w:numFmt w:val="decimal"/>
      <w:lvlText w:val="%1.%2.%3.%4.%5.%6.%7.%8.%9."/>
      <w:lvlJc w:val="left"/>
      <w:pPr>
        <w:ind w:left="4320" w:hanging="1440"/>
      </w:pPr>
      <w:rPr>
        <w:rFonts w:cs="Times New Roman"/>
        <w:vertAlign w:val="baseline"/>
      </w:rPr>
    </w:lvl>
  </w:abstractNum>
  <w:abstractNum w:abstractNumId="29" w15:restartNumberingAfterBreak="0">
    <w:nsid w:val="51294E8E"/>
    <w:multiLevelType w:val="hybridMultilevel"/>
    <w:tmpl w:val="D4D21E8A"/>
    <w:lvl w:ilvl="0" w:tplc="0A70A75A">
      <w:start w:val="2"/>
      <w:numFmt w:val="lowerRoman"/>
      <w:lvlText w:val="(%1)"/>
      <w:lvlJc w:val="left"/>
      <w:pPr>
        <w:ind w:left="270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4144E93"/>
    <w:multiLevelType w:val="hybridMultilevel"/>
    <w:tmpl w:val="2E92E29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8C53AD2"/>
    <w:multiLevelType w:val="hybridMultilevel"/>
    <w:tmpl w:val="CD28095E"/>
    <w:lvl w:ilvl="0" w:tplc="240A000F">
      <w:start w:val="18"/>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9A308B7"/>
    <w:multiLevelType w:val="hybridMultilevel"/>
    <w:tmpl w:val="E9749362"/>
    <w:lvl w:ilvl="0" w:tplc="240A000F">
      <w:start w:val="3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C243C8"/>
    <w:multiLevelType w:val="hybridMultilevel"/>
    <w:tmpl w:val="1C9605DA"/>
    <w:lvl w:ilvl="0" w:tplc="F7F06600">
      <w:start w:val="1"/>
      <w:numFmt w:val="lowerRoman"/>
      <w:lvlText w:val="(%1)"/>
      <w:lvlJc w:val="left"/>
      <w:pPr>
        <w:ind w:left="270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57C03C9"/>
    <w:multiLevelType w:val="hybridMultilevel"/>
    <w:tmpl w:val="149A9882"/>
    <w:lvl w:ilvl="0" w:tplc="240A0017">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A017AED"/>
    <w:multiLevelType w:val="hybridMultilevel"/>
    <w:tmpl w:val="52C25FDE"/>
    <w:lvl w:ilvl="0" w:tplc="FFFFFFFF">
      <w:start w:val="1"/>
      <w:numFmt w:val="upperLetter"/>
      <w:lvlText w:val="%1."/>
      <w:lvlJc w:val="left"/>
      <w:pPr>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9C2CB6"/>
    <w:multiLevelType w:val="hybridMultilevel"/>
    <w:tmpl w:val="6E680756"/>
    <w:lvl w:ilvl="0" w:tplc="FFFFFFFF">
      <w:start w:val="1"/>
      <w:numFmt w:val="decimal"/>
      <w:lvlText w:val="%1."/>
      <w:lvlJc w:val="left"/>
      <w:pPr>
        <w:ind w:left="355" w:hanging="360"/>
      </w:pPr>
      <w:rPr>
        <w:rFonts w:ascii="Times New Roman" w:hAnsi="Times New Roman" w:cs="Times New Roman" w:hint="default"/>
        <w:b w:val="0"/>
        <w:bCs w:val="0"/>
        <w:i w:val="0"/>
        <w:iCs/>
        <w:color w:val="auto"/>
        <w:sz w:val="28"/>
        <w:szCs w:val="28"/>
      </w:rPr>
    </w:lvl>
    <w:lvl w:ilvl="1" w:tplc="FFFFFFFF" w:tentative="1">
      <w:start w:val="1"/>
      <w:numFmt w:val="lowerLetter"/>
      <w:lvlText w:val="%2."/>
      <w:lvlJc w:val="left"/>
      <w:pPr>
        <w:ind w:left="1075" w:hanging="360"/>
      </w:pPr>
    </w:lvl>
    <w:lvl w:ilvl="2" w:tplc="FFFFFFFF" w:tentative="1">
      <w:start w:val="1"/>
      <w:numFmt w:val="lowerRoman"/>
      <w:lvlText w:val="%3."/>
      <w:lvlJc w:val="right"/>
      <w:pPr>
        <w:ind w:left="1795" w:hanging="180"/>
      </w:pPr>
    </w:lvl>
    <w:lvl w:ilvl="3" w:tplc="FFFFFFFF" w:tentative="1">
      <w:start w:val="1"/>
      <w:numFmt w:val="decimal"/>
      <w:lvlText w:val="%4."/>
      <w:lvlJc w:val="left"/>
      <w:pPr>
        <w:ind w:left="2515" w:hanging="360"/>
      </w:pPr>
    </w:lvl>
    <w:lvl w:ilvl="4" w:tplc="FFFFFFFF" w:tentative="1">
      <w:start w:val="1"/>
      <w:numFmt w:val="lowerLetter"/>
      <w:lvlText w:val="%5."/>
      <w:lvlJc w:val="left"/>
      <w:pPr>
        <w:ind w:left="3235" w:hanging="360"/>
      </w:pPr>
    </w:lvl>
    <w:lvl w:ilvl="5" w:tplc="FFFFFFFF" w:tentative="1">
      <w:start w:val="1"/>
      <w:numFmt w:val="lowerRoman"/>
      <w:lvlText w:val="%6."/>
      <w:lvlJc w:val="right"/>
      <w:pPr>
        <w:ind w:left="3955" w:hanging="180"/>
      </w:pPr>
    </w:lvl>
    <w:lvl w:ilvl="6" w:tplc="FFFFFFFF" w:tentative="1">
      <w:start w:val="1"/>
      <w:numFmt w:val="decimal"/>
      <w:lvlText w:val="%7."/>
      <w:lvlJc w:val="left"/>
      <w:pPr>
        <w:ind w:left="4675" w:hanging="360"/>
      </w:pPr>
    </w:lvl>
    <w:lvl w:ilvl="7" w:tplc="FFFFFFFF" w:tentative="1">
      <w:start w:val="1"/>
      <w:numFmt w:val="lowerLetter"/>
      <w:lvlText w:val="%8."/>
      <w:lvlJc w:val="left"/>
      <w:pPr>
        <w:ind w:left="5395" w:hanging="360"/>
      </w:pPr>
    </w:lvl>
    <w:lvl w:ilvl="8" w:tplc="FFFFFFFF" w:tentative="1">
      <w:start w:val="1"/>
      <w:numFmt w:val="lowerRoman"/>
      <w:lvlText w:val="%9."/>
      <w:lvlJc w:val="right"/>
      <w:pPr>
        <w:ind w:left="6115" w:hanging="180"/>
      </w:pPr>
    </w:lvl>
  </w:abstractNum>
  <w:abstractNum w:abstractNumId="37" w15:restartNumberingAfterBreak="0">
    <w:nsid w:val="6C902C67"/>
    <w:multiLevelType w:val="hybridMultilevel"/>
    <w:tmpl w:val="6D2EF1AA"/>
    <w:lvl w:ilvl="0" w:tplc="2E3E5F32">
      <w:start w:val="4"/>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6D494A14"/>
    <w:multiLevelType w:val="hybridMultilevel"/>
    <w:tmpl w:val="0128C272"/>
    <w:lvl w:ilvl="0" w:tplc="061CE436">
      <w:start w:val="1"/>
      <w:numFmt w:val="decimal"/>
      <w:lvlText w:val="%1."/>
      <w:lvlJc w:val="left"/>
      <w:pPr>
        <w:ind w:left="720" w:hanging="360"/>
      </w:pPr>
      <w:rPr>
        <w:rFonts w:hint="default"/>
        <w:b/>
        <w:bCs/>
        <w:i w:val="0"/>
        <w:iCs w:val="0"/>
        <w:sz w:val="28"/>
        <w:szCs w:val="28"/>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E225A13"/>
    <w:multiLevelType w:val="hybridMultilevel"/>
    <w:tmpl w:val="7EC27FC2"/>
    <w:lvl w:ilvl="0" w:tplc="94FE48AC">
      <w:start w:val="1"/>
      <w:numFmt w:val="decimal"/>
      <w:suff w:val="space"/>
      <w:lvlText w:val="%1."/>
      <w:lvlJc w:val="left"/>
      <w:pPr>
        <w:ind w:left="567" w:hanging="283"/>
      </w:pPr>
      <w:rPr>
        <w:rFonts w:hint="default"/>
        <w:b w:val="0"/>
        <w:bCs w:val="0"/>
        <w:i w:val="0"/>
        <w:iCs w:val="0"/>
        <w:color w:val="auto"/>
        <w:sz w:val="28"/>
        <w:szCs w:val="28"/>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15:restartNumberingAfterBreak="0">
    <w:nsid w:val="753F3EC1"/>
    <w:multiLevelType w:val="hybridMultilevel"/>
    <w:tmpl w:val="4FFE2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6754053"/>
    <w:multiLevelType w:val="hybridMultilevel"/>
    <w:tmpl w:val="D5C81962"/>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72E5F11"/>
    <w:multiLevelType w:val="hybridMultilevel"/>
    <w:tmpl w:val="0AC4635A"/>
    <w:lvl w:ilvl="0" w:tplc="EBACCC4C">
      <w:start w:val="1"/>
      <w:numFmt w:val="lowerRoman"/>
      <w:lvlText w:val="(%1)"/>
      <w:lvlJc w:val="left"/>
      <w:pPr>
        <w:ind w:left="1080" w:hanging="720"/>
      </w:pPr>
      <w:rPr>
        <w:rFonts w:hint="default"/>
        <w:i/>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7E60FB9"/>
    <w:multiLevelType w:val="hybridMultilevel"/>
    <w:tmpl w:val="BC209410"/>
    <w:lvl w:ilvl="0" w:tplc="CAE8B810">
      <w:start w:val="1"/>
      <w:numFmt w:val="lowerLetter"/>
      <w:lvlText w:val="%1)"/>
      <w:lvlJc w:val="left"/>
      <w:pPr>
        <w:ind w:left="720" w:hanging="360"/>
      </w:pPr>
      <w:rPr>
        <w:rFonts w:hint="default"/>
        <w:b/>
        <w:bCs w:val="0"/>
        <w:i/>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77E739DE"/>
    <w:multiLevelType w:val="hybridMultilevel"/>
    <w:tmpl w:val="841821C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15:restartNumberingAfterBreak="0">
    <w:nsid w:val="790C268D"/>
    <w:multiLevelType w:val="hybridMultilevel"/>
    <w:tmpl w:val="C6E8424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79E34F4C"/>
    <w:multiLevelType w:val="hybridMultilevel"/>
    <w:tmpl w:val="79FE8642"/>
    <w:lvl w:ilvl="0" w:tplc="A0E63C42">
      <w:start w:val="1"/>
      <w:numFmt w:val="decimal"/>
      <w:lvlText w:val="%1."/>
      <w:lvlJc w:val="left"/>
      <w:pPr>
        <w:ind w:left="360" w:hanging="360"/>
      </w:pPr>
      <w:rPr>
        <w:rFonts w:hint="default"/>
        <w:b w:val="0"/>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7" w15:restartNumberingAfterBreak="0">
    <w:nsid w:val="7A3A677F"/>
    <w:multiLevelType w:val="multilevel"/>
    <w:tmpl w:val="7134630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8A5432"/>
    <w:multiLevelType w:val="hybridMultilevel"/>
    <w:tmpl w:val="EAF675FE"/>
    <w:lvl w:ilvl="0" w:tplc="579A155C">
      <w:start w:val="3"/>
      <w:numFmt w:val="bullet"/>
      <w:lvlText w:val=""/>
      <w:lvlJc w:val="left"/>
      <w:pPr>
        <w:ind w:left="1068" w:hanging="360"/>
      </w:pPr>
      <w:rPr>
        <w:rFonts w:ascii="Symbol" w:eastAsia="Calibri" w:hAnsi="Symbol" w:cs="Times New Roman"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9" w15:restartNumberingAfterBreak="0">
    <w:nsid w:val="7BA407B6"/>
    <w:multiLevelType w:val="hybridMultilevel"/>
    <w:tmpl w:val="E15C00A4"/>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15:restartNumberingAfterBreak="0">
    <w:nsid w:val="7E9B49B0"/>
    <w:multiLevelType w:val="hybridMultilevel"/>
    <w:tmpl w:val="6FB02E6E"/>
    <w:lvl w:ilvl="0" w:tplc="FFFFFFFF">
      <w:start w:val="1"/>
      <w:numFmt w:val="upperRoman"/>
      <w:lvlText w:val="%1."/>
      <w:lvlJc w:val="left"/>
      <w:pPr>
        <w:ind w:left="1080" w:hanging="720"/>
      </w:pPr>
      <w:rPr>
        <w:rFonts w:hint="default"/>
      </w:rPr>
    </w:lvl>
    <w:lvl w:ilvl="1" w:tplc="FFFFFFFF">
      <w:start w:val="1"/>
      <w:numFmt w:val="upperLetter"/>
      <w:lvlText w:val="%2."/>
      <w:lvlJc w:val="left"/>
      <w:pPr>
        <w:ind w:left="1440" w:hanging="360"/>
      </w:pPr>
    </w:lvl>
    <w:lvl w:ilvl="2" w:tplc="FFFFFFFF">
      <w:start w:val="1"/>
      <w:numFmt w:val="lowerRoman"/>
      <w:lvlText w:val="(%3)"/>
      <w:lvlJc w:val="left"/>
      <w:pPr>
        <w:ind w:left="2700" w:hanging="720"/>
      </w:pPr>
      <w:rPr>
        <w:rFonts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F704695"/>
    <w:multiLevelType w:val="hybridMultilevel"/>
    <w:tmpl w:val="E724F482"/>
    <w:lvl w:ilvl="0" w:tplc="F7F06600">
      <w:start w:val="1"/>
      <w:numFmt w:val="lowerRoman"/>
      <w:lvlText w:val="(%1)"/>
      <w:lvlJc w:val="left"/>
      <w:pPr>
        <w:ind w:left="270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7F8D0660"/>
    <w:multiLevelType w:val="hybridMultilevel"/>
    <w:tmpl w:val="A2E6DB00"/>
    <w:lvl w:ilvl="0" w:tplc="080A0015">
      <w:start w:val="1"/>
      <w:numFmt w:val="upp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5411258">
    <w:abstractNumId w:val="15"/>
  </w:num>
  <w:num w:numId="2" w16cid:durableId="1615745853">
    <w:abstractNumId w:val="46"/>
  </w:num>
  <w:num w:numId="3" w16cid:durableId="293756746">
    <w:abstractNumId w:val="42"/>
  </w:num>
  <w:num w:numId="4" w16cid:durableId="1258754828">
    <w:abstractNumId w:val="37"/>
  </w:num>
  <w:num w:numId="5" w16cid:durableId="1982300114">
    <w:abstractNumId w:val="48"/>
  </w:num>
  <w:num w:numId="6" w16cid:durableId="409041398">
    <w:abstractNumId w:val="11"/>
  </w:num>
  <w:num w:numId="7" w16cid:durableId="860163097">
    <w:abstractNumId w:val="14"/>
  </w:num>
  <w:num w:numId="8" w16cid:durableId="1342463856">
    <w:abstractNumId w:val="21"/>
  </w:num>
  <w:num w:numId="9" w16cid:durableId="132869701">
    <w:abstractNumId w:val="25"/>
  </w:num>
  <w:num w:numId="10" w16cid:durableId="1070083910">
    <w:abstractNumId w:val="30"/>
  </w:num>
  <w:num w:numId="11" w16cid:durableId="111675686">
    <w:abstractNumId w:val="40"/>
  </w:num>
  <w:num w:numId="12" w16cid:durableId="1990740482">
    <w:abstractNumId w:val="18"/>
  </w:num>
  <w:num w:numId="13" w16cid:durableId="1343044945">
    <w:abstractNumId w:val="4"/>
  </w:num>
  <w:num w:numId="14" w16cid:durableId="184636667">
    <w:abstractNumId w:val="8"/>
  </w:num>
  <w:num w:numId="15" w16cid:durableId="1216163323">
    <w:abstractNumId w:val="6"/>
  </w:num>
  <w:num w:numId="16" w16cid:durableId="2020571771">
    <w:abstractNumId w:val="13"/>
  </w:num>
  <w:num w:numId="17" w16cid:durableId="1278677484">
    <w:abstractNumId w:val="31"/>
  </w:num>
  <w:num w:numId="18" w16cid:durableId="607585684">
    <w:abstractNumId w:val="33"/>
  </w:num>
  <w:num w:numId="19" w16cid:durableId="365175633">
    <w:abstractNumId w:val="32"/>
  </w:num>
  <w:num w:numId="20" w16cid:durableId="1795321256">
    <w:abstractNumId w:val="49"/>
  </w:num>
  <w:num w:numId="21" w16cid:durableId="173737923">
    <w:abstractNumId w:val="52"/>
  </w:num>
  <w:num w:numId="22" w16cid:durableId="241380202">
    <w:abstractNumId w:val="17"/>
  </w:num>
  <w:num w:numId="23" w16cid:durableId="566377324">
    <w:abstractNumId w:val="41"/>
  </w:num>
  <w:num w:numId="24" w16cid:durableId="1068695974">
    <w:abstractNumId w:val="7"/>
  </w:num>
  <w:num w:numId="25" w16cid:durableId="1479610851">
    <w:abstractNumId w:val="51"/>
  </w:num>
  <w:num w:numId="26" w16cid:durableId="1779525344">
    <w:abstractNumId w:val="29"/>
  </w:num>
  <w:num w:numId="27" w16cid:durableId="495649987">
    <w:abstractNumId w:val="3"/>
  </w:num>
  <w:num w:numId="28" w16cid:durableId="2045983018">
    <w:abstractNumId w:val="44"/>
  </w:num>
  <w:num w:numId="29" w16cid:durableId="997458653">
    <w:abstractNumId w:val="5"/>
  </w:num>
  <w:num w:numId="30" w16cid:durableId="261032408">
    <w:abstractNumId w:val="26"/>
  </w:num>
  <w:num w:numId="31" w16cid:durableId="1091850425">
    <w:abstractNumId w:val="19"/>
  </w:num>
  <w:num w:numId="32" w16cid:durableId="767316073">
    <w:abstractNumId w:val="35"/>
  </w:num>
  <w:num w:numId="33" w16cid:durableId="1771199827">
    <w:abstractNumId w:val="1"/>
  </w:num>
  <w:num w:numId="34" w16cid:durableId="87509452">
    <w:abstractNumId w:val="50"/>
  </w:num>
  <w:num w:numId="35" w16cid:durableId="1180702896">
    <w:abstractNumId w:val="43"/>
  </w:num>
  <w:num w:numId="36" w16cid:durableId="1850291053">
    <w:abstractNumId w:val="45"/>
  </w:num>
  <w:num w:numId="37" w16cid:durableId="383600635">
    <w:abstractNumId w:val="16"/>
  </w:num>
  <w:num w:numId="38" w16cid:durableId="711072765">
    <w:abstractNumId w:val="39"/>
  </w:num>
  <w:num w:numId="39" w16cid:durableId="1117916105">
    <w:abstractNumId w:val="9"/>
  </w:num>
  <w:num w:numId="40" w16cid:durableId="2972251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870142832">
    <w:abstractNumId w:val="27"/>
  </w:num>
  <w:num w:numId="42" w16cid:durableId="1229343889">
    <w:abstractNumId w:val="20"/>
  </w:num>
  <w:num w:numId="43" w16cid:durableId="1114981464">
    <w:abstractNumId w:val="34"/>
  </w:num>
  <w:num w:numId="44" w16cid:durableId="442459846">
    <w:abstractNumId w:val="0"/>
  </w:num>
  <w:num w:numId="45" w16cid:durableId="751850421">
    <w:abstractNumId w:val="2"/>
  </w:num>
  <w:num w:numId="46" w16cid:durableId="741029242">
    <w:abstractNumId w:val="38"/>
  </w:num>
  <w:num w:numId="47" w16cid:durableId="712581486">
    <w:abstractNumId w:val="10"/>
  </w:num>
  <w:num w:numId="48" w16cid:durableId="1628389963">
    <w:abstractNumId w:val="28"/>
  </w:num>
  <w:num w:numId="49" w16cid:durableId="1464806298">
    <w:abstractNumId w:val="36"/>
  </w:num>
  <w:num w:numId="50" w16cid:durableId="1482505185">
    <w:abstractNumId w:val="47"/>
  </w:num>
  <w:num w:numId="51" w16cid:durableId="950361266">
    <w:abstractNumId w:val="22"/>
  </w:num>
  <w:num w:numId="52" w16cid:durableId="467746325">
    <w:abstractNumId w:val="23"/>
  </w:num>
  <w:num w:numId="53" w16cid:durableId="497422352">
    <w:abstractNumId w:val="12"/>
  </w:num>
  <w:num w:numId="54" w16cid:durableId="112135280">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034"/>
    <w:rsid w:val="00004F61"/>
    <w:rsid w:val="00006BD7"/>
    <w:rsid w:val="00006C62"/>
    <w:rsid w:val="00007F75"/>
    <w:rsid w:val="00021A99"/>
    <w:rsid w:val="000231FF"/>
    <w:rsid w:val="0002513A"/>
    <w:rsid w:val="00027697"/>
    <w:rsid w:val="0004277C"/>
    <w:rsid w:val="0004535D"/>
    <w:rsid w:val="00045B71"/>
    <w:rsid w:val="00057077"/>
    <w:rsid w:val="0006061D"/>
    <w:rsid w:val="00062F4C"/>
    <w:rsid w:val="00066E23"/>
    <w:rsid w:val="0006763C"/>
    <w:rsid w:val="000710D6"/>
    <w:rsid w:val="0007359D"/>
    <w:rsid w:val="000753E8"/>
    <w:rsid w:val="0007784C"/>
    <w:rsid w:val="00081573"/>
    <w:rsid w:val="0008433F"/>
    <w:rsid w:val="00086867"/>
    <w:rsid w:val="00087D1A"/>
    <w:rsid w:val="00090365"/>
    <w:rsid w:val="000A3715"/>
    <w:rsid w:val="000B766B"/>
    <w:rsid w:val="000C137D"/>
    <w:rsid w:val="000D4371"/>
    <w:rsid w:val="000D4F7B"/>
    <w:rsid w:val="000D5FF3"/>
    <w:rsid w:val="000E07C2"/>
    <w:rsid w:val="000E0E8D"/>
    <w:rsid w:val="000E414D"/>
    <w:rsid w:val="000E4746"/>
    <w:rsid w:val="000F3319"/>
    <w:rsid w:val="000F333F"/>
    <w:rsid w:val="000F71F1"/>
    <w:rsid w:val="001026D4"/>
    <w:rsid w:val="0010407E"/>
    <w:rsid w:val="001103B7"/>
    <w:rsid w:val="001259DD"/>
    <w:rsid w:val="00126042"/>
    <w:rsid w:val="00126B00"/>
    <w:rsid w:val="001274BC"/>
    <w:rsid w:val="001275EA"/>
    <w:rsid w:val="00127900"/>
    <w:rsid w:val="00130D8D"/>
    <w:rsid w:val="00151F6A"/>
    <w:rsid w:val="001521A3"/>
    <w:rsid w:val="00153F4A"/>
    <w:rsid w:val="0015665F"/>
    <w:rsid w:val="0016189B"/>
    <w:rsid w:val="00165FA8"/>
    <w:rsid w:val="00166F81"/>
    <w:rsid w:val="0016760D"/>
    <w:rsid w:val="00170DBE"/>
    <w:rsid w:val="001750EF"/>
    <w:rsid w:val="00176F49"/>
    <w:rsid w:val="001842DE"/>
    <w:rsid w:val="00187137"/>
    <w:rsid w:val="001960E6"/>
    <w:rsid w:val="001A1D8B"/>
    <w:rsid w:val="001A5F2A"/>
    <w:rsid w:val="001A6080"/>
    <w:rsid w:val="001A72C7"/>
    <w:rsid w:val="001C062B"/>
    <w:rsid w:val="001D0972"/>
    <w:rsid w:val="001D5895"/>
    <w:rsid w:val="001E069A"/>
    <w:rsid w:val="001E41B9"/>
    <w:rsid w:val="001E57CA"/>
    <w:rsid w:val="001F23B5"/>
    <w:rsid w:val="001F3930"/>
    <w:rsid w:val="001F57B6"/>
    <w:rsid w:val="001F691D"/>
    <w:rsid w:val="001F7A0F"/>
    <w:rsid w:val="00202896"/>
    <w:rsid w:val="00203972"/>
    <w:rsid w:val="0020510A"/>
    <w:rsid w:val="00207626"/>
    <w:rsid w:val="0020773F"/>
    <w:rsid w:val="00207A5B"/>
    <w:rsid w:val="002135B8"/>
    <w:rsid w:val="00214C1A"/>
    <w:rsid w:val="0021664C"/>
    <w:rsid w:val="00216A44"/>
    <w:rsid w:val="00220A19"/>
    <w:rsid w:val="0022117A"/>
    <w:rsid w:val="0022424C"/>
    <w:rsid w:val="002325A9"/>
    <w:rsid w:val="00240D88"/>
    <w:rsid w:val="00244383"/>
    <w:rsid w:val="00244995"/>
    <w:rsid w:val="0025012F"/>
    <w:rsid w:val="0025735E"/>
    <w:rsid w:val="002661DE"/>
    <w:rsid w:val="00266857"/>
    <w:rsid w:val="00267E1F"/>
    <w:rsid w:val="00271717"/>
    <w:rsid w:val="00274AB6"/>
    <w:rsid w:val="002761DC"/>
    <w:rsid w:val="00276BA8"/>
    <w:rsid w:val="0028457B"/>
    <w:rsid w:val="00292C4C"/>
    <w:rsid w:val="002A07DD"/>
    <w:rsid w:val="002A67DE"/>
    <w:rsid w:val="002B0A6D"/>
    <w:rsid w:val="002B10BE"/>
    <w:rsid w:val="002B2774"/>
    <w:rsid w:val="002B6786"/>
    <w:rsid w:val="002B68B8"/>
    <w:rsid w:val="002C39AB"/>
    <w:rsid w:val="002C4A3A"/>
    <w:rsid w:val="002C6CB6"/>
    <w:rsid w:val="002D217A"/>
    <w:rsid w:val="002D5333"/>
    <w:rsid w:val="002D7943"/>
    <w:rsid w:val="002D797C"/>
    <w:rsid w:val="002E0179"/>
    <w:rsid w:val="002E6C3F"/>
    <w:rsid w:val="002F019A"/>
    <w:rsid w:val="002F160F"/>
    <w:rsid w:val="002F1D4B"/>
    <w:rsid w:val="00310E70"/>
    <w:rsid w:val="003141CE"/>
    <w:rsid w:val="003223B7"/>
    <w:rsid w:val="0032491C"/>
    <w:rsid w:val="003307B5"/>
    <w:rsid w:val="00330F59"/>
    <w:rsid w:val="003316F5"/>
    <w:rsid w:val="003349DE"/>
    <w:rsid w:val="00336E3F"/>
    <w:rsid w:val="00347816"/>
    <w:rsid w:val="00350149"/>
    <w:rsid w:val="00350C4C"/>
    <w:rsid w:val="00351B46"/>
    <w:rsid w:val="00360CE7"/>
    <w:rsid w:val="00361EB6"/>
    <w:rsid w:val="00362376"/>
    <w:rsid w:val="00362988"/>
    <w:rsid w:val="00364DCB"/>
    <w:rsid w:val="00365A33"/>
    <w:rsid w:val="00372EF9"/>
    <w:rsid w:val="003731F5"/>
    <w:rsid w:val="00376CD1"/>
    <w:rsid w:val="003815DB"/>
    <w:rsid w:val="0038237E"/>
    <w:rsid w:val="00384114"/>
    <w:rsid w:val="0039369F"/>
    <w:rsid w:val="003962EA"/>
    <w:rsid w:val="0039749D"/>
    <w:rsid w:val="003B0827"/>
    <w:rsid w:val="003B378A"/>
    <w:rsid w:val="003C183D"/>
    <w:rsid w:val="003C4904"/>
    <w:rsid w:val="003C6287"/>
    <w:rsid w:val="003C6610"/>
    <w:rsid w:val="003C7309"/>
    <w:rsid w:val="003D73B0"/>
    <w:rsid w:val="003E0832"/>
    <w:rsid w:val="003E4264"/>
    <w:rsid w:val="003E52A4"/>
    <w:rsid w:val="003E70A8"/>
    <w:rsid w:val="003F2FE2"/>
    <w:rsid w:val="003F4E34"/>
    <w:rsid w:val="004120B0"/>
    <w:rsid w:val="0043121B"/>
    <w:rsid w:val="0043163E"/>
    <w:rsid w:val="00432E7C"/>
    <w:rsid w:val="00441588"/>
    <w:rsid w:val="004438E2"/>
    <w:rsid w:val="004447F1"/>
    <w:rsid w:val="004458ED"/>
    <w:rsid w:val="0045052C"/>
    <w:rsid w:val="0045380E"/>
    <w:rsid w:val="00457C04"/>
    <w:rsid w:val="00461796"/>
    <w:rsid w:val="00465A79"/>
    <w:rsid w:val="00467809"/>
    <w:rsid w:val="00470C53"/>
    <w:rsid w:val="004768FA"/>
    <w:rsid w:val="00480F81"/>
    <w:rsid w:val="00485B0F"/>
    <w:rsid w:val="00490D37"/>
    <w:rsid w:val="004933F8"/>
    <w:rsid w:val="00495DBA"/>
    <w:rsid w:val="004A313E"/>
    <w:rsid w:val="004A718F"/>
    <w:rsid w:val="004C297A"/>
    <w:rsid w:val="004C4F8F"/>
    <w:rsid w:val="004D1A53"/>
    <w:rsid w:val="004D4129"/>
    <w:rsid w:val="004E0EC1"/>
    <w:rsid w:val="004E1A39"/>
    <w:rsid w:val="004E3159"/>
    <w:rsid w:val="004E3AEA"/>
    <w:rsid w:val="004F16E7"/>
    <w:rsid w:val="004F23E4"/>
    <w:rsid w:val="004F33F6"/>
    <w:rsid w:val="004F460C"/>
    <w:rsid w:val="004F4B06"/>
    <w:rsid w:val="004F5314"/>
    <w:rsid w:val="004F6284"/>
    <w:rsid w:val="00507829"/>
    <w:rsid w:val="0050799B"/>
    <w:rsid w:val="00512518"/>
    <w:rsid w:val="00517033"/>
    <w:rsid w:val="0052070A"/>
    <w:rsid w:val="00522027"/>
    <w:rsid w:val="00530902"/>
    <w:rsid w:val="005320A6"/>
    <w:rsid w:val="00534539"/>
    <w:rsid w:val="00534FF6"/>
    <w:rsid w:val="00536041"/>
    <w:rsid w:val="0054074B"/>
    <w:rsid w:val="005469CD"/>
    <w:rsid w:val="00553F74"/>
    <w:rsid w:val="00554576"/>
    <w:rsid w:val="00555DA6"/>
    <w:rsid w:val="0055648D"/>
    <w:rsid w:val="00560240"/>
    <w:rsid w:val="00560794"/>
    <w:rsid w:val="0056438A"/>
    <w:rsid w:val="00564B50"/>
    <w:rsid w:val="0056616C"/>
    <w:rsid w:val="0057148E"/>
    <w:rsid w:val="005726A6"/>
    <w:rsid w:val="005744CB"/>
    <w:rsid w:val="00574F66"/>
    <w:rsid w:val="00581049"/>
    <w:rsid w:val="005839FB"/>
    <w:rsid w:val="00583ABC"/>
    <w:rsid w:val="00587E82"/>
    <w:rsid w:val="00593972"/>
    <w:rsid w:val="005A51C0"/>
    <w:rsid w:val="005B2CDD"/>
    <w:rsid w:val="005B47F0"/>
    <w:rsid w:val="005B4EF9"/>
    <w:rsid w:val="005B678B"/>
    <w:rsid w:val="005D0209"/>
    <w:rsid w:val="005D320A"/>
    <w:rsid w:val="005D7210"/>
    <w:rsid w:val="005E2699"/>
    <w:rsid w:val="005E4E8C"/>
    <w:rsid w:val="005E7347"/>
    <w:rsid w:val="005F75A3"/>
    <w:rsid w:val="006064A3"/>
    <w:rsid w:val="00607E0C"/>
    <w:rsid w:val="00612D3B"/>
    <w:rsid w:val="00612FAA"/>
    <w:rsid w:val="00615B8F"/>
    <w:rsid w:val="00617052"/>
    <w:rsid w:val="00622F03"/>
    <w:rsid w:val="00627C4E"/>
    <w:rsid w:val="0063264C"/>
    <w:rsid w:val="00636286"/>
    <w:rsid w:val="00641080"/>
    <w:rsid w:val="006526BC"/>
    <w:rsid w:val="00661426"/>
    <w:rsid w:val="006623FA"/>
    <w:rsid w:val="006663B9"/>
    <w:rsid w:val="00672D01"/>
    <w:rsid w:val="00674A9F"/>
    <w:rsid w:val="00680FAA"/>
    <w:rsid w:val="006874F8"/>
    <w:rsid w:val="006A168B"/>
    <w:rsid w:val="006A1767"/>
    <w:rsid w:val="006A2F13"/>
    <w:rsid w:val="006A37F7"/>
    <w:rsid w:val="006A61DB"/>
    <w:rsid w:val="006A6F5D"/>
    <w:rsid w:val="006B3206"/>
    <w:rsid w:val="006B58F0"/>
    <w:rsid w:val="006C4CF5"/>
    <w:rsid w:val="006C701D"/>
    <w:rsid w:val="006D58EC"/>
    <w:rsid w:val="006E686A"/>
    <w:rsid w:val="006E7261"/>
    <w:rsid w:val="006F276B"/>
    <w:rsid w:val="006F6C00"/>
    <w:rsid w:val="00701E56"/>
    <w:rsid w:val="0070292F"/>
    <w:rsid w:val="00707221"/>
    <w:rsid w:val="0071087D"/>
    <w:rsid w:val="00710FF6"/>
    <w:rsid w:val="00716608"/>
    <w:rsid w:val="007227BD"/>
    <w:rsid w:val="00724853"/>
    <w:rsid w:val="00726276"/>
    <w:rsid w:val="007265DE"/>
    <w:rsid w:val="007266BA"/>
    <w:rsid w:val="00727E0A"/>
    <w:rsid w:val="0073556B"/>
    <w:rsid w:val="007401DF"/>
    <w:rsid w:val="00740DD3"/>
    <w:rsid w:val="00744432"/>
    <w:rsid w:val="007446A8"/>
    <w:rsid w:val="00744965"/>
    <w:rsid w:val="00745798"/>
    <w:rsid w:val="00750CE1"/>
    <w:rsid w:val="00753632"/>
    <w:rsid w:val="0075583E"/>
    <w:rsid w:val="007650E3"/>
    <w:rsid w:val="00774CA1"/>
    <w:rsid w:val="007805FC"/>
    <w:rsid w:val="007851E4"/>
    <w:rsid w:val="0079102A"/>
    <w:rsid w:val="007922EC"/>
    <w:rsid w:val="00792E47"/>
    <w:rsid w:val="00793D2A"/>
    <w:rsid w:val="007A2034"/>
    <w:rsid w:val="007A4E2B"/>
    <w:rsid w:val="007A7094"/>
    <w:rsid w:val="007B03DF"/>
    <w:rsid w:val="007B1AFC"/>
    <w:rsid w:val="007B72F1"/>
    <w:rsid w:val="007D306E"/>
    <w:rsid w:val="007D4A91"/>
    <w:rsid w:val="007D55B4"/>
    <w:rsid w:val="007D5B87"/>
    <w:rsid w:val="007D7E5B"/>
    <w:rsid w:val="007E4EB1"/>
    <w:rsid w:val="007F2519"/>
    <w:rsid w:val="007F2569"/>
    <w:rsid w:val="007F3D8B"/>
    <w:rsid w:val="007F7DA3"/>
    <w:rsid w:val="00801563"/>
    <w:rsid w:val="00806484"/>
    <w:rsid w:val="0081066D"/>
    <w:rsid w:val="0081174C"/>
    <w:rsid w:val="008143E8"/>
    <w:rsid w:val="00815F29"/>
    <w:rsid w:val="00825260"/>
    <w:rsid w:val="0082666D"/>
    <w:rsid w:val="00826CF4"/>
    <w:rsid w:val="00827A4D"/>
    <w:rsid w:val="00837A78"/>
    <w:rsid w:val="00843E83"/>
    <w:rsid w:val="00846028"/>
    <w:rsid w:val="008461D7"/>
    <w:rsid w:val="00846698"/>
    <w:rsid w:val="0084708D"/>
    <w:rsid w:val="00862510"/>
    <w:rsid w:val="00866352"/>
    <w:rsid w:val="00880182"/>
    <w:rsid w:val="0088241E"/>
    <w:rsid w:val="00885BDD"/>
    <w:rsid w:val="00886AED"/>
    <w:rsid w:val="0089773A"/>
    <w:rsid w:val="008A0701"/>
    <w:rsid w:val="008A4873"/>
    <w:rsid w:val="008B71B1"/>
    <w:rsid w:val="008C1762"/>
    <w:rsid w:val="008C2824"/>
    <w:rsid w:val="008D3512"/>
    <w:rsid w:val="008D3E84"/>
    <w:rsid w:val="008D4D0C"/>
    <w:rsid w:val="008D577B"/>
    <w:rsid w:val="008D62CF"/>
    <w:rsid w:val="008F0501"/>
    <w:rsid w:val="008F32C5"/>
    <w:rsid w:val="00900F6B"/>
    <w:rsid w:val="00902C38"/>
    <w:rsid w:val="00906A84"/>
    <w:rsid w:val="00910B70"/>
    <w:rsid w:val="009217C7"/>
    <w:rsid w:val="00922062"/>
    <w:rsid w:val="009233A0"/>
    <w:rsid w:val="00924E6F"/>
    <w:rsid w:val="00925F46"/>
    <w:rsid w:val="0093158A"/>
    <w:rsid w:val="00935089"/>
    <w:rsid w:val="00935725"/>
    <w:rsid w:val="00935BBF"/>
    <w:rsid w:val="009372D0"/>
    <w:rsid w:val="00944028"/>
    <w:rsid w:val="00951D4A"/>
    <w:rsid w:val="0095422B"/>
    <w:rsid w:val="00956BF5"/>
    <w:rsid w:val="00963145"/>
    <w:rsid w:val="00963ADD"/>
    <w:rsid w:val="00964421"/>
    <w:rsid w:val="00966386"/>
    <w:rsid w:val="00966D52"/>
    <w:rsid w:val="00973CE1"/>
    <w:rsid w:val="009750A9"/>
    <w:rsid w:val="009758D4"/>
    <w:rsid w:val="00977834"/>
    <w:rsid w:val="00980365"/>
    <w:rsid w:val="00985861"/>
    <w:rsid w:val="009869A6"/>
    <w:rsid w:val="00986F84"/>
    <w:rsid w:val="00990067"/>
    <w:rsid w:val="00994E8F"/>
    <w:rsid w:val="00995694"/>
    <w:rsid w:val="009B0CBB"/>
    <w:rsid w:val="009B2362"/>
    <w:rsid w:val="009B6F04"/>
    <w:rsid w:val="009B7B1D"/>
    <w:rsid w:val="009C269C"/>
    <w:rsid w:val="009C26EA"/>
    <w:rsid w:val="009C4123"/>
    <w:rsid w:val="009C6BE3"/>
    <w:rsid w:val="009D2B78"/>
    <w:rsid w:val="009D2DBA"/>
    <w:rsid w:val="009E1E5D"/>
    <w:rsid w:val="009E2D9D"/>
    <w:rsid w:val="009E331B"/>
    <w:rsid w:val="009F19A4"/>
    <w:rsid w:val="009F3A2C"/>
    <w:rsid w:val="009F3ECB"/>
    <w:rsid w:val="009F7B00"/>
    <w:rsid w:val="00A05138"/>
    <w:rsid w:val="00A05331"/>
    <w:rsid w:val="00A067B8"/>
    <w:rsid w:val="00A1307C"/>
    <w:rsid w:val="00A13754"/>
    <w:rsid w:val="00A159E7"/>
    <w:rsid w:val="00A2165B"/>
    <w:rsid w:val="00A21A45"/>
    <w:rsid w:val="00A24CD2"/>
    <w:rsid w:val="00A25949"/>
    <w:rsid w:val="00A321FB"/>
    <w:rsid w:val="00A328E6"/>
    <w:rsid w:val="00A33001"/>
    <w:rsid w:val="00A34725"/>
    <w:rsid w:val="00A34EB0"/>
    <w:rsid w:val="00A43558"/>
    <w:rsid w:val="00A4486E"/>
    <w:rsid w:val="00A47BBA"/>
    <w:rsid w:val="00A52885"/>
    <w:rsid w:val="00A54E9A"/>
    <w:rsid w:val="00A55BB0"/>
    <w:rsid w:val="00A6499B"/>
    <w:rsid w:val="00A663AA"/>
    <w:rsid w:val="00A719F0"/>
    <w:rsid w:val="00A7455A"/>
    <w:rsid w:val="00A910F6"/>
    <w:rsid w:val="00A917D3"/>
    <w:rsid w:val="00A92DF0"/>
    <w:rsid w:val="00A96DD1"/>
    <w:rsid w:val="00A96E98"/>
    <w:rsid w:val="00AA11C0"/>
    <w:rsid w:val="00AA1436"/>
    <w:rsid w:val="00AA1A6F"/>
    <w:rsid w:val="00AA4D03"/>
    <w:rsid w:val="00AB026E"/>
    <w:rsid w:val="00AB2FA9"/>
    <w:rsid w:val="00AD34F1"/>
    <w:rsid w:val="00AD3ADB"/>
    <w:rsid w:val="00AD5222"/>
    <w:rsid w:val="00AD6F86"/>
    <w:rsid w:val="00AE5666"/>
    <w:rsid w:val="00B010AE"/>
    <w:rsid w:val="00B06E9C"/>
    <w:rsid w:val="00B115CD"/>
    <w:rsid w:val="00B15812"/>
    <w:rsid w:val="00B16D23"/>
    <w:rsid w:val="00B219F3"/>
    <w:rsid w:val="00B25B97"/>
    <w:rsid w:val="00B25BFF"/>
    <w:rsid w:val="00B32042"/>
    <w:rsid w:val="00B324A4"/>
    <w:rsid w:val="00B405A1"/>
    <w:rsid w:val="00B44A43"/>
    <w:rsid w:val="00B50026"/>
    <w:rsid w:val="00B65629"/>
    <w:rsid w:val="00B7263F"/>
    <w:rsid w:val="00B85A3E"/>
    <w:rsid w:val="00B92615"/>
    <w:rsid w:val="00B92FB6"/>
    <w:rsid w:val="00B95335"/>
    <w:rsid w:val="00BA00EB"/>
    <w:rsid w:val="00BA7E75"/>
    <w:rsid w:val="00BB1640"/>
    <w:rsid w:val="00BB170B"/>
    <w:rsid w:val="00BB23E4"/>
    <w:rsid w:val="00BC1770"/>
    <w:rsid w:val="00BC1F95"/>
    <w:rsid w:val="00BC41C6"/>
    <w:rsid w:val="00BC4D5B"/>
    <w:rsid w:val="00BD00E8"/>
    <w:rsid w:val="00BD7843"/>
    <w:rsid w:val="00BE1FB5"/>
    <w:rsid w:val="00BE5C61"/>
    <w:rsid w:val="00BE5FED"/>
    <w:rsid w:val="00BE6B1E"/>
    <w:rsid w:val="00BE784D"/>
    <w:rsid w:val="00BF02CC"/>
    <w:rsid w:val="00BF0C0A"/>
    <w:rsid w:val="00C021AA"/>
    <w:rsid w:val="00C068A9"/>
    <w:rsid w:val="00C11836"/>
    <w:rsid w:val="00C1422B"/>
    <w:rsid w:val="00C16A3B"/>
    <w:rsid w:val="00C20CB5"/>
    <w:rsid w:val="00C37F39"/>
    <w:rsid w:val="00C506E7"/>
    <w:rsid w:val="00C50B88"/>
    <w:rsid w:val="00C5381B"/>
    <w:rsid w:val="00C5720E"/>
    <w:rsid w:val="00C61333"/>
    <w:rsid w:val="00C622D6"/>
    <w:rsid w:val="00C62585"/>
    <w:rsid w:val="00C62650"/>
    <w:rsid w:val="00C64667"/>
    <w:rsid w:val="00C73988"/>
    <w:rsid w:val="00C7772A"/>
    <w:rsid w:val="00C82D4A"/>
    <w:rsid w:val="00C83719"/>
    <w:rsid w:val="00C839A9"/>
    <w:rsid w:val="00C9022E"/>
    <w:rsid w:val="00C93421"/>
    <w:rsid w:val="00CA37E3"/>
    <w:rsid w:val="00CA3961"/>
    <w:rsid w:val="00CA4195"/>
    <w:rsid w:val="00CB05C8"/>
    <w:rsid w:val="00CB0FD7"/>
    <w:rsid w:val="00CB4F3F"/>
    <w:rsid w:val="00CB52A9"/>
    <w:rsid w:val="00CC1405"/>
    <w:rsid w:val="00CC3EB6"/>
    <w:rsid w:val="00CC67A7"/>
    <w:rsid w:val="00CD3DAA"/>
    <w:rsid w:val="00CD5828"/>
    <w:rsid w:val="00CE08C3"/>
    <w:rsid w:val="00D019D3"/>
    <w:rsid w:val="00D04859"/>
    <w:rsid w:val="00D051DE"/>
    <w:rsid w:val="00D061DF"/>
    <w:rsid w:val="00D12910"/>
    <w:rsid w:val="00D12DE9"/>
    <w:rsid w:val="00D13DD4"/>
    <w:rsid w:val="00D14430"/>
    <w:rsid w:val="00D1617E"/>
    <w:rsid w:val="00D26E26"/>
    <w:rsid w:val="00D27034"/>
    <w:rsid w:val="00D277D8"/>
    <w:rsid w:val="00D278FA"/>
    <w:rsid w:val="00D4437D"/>
    <w:rsid w:val="00D47D41"/>
    <w:rsid w:val="00D50810"/>
    <w:rsid w:val="00D53D13"/>
    <w:rsid w:val="00D6758D"/>
    <w:rsid w:val="00D67859"/>
    <w:rsid w:val="00D759D2"/>
    <w:rsid w:val="00D76776"/>
    <w:rsid w:val="00D76D1B"/>
    <w:rsid w:val="00D774FF"/>
    <w:rsid w:val="00D86811"/>
    <w:rsid w:val="00D966A2"/>
    <w:rsid w:val="00DA03AB"/>
    <w:rsid w:val="00DA7E47"/>
    <w:rsid w:val="00DB0D6C"/>
    <w:rsid w:val="00DB5B30"/>
    <w:rsid w:val="00DC2757"/>
    <w:rsid w:val="00DC351A"/>
    <w:rsid w:val="00DC6694"/>
    <w:rsid w:val="00DD1D98"/>
    <w:rsid w:val="00DD267A"/>
    <w:rsid w:val="00DD2BCB"/>
    <w:rsid w:val="00DD4031"/>
    <w:rsid w:val="00DD45EF"/>
    <w:rsid w:val="00DD7771"/>
    <w:rsid w:val="00DE0A1E"/>
    <w:rsid w:val="00DE456B"/>
    <w:rsid w:val="00DF0EAE"/>
    <w:rsid w:val="00E00061"/>
    <w:rsid w:val="00E006B5"/>
    <w:rsid w:val="00E02287"/>
    <w:rsid w:val="00E02C04"/>
    <w:rsid w:val="00E03073"/>
    <w:rsid w:val="00E067C2"/>
    <w:rsid w:val="00E071AC"/>
    <w:rsid w:val="00E07E87"/>
    <w:rsid w:val="00E11198"/>
    <w:rsid w:val="00E11B15"/>
    <w:rsid w:val="00E13672"/>
    <w:rsid w:val="00E1612D"/>
    <w:rsid w:val="00E1748C"/>
    <w:rsid w:val="00E21D24"/>
    <w:rsid w:val="00E2529E"/>
    <w:rsid w:val="00E34264"/>
    <w:rsid w:val="00E42298"/>
    <w:rsid w:val="00E42B2B"/>
    <w:rsid w:val="00E45ADF"/>
    <w:rsid w:val="00E54195"/>
    <w:rsid w:val="00E575C6"/>
    <w:rsid w:val="00E6049D"/>
    <w:rsid w:val="00E61375"/>
    <w:rsid w:val="00E635C3"/>
    <w:rsid w:val="00E64318"/>
    <w:rsid w:val="00E8059B"/>
    <w:rsid w:val="00E80C90"/>
    <w:rsid w:val="00E83D3B"/>
    <w:rsid w:val="00E8678E"/>
    <w:rsid w:val="00E92B2B"/>
    <w:rsid w:val="00E94AD7"/>
    <w:rsid w:val="00EA5773"/>
    <w:rsid w:val="00EA5D26"/>
    <w:rsid w:val="00EB57F7"/>
    <w:rsid w:val="00EB7498"/>
    <w:rsid w:val="00EC139E"/>
    <w:rsid w:val="00EC1B7A"/>
    <w:rsid w:val="00EC2190"/>
    <w:rsid w:val="00EC27F3"/>
    <w:rsid w:val="00EC2BC1"/>
    <w:rsid w:val="00EC3BEA"/>
    <w:rsid w:val="00EC7D32"/>
    <w:rsid w:val="00ED0805"/>
    <w:rsid w:val="00ED5D31"/>
    <w:rsid w:val="00EE324F"/>
    <w:rsid w:val="00EE7DB1"/>
    <w:rsid w:val="00EF3AA4"/>
    <w:rsid w:val="00EF69E8"/>
    <w:rsid w:val="00F049DA"/>
    <w:rsid w:val="00F13135"/>
    <w:rsid w:val="00F15CDF"/>
    <w:rsid w:val="00F317C0"/>
    <w:rsid w:val="00F37ACE"/>
    <w:rsid w:val="00F42A38"/>
    <w:rsid w:val="00F45673"/>
    <w:rsid w:val="00F503DF"/>
    <w:rsid w:val="00F55C07"/>
    <w:rsid w:val="00F55F8D"/>
    <w:rsid w:val="00F6016B"/>
    <w:rsid w:val="00F606F6"/>
    <w:rsid w:val="00F619EA"/>
    <w:rsid w:val="00F710ED"/>
    <w:rsid w:val="00F75988"/>
    <w:rsid w:val="00F76A08"/>
    <w:rsid w:val="00F80287"/>
    <w:rsid w:val="00F80773"/>
    <w:rsid w:val="00F81D4F"/>
    <w:rsid w:val="00F877AB"/>
    <w:rsid w:val="00F90E63"/>
    <w:rsid w:val="00F92E22"/>
    <w:rsid w:val="00F969AC"/>
    <w:rsid w:val="00F9750B"/>
    <w:rsid w:val="00F978DA"/>
    <w:rsid w:val="00FB258D"/>
    <w:rsid w:val="00FB4B7E"/>
    <w:rsid w:val="00FB4EC2"/>
    <w:rsid w:val="00FB7A39"/>
    <w:rsid w:val="00FC3908"/>
    <w:rsid w:val="00FC55DC"/>
    <w:rsid w:val="00FC64D1"/>
    <w:rsid w:val="00FC7183"/>
    <w:rsid w:val="00FC7779"/>
    <w:rsid w:val="00FD2895"/>
    <w:rsid w:val="00FD79E6"/>
    <w:rsid w:val="00FE19AC"/>
    <w:rsid w:val="00FE291A"/>
    <w:rsid w:val="00FE69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56C0"/>
  <w15:chartTrackingRefBased/>
  <w15:docId w15:val="{F0225F06-22FC-4864-84C6-E1195BD1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E8"/>
    <w:pPr>
      <w:spacing w:after="0" w:line="240" w:lineRule="auto"/>
    </w:pPr>
    <w:rPr>
      <w:rFonts w:ascii="Times New Roman" w:eastAsia="Times New Roman" w:hAnsi="Times New Roman" w:cs="Times New Roman"/>
      <w:kern w:val="0"/>
      <w:sz w:val="24"/>
      <w:szCs w:val="24"/>
      <w:lang w:eastAsia="es-MX"/>
      <w14:ligatures w14:val="none"/>
    </w:rPr>
  </w:style>
  <w:style w:type="paragraph" w:styleId="Ttulo1">
    <w:name w:val="heading 1"/>
    <w:basedOn w:val="Normal"/>
    <w:next w:val="Normal"/>
    <w:link w:val="Ttulo1Car"/>
    <w:uiPriority w:val="9"/>
    <w:qFormat/>
    <w:rsid w:val="00D27034"/>
    <w:pPr>
      <w:keepNext/>
      <w:keepLines/>
      <w:spacing w:before="240"/>
      <w:outlineLvl w:val="0"/>
    </w:pPr>
    <w:rPr>
      <w:rFonts w:asciiTheme="majorHAnsi" w:eastAsiaTheme="majorEastAsia" w:hAnsiTheme="majorHAnsi" w:cstheme="majorBidi"/>
      <w:color w:val="2F5496" w:themeColor="accent1" w:themeShade="BF"/>
      <w:sz w:val="32"/>
      <w:szCs w:val="32"/>
      <w:lang w:val="en-US" w:eastAsia="en-US"/>
    </w:rPr>
  </w:style>
  <w:style w:type="paragraph" w:styleId="Ttulo2">
    <w:name w:val="heading 2"/>
    <w:basedOn w:val="Normal"/>
    <w:next w:val="Normal"/>
    <w:link w:val="Ttulo2Car"/>
    <w:uiPriority w:val="9"/>
    <w:unhideWhenUsed/>
    <w:qFormat/>
    <w:rsid w:val="00D27034"/>
    <w:pPr>
      <w:keepNext/>
      <w:keepLines/>
      <w:spacing w:before="40"/>
      <w:outlineLvl w:val="1"/>
    </w:pPr>
    <w:rPr>
      <w:rFonts w:asciiTheme="majorHAnsi" w:eastAsiaTheme="majorEastAsia" w:hAnsiTheme="majorHAnsi" w:cstheme="majorBidi"/>
      <w:color w:val="2F5496" w:themeColor="accent1" w:themeShade="BF"/>
      <w:sz w:val="26"/>
      <w:szCs w:val="26"/>
      <w:lang w:val="en-US" w:eastAsia="en-US"/>
    </w:rPr>
  </w:style>
  <w:style w:type="paragraph" w:styleId="Ttulo3">
    <w:name w:val="heading 3"/>
    <w:basedOn w:val="Normal"/>
    <w:next w:val="Normal"/>
    <w:link w:val="Ttulo3Car"/>
    <w:uiPriority w:val="9"/>
    <w:unhideWhenUsed/>
    <w:qFormat/>
    <w:rsid w:val="00D27034"/>
    <w:pPr>
      <w:keepNext/>
      <w:keepLines/>
      <w:spacing w:before="40"/>
      <w:outlineLvl w:val="2"/>
    </w:pPr>
    <w:rPr>
      <w:rFonts w:asciiTheme="majorHAnsi" w:eastAsiaTheme="majorEastAsia" w:hAnsiTheme="majorHAnsi" w:cstheme="majorBidi"/>
      <w:color w:val="1F3763" w:themeColor="accent1" w:themeShade="7F"/>
      <w:lang w:val="en-US" w:eastAsia="en-US"/>
    </w:rPr>
  </w:style>
  <w:style w:type="paragraph" w:styleId="Ttulo4">
    <w:name w:val="heading 4"/>
    <w:basedOn w:val="Normal"/>
    <w:next w:val="Normal"/>
    <w:link w:val="Ttulo4Car"/>
    <w:qFormat/>
    <w:rsid w:val="00D27034"/>
    <w:pPr>
      <w:keepNext/>
      <w:ind w:right="45"/>
      <w:outlineLvl w:val="3"/>
    </w:pPr>
    <w:rPr>
      <w:b/>
      <w:bCs/>
      <w:sz w:val="28"/>
      <w:szCs w:val="2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034"/>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Ttulo2Car">
    <w:name w:val="Título 2 Car"/>
    <w:basedOn w:val="Fuentedeprrafopredeter"/>
    <w:link w:val="Ttulo2"/>
    <w:uiPriority w:val="9"/>
    <w:rsid w:val="00D27034"/>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D27034"/>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Ttulo4Car">
    <w:name w:val="Título 4 Car"/>
    <w:basedOn w:val="Fuentedeprrafopredeter"/>
    <w:link w:val="Ttulo4"/>
    <w:rsid w:val="00D27034"/>
    <w:rPr>
      <w:rFonts w:ascii="Times New Roman" w:eastAsia="Times New Roman" w:hAnsi="Times New Roman" w:cs="Times New Roman"/>
      <w:b/>
      <w:bCs/>
      <w:kern w:val="0"/>
      <w:sz w:val="28"/>
      <w:szCs w:val="28"/>
      <w:lang w:val="en-US"/>
      <w14:ligatures w14:val="none"/>
    </w:rPr>
  </w:style>
  <w:style w:type="character" w:customStyle="1" w:styleId="TextonotapieCar1">
    <w:name w:val="Texto nota pie Car1"/>
    <w:aliases w:val="Footnote Text Char Car,Footnote Text Char Char Char Char Car,Footnote Text Char Char Char Char Char Char Char Char Car,Footnote Text Char Char Char Char Char Char1 Car,Footnote Text Char Char Char Char Char Char Char1 Car,FA Fu Car"/>
    <w:link w:val="Textonotapie"/>
    <w:uiPriority w:val="99"/>
    <w:qFormat/>
    <w:locked/>
    <w:rsid w:val="00D27034"/>
    <w:rPr>
      <w:rFonts w:ascii="SimSun" w:eastAsia="SimSun" w:hAnsi="SimSun"/>
    </w:rPr>
  </w:style>
  <w:style w:type="paragraph" w:styleId="Textonotapie">
    <w:name w:val="footnote text"/>
    <w:aliases w:val="Footnote Text Char,Footnote Text Char Char Char Char,Footnote Text Char Char Char Char Char Char Char Char,Footnote Text Char Char Char Char Char Char1,Footnote Text Char Char Char Char Char Char Char1,FA Fu,Ref. de nota al pie1,ft,Ca,FA"/>
    <w:basedOn w:val="Normal"/>
    <w:link w:val="TextonotapieCar1"/>
    <w:uiPriority w:val="99"/>
    <w:unhideWhenUsed/>
    <w:qFormat/>
    <w:rsid w:val="00D27034"/>
    <w:rPr>
      <w:rFonts w:ascii="SimSun" w:eastAsia="SimSun" w:hAnsi="SimSun" w:cstheme="minorBidi"/>
      <w:kern w:val="2"/>
      <w:sz w:val="22"/>
      <w:szCs w:val="22"/>
      <w:lang w:eastAsia="en-US"/>
      <w14:ligatures w14:val="standardContextual"/>
    </w:rPr>
  </w:style>
  <w:style w:type="character" w:customStyle="1" w:styleId="TextonotapieCar">
    <w:name w:val="Texto nota pie Car"/>
    <w:aliases w:val="Footnote Text Char Char Char Char Char Car,Ref. de nota al pie1 Car,Footnote reference Car,f Car,Footnote Text Char Char Char Car,texto de nota al pie Car,Footnote Text Char Car1,Footnote Text Char Char Char Char Car1,ft Car,BVI fnr C"/>
    <w:basedOn w:val="Fuentedeprrafopredeter"/>
    <w:uiPriority w:val="99"/>
    <w:qFormat/>
    <w:rsid w:val="00D27034"/>
    <w:rPr>
      <w:rFonts w:ascii="Times New Roman" w:eastAsia="Times New Roman" w:hAnsi="Times New Roman" w:cs="Times New Roman"/>
      <w:kern w:val="0"/>
      <w:sz w:val="20"/>
      <w:szCs w:val="20"/>
      <w:lang w:val="es-ES" w:eastAsia="es-ES_tradnl"/>
      <w14:ligatures w14:val="none"/>
    </w:rPr>
  </w:style>
  <w:style w:type="character" w:styleId="Refdenotaalpie">
    <w:name w:val="footnote reference"/>
    <w:aliases w:val="Texto de nota al pie,Footnotes refss,Appel note de bas de page,Ref. de nota al pie 2,Footnote number,referencia nota al pie,BVI fnr,f,4_G,16 Point,Superscript 6 Point,Texto nota al pie,Fago Fußnotenzeichen,Footnote Reference Char3,FC"/>
    <w:link w:val="4GChar"/>
    <w:uiPriority w:val="99"/>
    <w:unhideWhenUsed/>
    <w:qFormat/>
    <w:rsid w:val="00D27034"/>
    <w:rPr>
      <w:vertAlign w:val="superscript"/>
    </w:rPr>
  </w:style>
  <w:style w:type="paragraph" w:customStyle="1" w:styleId="4GChar">
    <w:name w:val="4_G Char"/>
    <w:aliases w:val="Appel note de bas de page Char,Appel note de bas de page Char Char Char Char Char Char Char Char Char Char Char Char Char Char Char Char Char Char Char,Appel note de bas de page Char Char Char Char"/>
    <w:basedOn w:val="Normal"/>
    <w:link w:val="Refdenotaalpie"/>
    <w:uiPriority w:val="99"/>
    <w:qFormat/>
    <w:rsid w:val="00D27034"/>
    <w:rPr>
      <w:rFonts w:asciiTheme="minorHAnsi" w:eastAsiaTheme="minorHAnsi" w:hAnsiTheme="minorHAnsi" w:cstheme="minorBidi"/>
      <w:kern w:val="2"/>
      <w:sz w:val="22"/>
      <w:szCs w:val="22"/>
      <w:vertAlign w:val="superscript"/>
      <w:lang w:eastAsia="en-US"/>
      <w14:ligatures w14:val="standardContextual"/>
    </w:rPr>
  </w:style>
  <w:style w:type="paragraph" w:styleId="NormalWeb">
    <w:name w:val="Normal (Web)"/>
    <w:basedOn w:val="Normal"/>
    <w:uiPriority w:val="99"/>
    <w:unhideWhenUsed/>
    <w:rsid w:val="00D27034"/>
    <w:pPr>
      <w:spacing w:before="100" w:beforeAutospacing="1" w:after="100" w:afterAutospacing="1"/>
    </w:pPr>
    <w:rPr>
      <w:lang w:val="en-US" w:eastAsia="en-US"/>
    </w:rPr>
  </w:style>
  <w:style w:type="paragraph" w:customStyle="1" w:styleId="1">
    <w:name w:val="1"/>
    <w:basedOn w:val="Normal"/>
    <w:next w:val="Ttulo"/>
    <w:link w:val="PuestoCar"/>
    <w:qFormat/>
    <w:rsid w:val="00D27034"/>
    <w:pPr>
      <w:jc w:val="center"/>
    </w:pPr>
    <w:rPr>
      <w:rFonts w:eastAsia="Calibri"/>
      <w:b/>
      <w:lang w:val="es-ES_tradnl"/>
    </w:rPr>
  </w:style>
  <w:style w:type="character" w:customStyle="1" w:styleId="PuestoCar">
    <w:name w:val="Puesto Car"/>
    <w:link w:val="1"/>
    <w:rsid w:val="00D27034"/>
    <w:rPr>
      <w:rFonts w:ascii="Times New Roman" w:eastAsia="Calibri" w:hAnsi="Times New Roman" w:cs="Times New Roman"/>
      <w:b/>
      <w:kern w:val="0"/>
      <w:sz w:val="24"/>
      <w:szCs w:val="24"/>
      <w:lang w:val="es-ES_tradnl" w:eastAsia="es-ES_tradnl"/>
      <w14:ligatures w14:val="none"/>
    </w:rPr>
  </w:style>
  <w:style w:type="paragraph" w:customStyle="1" w:styleId="Cuadrculaclara-nfasis311">
    <w:name w:val="Cuadrícula clara - Énfasis 311"/>
    <w:basedOn w:val="Normal"/>
    <w:link w:val="Cuadrculaclara-nfasis3Car"/>
    <w:uiPriority w:val="34"/>
    <w:qFormat/>
    <w:rsid w:val="00D27034"/>
    <w:pPr>
      <w:ind w:left="708"/>
    </w:pPr>
    <w:rPr>
      <w:lang w:val="en-US" w:eastAsia="en-US"/>
    </w:rPr>
  </w:style>
  <w:style w:type="character" w:customStyle="1" w:styleId="Cuadrculaclara-nfasis3Car">
    <w:name w:val="Cuadrícula clara - Énfasis 3 Car"/>
    <w:link w:val="Cuadrculaclara-nfasis311"/>
    <w:uiPriority w:val="34"/>
    <w:locked/>
    <w:rsid w:val="00D27034"/>
    <w:rPr>
      <w:rFonts w:ascii="Times New Roman" w:eastAsia="Times New Roman" w:hAnsi="Times New Roman" w:cs="Times New Roman"/>
      <w:kern w:val="0"/>
      <w:sz w:val="24"/>
      <w:szCs w:val="24"/>
      <w:lang w:val="en-US"/>
      <w14:ligatures w14:val="none"/>
    </w:rPr>
  </w:style>
  <w:style w:type="paragraph" w:customStyle="1" w:styleId="Cuadrculamedia1-nfasis21">
    <w:name w:val="Cuadrícula media 1 - Énfasis 21"/>
    <w:basedOn w:val="Normal"/>
    <w:link w:val="Cuadrculamedia1-nfasis2Car"/>
    <w:uiPriority w:val="34"/>
    <w:qFormat/>
    <w:rsid w:val="00D27034"/>
    <w:pPr>
      <w:spacing w:after="160" w:line="259" w:lineRule="auto"/>
      <w:ind w:left="720"/>
      <w:contextualSpacing/>
    </w:pPr>
    <w:rPr>
      <w:rFonts w:ascii="Calibri" w:eastAsia="Calibri" w:hAnsi="Calibri"/>
      <w:sz w:val="22"/>
      <w:szCs w:val="22"/>
      <w:lang w:val="en-US" w:eastAsia="en-US"/>
    </w:rPr>
  </w:style>
  <w:style w:type="character" w:customStyle="1" w:styleId="Cuadrculamedia1-nfasis2Car">
    <w:name w:val="Cuadrícula media 1 - Énfasis 2 Car"/>
    <w:link w:val="Cuadrculamedia1-nfasis21"/>
    <w:uiPriority w:val="34"/>
    <w:locked/>
    <w:rsid w:val="00D27034"/>
    <w:rPr>
      <w:rFonts w:ascii="Calibri" w:eastAsia="Calibri" w:hAnsi="Calibri" w:cs="Times New Roman"/>
      <w:kern w:val="0"/>
      <w:lang w:val="en-US"/>
      <w14:ligatures w14:val="none"/>
    </w:rPr>
  </w:style>
  <w:style w:type="paragraph" w:styleId="Ttulo">
    <w:name w:val="Title"/>
    <w:basedOn w:val="Normal"/>
    <w:next w:val="Normal"/>
    <w:link w:val="TtuloCar"/>
    <w:uiPriority w:val="10"/>
    <w:qFormat/>
    <w:rsid w:val="00D27034"/>
    <w:pPr>
      <w:contextualSpacing/>
    </w:pPr>
    <w:rPr>
      <w:rFonts w:asciiTheme="majorHAnsi" w:eastAsiaTheme="majorEastAsia" w:hAnsiTheme="majorHAnsi" w:cstheme="majorBidi"/>
      <w:spacing w:val="-10"/>
      <w:kern w:val="28"/>
      <w:sz w:val="56"/>
      <w:szCs w:val="56"/>
      <w:lang w:val="en-US" w:eastAsia="en-US"/>
    </w:rPr>
  </w:style>
  <w:style w:type="character" w:customStyle="1" w:styleId="TtuloCar">
    <w:name w:val="Título Car"/>
    <w:basedOn w:val="Fuentedeprrafopredeter"/>
    <w:link w:val="Ttulo"/>
    <w:uiPriority w:val="10"/>
    <w:rsid w:val="00D27034"/>
    <w:rPr>
      <w:rFonts w:asciiTheme="majorHAnsi" w:eastAsiaTheme="majorEastAsia" w:hAnsiTheme="majorHAnsi" w:cstheme="majorBidi"/>
      <w:spacing w:val="-10"/>
      <w:kern w:val="28"/>
      <w:sz w:val="56"/>
      <w:szCs w:val="56"/>
      <w:lang w:val="en-US"/>
      <w14:ligatures w14:val="none"/>
    </w:rPr>
  </w:style>
  <w:style w:type="character" w:customStyle="1" w:styleId="baj">
    <w:name w:val="b_aj"/>
    <w:basedOn w:val="Fuentedeprrafopredeter"/>
    <w:rsid w:val="00D27034"/>
  </w:style>
  <w:style w:type="character" w:styleId="Hipervnculo">
    <w:name w:val="Hyperlink"/>
    <w:basedOn w:val="Fuentedeprrafopredeter"/>
    <w:uiPriority w:val="99"/>
    <w:unhideWhenUsed/>
    <w:rsid w:val="00D27034"/>
    <w:rPr>
      <w:color w:val="0000FF"/>
      <w:u w:val="single"/>
    </w:rPr>
  </w:style>
  <w:style w:type="paragraph" w:styleId="Lista">
    <w:name w:val="List"/>
    <w:basedOn w:val="Normal"/>
    <w:uiPriority w:val="99"/>
    <w:unhideWhenUsed/>
    <w:rsid w:val="00D27034"/>
    <w:pPr>
      <w:ind w:left="283" w:hanging="283"/>
      <w:contextualSpacing/>
    </w:pPr>
    <w:rPr>
      <w:lang w:val="en-US" w:eastAsia="en-US"/>
    </w:rPr>
  </w:style>
  <w:style w:type="paragraph" w:styleId="Lista2">
    <w:name w:val="List 2"/>
    <w:basedOn w:val="Normal"/>
    <w:uiPriority w:val="99"/>
    <w:unhideWhenUsed/>
    <w:rsid w:val="00D27034"/>
    <w:pPr>
      <w:ind w:left="566" w:hanging="283"/>
      <w:contextualSpacing/>
    </w:pPr>
    <w:rPr>
      <w:lang w:val="en-US" w:eastAsia="en-US"/>
    </w:rPr>
  </w:style>
  <w:style w:type="paragraph" w:styleId="Encabezadodemensaje">
    <w:name w:val="Message Header"/>
    <w:basedOn w:val="Normal"/>
    <w:link w:val="EncabezadodemensajeCar"/>
    <w:uiPriority w:val="99"/>
    <w:unhideWhenUsed/>
    <w:rsid w:val="00D27034"/>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lang w:val="en-US" w:eastAsia="en-US"/>
    </w:rPr>
  </w:style>
  <w:style w:type="character" w:customStyle="1" w:styleId="EncabezadodemensajeCar">
    <w:name w:val="Encabezado de mensaje Car"/>
    <w:basedOn w:val="Fuentedeprrafopredeter"/>
    <w:link w:val="Encabezadodemensaje"/>
    <w:uiPriority w:val="99"/>
    <w:rsid w:val="00D27034"/>
    <w:rPr>
      <w:rFonts w:asciiTheme="majorHAnsi" w:eastAsiaTheme="majorEastAsia" w:hAnsiTheme="majorHAnsi" w:cstheme="majorBidi"/>
      <w:kern w:val="0"/>
      <w:sz w:val="24"/>
      <w:szCs w:val="24"/>
      <w:shd w:val="pct20" w:color="auto" w:fill="auto"/>
      <w:lang w:val="en-US"/>
      <w14:ligatures w14:val="none"/>
    </w:rPr>
  </w:style>
  <w:style w:type="paragraph" w:styleId="Saludo">
    <w:name w:val="Salutation"/>
    <w:basedOn w:val="Normal"/>
    <w:next w:val="Normal"/>
    <w:link w:val="SaludoCar"/>
    <w:uiPriority w:val="99"/>
    <w:unhideWhenUsed/>
    <w:rsid w:val="00D27034"/>
    <w:rPr>
      <w:lang w:val="en-US" w:eastAsia="en-US"/>
    </w:rPr>
  </w:style>
  <w:style w:type="character" w:customStyle="1" w:styleId="SaludoCar">
    <w:name w:val="Saludo Car"/>
    <w:basedOn w:val="Fuentedeprrafopredeter"/>
    <w:link w:val="Saludo"/>
    <w:uiPriority w:val="99"/>
    <w:rsid w:val="00D27034"/>
    <w:rPr>
      <w:rFonts w:ascii="Times New Roman" w:eastAsia="Times New Roman" w:hAnsi="Times New Roman" w:cs="Times New Roman"/>
      <w:kern w:val="0"/>
      <w:sz w:val="24"/>
      <w:szCs w:val="24"/>
      <w:lang w:val="en-US"/>
      <w14:ligatures w14:val="none"/>
    </w:rPr>
  </w:style>
  <w:style w:type="paragraph" w:styleId="Continuarlista">
    <w:name w:val="List Continue"/>
    <w:basedOn w:val="Normal"/>
    <w:uiPriority w:val="99"/>
    <w:unhideWhenUsed/>
    <w:rsid w:val="00D27034"/>
    <w:pPr>
      <w:spacing w:after="120"/>
      <w:ind w:left="283"/>
      <w:contextualSpacing/>
    </w:pPr>
    <w:rPr>
      <w:lang w:val="en-US" w:eastAsia="en-US"/>
    </w:rPr>
  </w:style>
  <w:style w:type="paragraph" w:styleId="Textoindependiente">
    <w:name w:val="Body Text"/>
    <w:basedOn w:val="Normal"/>
    <w:link w:val="TextoindependienteCar"/>
    <w:uiPriority w:val="99"/>
    <w:unhideWhenUsed/>
    <w:rsid w:val="00D27034"/>
    <w:pPr>
      <w:spacing w:after="120"/>
    </w:pPr>
    <w:rPr>
      <w:lang w:val="en-US" w:eastAsia="en-US"/>
    </w:rPr>
  </w:style>
  <w:style w:type="character" w:customStyle="1" w:styleId="TextoindependienteCar">
    <w:name w:val="Texto independiente Car"/>
    <w:basedOn w:val="Fuentedeprrafopredeter"/>
    <w:link w:val="Textoindependiente"/>
    <w:uiPriority w:val="99"/>
    <w:rsid w:val="00D27034"/>
    <w:rPr>
      <w:rFonts w:ascii="Times New Roman" w:eastAsia="Times New Roman" w:hAnsi="Times New Roman" w:cs="Times New Roman"/>
      <w:kern w:val="0"/>
      <w:sz w:val="24"/>
      <w:szCs w:val="24"/>
      <w:lang w:val="en-US"/>
      <w14:ligatures w14:val="none"/>
    </w:rPr>
  </w:style>
  <w:style w:type="paragraph" w:styleId="Sangradetextonormal">
    <w:name w:val="Body Text Indent"/>
    <w:basedOn w:val="Normal"/>
    <w:link w:val="SangradetextonormalCar"/>
    <w:uiPriority w:val="99"/>
    <w:semiHidden/>
    <w:unhideWhenUsed/>
    <w:rsid w:val="00D27034"/>
    <w:pPr>
      <w:spacing w:after="120"/>
      <w:ind w:left="283"/>
    </w:pPr>
    <w:rPr>
      <w:lang w:val="en-US" w:eastAsia="en-US"/>
    </w:rPr>
  </w:style>
  <w:style w:type="character" w:customStyle="1" w:styleId="SangradetextonormalCar">
    <w:name w:val="Sangría de texto normal Car"/>
    <w:basedOn w:val="Fuentedeprrafopredeter"/>
    <w:link w:val="Sangradetextonormal"/>
    <w:uiPriority w:val="99"/>
    <w:semiHidden/>
    <w:rsid w:val="00D27034"/>
    <w:rPr>
      <w:rFonts w:ascii="Times New Roman" w:eastAsia="Times New Roman" w:hAnsi="Times New Roman" w:cs="Times New Roman"/>
      <w:kern w:val="0"/>
      <w:sz w:val="24"/>
      <w:szCs w:val="24"/>
      <w:lang w:val="en-US"/>
      <w14:ligatures w14:val="none"/>
    </w:rPr>
  </w:style>
  <w:style w:type="paragraph" w:styleId="Textoindependienteprimerasangra2">
    <w:name w:val="Body Text First Indent 2"/>
    <w:basedOn w:val="Sangradetextonormal"/>
    <w:link w:val="Textoindependienteprimerasangra2Car"/>
    <w:uiPriority w:val="99"/>
    <w:unhideWhenUsed/>
    <w:rsid w:val="00D2703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27034"/>
    <w:rPr>
      <w:rFonts w:ascii="Times New Roman" w:eastAsia="Times New Roman" w:hAnsi="Times New Roman" w:cs="Times New Roman"/>
      <w:kern w:val="0"/>
      <w:sz w:val="24"/>
      <w:szCs w:val="24"/>
      <w:lang w:val="en-US"/>
      <w14:ligatures w14:val="none"/>
    </w:rPr>
  </w:style>
  <w:style w:type="paragraph" w:styleId="Prrafodelista">
    <w:name w:val="List Paragraph"/>
    <w:aliases w:val="List,titulo 3,Párrafo de lista1,Bullets,Ha,Párrafo de lista2,Lista vistosa - Énfasis 11,Cuadrícula clara - Énfasis 31,Dot pt,F5 List Paragraph,List Paragraph1,No Spacing1,List Paragraph Char Char Char,Indicator Text,List Paragraph,lp1"/>
    <w:basedOn w:val="Normal"/>
    <w:link w:val="PrrafodelistaCar"/>
    <w:uiPriority w:val="34"/>
    <w:qFormat/>
    <w:rsid w:val="00D27034"/>
    <w:pPr>
      <w:ind w:left="720"/>
      <w:contextualSpacing/>
    </w:pPr>
    <w:rPr>
      <w:lang w:val="en-US" w:eastAsia="en-US"/>
    </w:rPr>
  </w:style>
  <w:style w:type="paragraph" w:customStyle="1" w:styleId="Refdenotaalpie2">
    <w:name w:val="Ref. de nota al pie2"/>
    <w:aliases w:val="Pie de pagina"/>
    <w:basedOn w:val="Normal"/>
    <w:uiPriority w:val="99"/>
    <w:qFormat/>
    <w:rsid w:val="00D27034"/>
    <w:pPr>
      <w:spacing w:after="160" w:line="240" w:lineRule="exact"/>
    </w:pPr>
    <w:rPr>
      <w:rFonts w:asciiTheme="minorHAnsi" w:eastAsiaTheme="minorHAnsi" w:hAnsiTheme="minorHAnsi" w:cstheme="minorBidi"/>
      <w:sz w:val="22"/>
      <w:szCs w:val="22"/>
      <w:vertAlign w:val="superscript"/>
      <w:lang w:eastAsia="en-US"/>
    </w:rPr>
  </w:style>
  <w:style w:type="character" w:customStyle="1" w:styleId="PrrafodelistaCar">
    <w:name w:val="Párrafo de lista Car"/>
    <w:aliases w:val="List Car,titulo 3 Car,Párrafo de lista1 Car,Bullets Car,Ha Car,Párrafo de lista2 Car,Lista vistosa - Énfasis 11 Car,Cuadrícula clara - Énfasis 31 Car,Dot pt Car,F5 List Paragraph Car,List Paragraph1 Car,No Spacing1 Car,lp1 Car"/>
    <w:link w:val="Prrafodelista"/>
    <w:uiPriority w:val="34"/>
    <w:qFormat/>
    <w:locked/>
    <w:rsid w:val="00D27034"/>
    <w:rPr>
      <w:rFonts w:ascii="Times New Roman" w:eastAsia="Times New Roman" w:hAnsi="Times New Roman" w:cs="Times New Roman"/>
      <w:kern w:val="0"/>
      <w:sz w:val="24"/>
      <w:szCs w:val="24"/>
      <w:lang w:val="en-US"/>
      <w14:ligatures w14:val="none"/>
    </w:rPr>
  </w:style>
  <w:style w:type="table" w:styleId="Tablaconcuadrcula">
    <w:name w:val="Table Grid"/>
    <w:basedOn w:val="Tablanormal"/>
    <w:uiPriority w:val="39"/>
    <w:rsid w:val="00D27034"/>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D27034"/>
    <w:pPr>
      <w:spacing w:after="0" w:line="240" w:lineRule="auto"/>
      <w:jc w:val="both"/>
    </w:pPr>
    <w:rPr>
      <w:color w:val="000000" w:themeColor="text1"/>
      <w:kern w:val="0"/>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D27034"/>
    <w:rPr>
      <w:sz w:val="18"/>
      <w:szCs w:val="18"/>
      <w:lang w:val="en-US" w:eastAsia="en-US"/>
    </w:rPr>
  </w:style>
  <w:style w:type="character" w:customStyle="1" w:styleId="TextodegloboCar">
    <w:name w:val="Texto de globo Car"/>
    <w:basedOn w:val="Fuentedeprrafopredeter"/>
    <w:link w:val="Textodeglobo"/>
    <w:uiPriority w:val="99"/>
    <w:semiHidden/>
    <w:rsid w:val="00D27034"/>
    <w:rPr>
      <w:rFonts w:ascii="Times New Roman" w:eastAsia="Times New Roman" w:hAnsi="Times New Roman" w:cs="Times New Roman"/>
      <w:kern w:val="0"/>
      <w:sz w:val="18"/>
      <w:szCs w:val="18"/>
      <w:lang w:val="en-US"/>
      <w14:ligatures w14:val="none"/>
    </w:rPr>
  </w:style>
  <w:style w:type="character" w:styleId="Refdecomentario">
    <w:name w:val="annotation reference"/>
    <w:basedOn w:val="Fuentedeprrafopredeter"/>
    <w:uiPriority w:val="99"/>
    <w:semiHidden/>
    <w:unhideWhenUsed/>
    <w:rsid w:val="00D27034"/>
    <w:rPr>
      <w:sz w:val="16"/>
      <w:szCs w:val="16"/>
    </w:rPr>
  </w:style>
  <w:style w:type="paragraph" w:styleId="Textocomentario">
    <w:name w:val="annotation text"/>
    <w:basedOn w:val="Normal"/>
    <w:link w:val="TextocomentarioCar"/>
    <w:uiPriority w:val="99"/>
    <w:unhideWhenUsed/>
    <w:rsid w:val="00D27034"/>
    <w:rPr>
      <w:sz w:val="20"/>
      <w:szCs w:val="20"/>
      <w:lang w:val="en-US" w:eastAsia="en-US"/>
    </w:rPr>
  </w:style>
  <w:style w:type="character" w:customStyle="1" w:styleId="TextocomentarioCar">
    <w:name w:val="Texto comentario Car"/>
    <w:basedOn w:val="Fuentedeprrafopredeter"/>
    <w:link w:val="Textocomentario"/>
    <w:uiPriority w:val="99"/>
    <w:rsid w:val="00D27034"/>
    <w:rPr>
      <w:rFonts w:ascii="Times New Roman" w:eastAsia="Times New Roman" w:hAnsi="Times New Roman" w:cs="Times New Roman"/>
      <w:kern w:val="0"/>
      <w:sz w:val="20"/>
      <w:szCs w:val="20"/>
      <w:lang w:val="en-US"/>
      <w14:ligatures w14:val="none"/>
    </w:rPr>
  </w:style>
  <w:style w:type="paragraph" w:styleId="Asuntodelcomentario">
    <w:name w:val="annotation subject"/>
    <w:basedOn w:val="Textocomentario"/>
    <w:next w:val="Textocomentario"/>
    <w:link w:val="AsuntodelcomentarioCar"/>
    <w:uiPriority w:val="99"/>
    <w:semiHidden/>
    <w:unhideWhenUsed/>
    <w:rsid w:val="00D27034"/>
    <w:rPr>
      <w:b/>
      <w:bCs/>
    </w:rPr>
  </w:style>
  <w:style w:type="character" w:customStyle="1" w:styleId="AsuntodelcomentarioCar">
    <w:name w:val="Asunto del comentario Car"/>
    <w:basedOn w:val="TextocomentarioCar"/>
    <w:link w:val="Asuntodelcomentario"/>
    <w:uiPriority w:val="99"/>
    <w:semiHidden/>
    <w:rsid w:val="00D27034"/>
    <w:rPr>
      <w:rFonts w:ascii="Times New Roman" w:eastAsia="Times New Roman" w:hAnsi="Times New Roman" w:cs="Times New Roman"/>
      <w:b/>
      <w:bCs/>
      <w:kern w:val="0"/>
      <w:sz w:val="20"/>
      <w:szCs w:val="20"/>
      <w:lang w:val="en-US"/>
      <w14:ligatures w14:val="none"/>
    </w:rPr>
  </w:style>
  <w:style w:type="paragraph" w:styleId="Encabezado">
    <w:name w:val="header"/>
    <w:basedOn w:val="Normal"/>
    <w:link w:val="EncabezadoCar"/>
    <w:uiPriority w:val="99"/>
    <w:unhideWhenUsed/>
    <w:rsid w:val="00D27034"/>
    <w:pPr>
      <w:tabs>
        <w:tab w:val="center" w:pos="4419"/>
        <w:tab w:val="right" w:pos="8838"/>
      </w:tabs>
    </w:pPr>
    <w:rPr>
      <w:lang w:val="en-US" w:eastAsia="en-US"/>
    </w:rPr>
  </w:style>
  <w:style w:type="character" w:customStyle="1" w:styleId="EncabezadoCar">
    <w:name w:val="Encabezado Car"/>
    <w:basedOn w:val="Fuentedeprrafopredeter"/>
    <w:link w:val="Encabezado"/>
    <w:uiPriority w:val="99"/>
    <w:rsid w:val="00D27034"/>
    <w:rPr>
      <w:rFonts w:ascii="Times New Roman" w:eastAsia="Times New Roman" w:hAnsi="Times New Roman" w:cs="Times New Roman"/>
      <w:kern w:val="0"/>
      <w:sz w:val="24"/>
      <w:szCs w:val="24"/>
      <w:lang w:val="en-US"/>
      <w14:ligatures w14:val="none"/>
    </w:rPr>
  </w:style>
  <w:style w:type="paragraph" w:styleId="Piedepgina">
    <w:name w:val="footer"/>
    <w:basedOn w:val="Normal"/>
    <w:link w:val="PiedepginaCar"/>
    <w:uiPriority w:val="99"/>
    <w:unhideWhenUsed/>
    <w:rsid w:val="00D27034"/>
    <w:pPr>
      <w:tabs>
        <w:tab w:val="center" w:pos="4419"/>
        <w:tab w:val="right" w:pos="8838"/>
      </w:tabs>
    </w:pPr>
    <w:rPr>
      <w:lang w:val="en-US" w:eastAsia="en-US"/>
    </w:rPr>
  </w:style>
  <w:style w:type="character" w:customStyle="1" w:styleId="PiedepginaCar">
    <w:name w:val="Pie de página Car"/>
    <w:basedOn w:val="Fuentedeprrafopredeter"/>
    <w:link w:val="Piedepgina"/>
    <w:uiPriority w:val="99"/>
    <w:rsid w:val="00D27034"/>
    <w:rPr>
      <w:rFonts w:ascii="Times New Roman" w:eastAsia="Times New Roman" w:hAnsi="Times New Roman" w:cs="Times New Roman"/>
      <w:kern w:val="0"/>
      <w:sz w:val="24"/>
      <w:szCs w:val="24"/>
      <w:lang w:val="en-US"/>
      <w14:ligatures w14:val="none"/>
    </w:rPr>
  </w:style>
  <w:style w:type="character" w:styleId="Nmerodepgina">
    <w:name w:val="page number"/>
    <w:basedOn w:val="Fuentedeprrafopredeter"/>
    <w:uiPriority w:val="99"/>
    <w:semiHidden/>
    <w:unhideWhenUsed/>
    <w:rsid w:val="00D27034"/>
  </w:style>
  <w:style w:type="paragraph" w:styleId="Revisin">
    <w:name w:val="Revision"/>
    <w:hidden/>
    <w:uiPriority w:val="99"/>
    <w:semiHidden/>
    <w:rsid w:val="00D27034"/>
    <w:pPr>
      <w:spacing w:after="0" w:line="240" w:lineRule="auto"/>
    </w:pPr>
    <w:rPr>
      <w:rFonts w:ascii="Times New Roman" w:eastAsia="Times New Roman" w:hAnsi="Times New Roman" w:cs="Times New Roman"/>
      <w:kern w:val="0"/>
      <w:sz w:val="24"/>
      <w:szCs w:val="24"/>
      <w:lang w:val="en-US"/>
      <w14:ligatures w14:val="none"/>
    </w:rPr>
  </w:style>
  <w:style w:type="table" w:styleId="Tablacontema">
    <w:name w:val="Table Theme"/>
    <w:basedOn w:val="Tablanormal"/>
    <w:uiPriority w:val="99"/>
    <w:rsid w:val="00D27034"/>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ctual1">
    <w:name w:val="Lista actual1"/>
    <w:uiPriority w:val="99"/>
    <w:rsid w:val="00D27034"/>
    <w:pPr>
      <w:numPr>
        <w:numId w:val="1"/>
      </w:numPr>
    </w:pPr>
  </w:style>
  <w:style w:type="paragraph" w:customStyle="1" w:styleId="Estilo1">
    <w:name w:val="Estilo1"/>
    <w:basedOn w:val="Normal"/>
    <w:link w:val="Estilo1Car"/>
    <w:qFormat/>
    <w:rsid w:val="00D27034"/>
    <w:pPr>
      <w:widowControl w:val="0"/>
      <w:ind w:left="360" w:hanging="360"/>
    </w:pPr>
    <w:rPr>
      <w:sz w:val="28"/>
      <w:szCs w:val="28"/>
      <w:lang w:eastAsia="es-CO"/>
    </w:rPr>
  </w:style>
  <w:style w:type="character" w:customStyle="1" w:styleId="Estilo1Car">
    <w:name w:val="Estilo1 Car"/>
    <w:basedOn w:val="Fuentedeprrafopredeter"/>
    <w:link w:val="Estilo1"/>
    <w:rsid w:val="00D27034"/>
    <w:rPr>
      <w:rFonts w:ascii="Times New Roman" w:eastAsia="Times New Roman" w:hAnsi="Times New Roman" w:cs="Times New Roman"/>
      <w:kern w:val="0"/>
      <w:sz w:val="28"/>
      <w:szCs w:val="28"/>
      <w:lang w:val="es-ES" w:eastAsia="es-CO"/>
      <w14:ligatures w14:val="none"/>
    </w:rPr>
  </w:style>
  <w:style w:type="paragraph" w:styleId="Subttulo">
    <w:name w:val="Subtitle"/>
    <w:basedOn w:val="Normal"/>
    <w:next w:val="Normal"/>
    <w:link w:val="SubttuloCar"/>
    <w:uiPriority w:val="11"/>
    <w:qFormat/>
    <w:rsid w:val="00D27034"/>
    <w:pPr>
      <w:widowControl w:val="0"/>
      <w:numPr>
        <w:ilvl w:val="1"/>
      </w:numPr>
      <w:pBdr>
        <w:top w:val="nil"/>
        <w:left w:val="nil"/>
        <w:bottom w:val="nil"/>
        <w:right w:val="nil"/>
        <w:between w:val="nil"/>
      </w:pBdr>
      <w:spacing w:after="160"/>
    </w:pPr>
    <w:rPr>
      <w:rFonts w:asciiTheme="minorHAnsi" w:eastAsiaTheme="minorEastAsia" w:hAnsiTheme="minorHAnsi" w:cstheme="minorBidi"/>
      <w:color w:val="5A5A5A" w:themeColor="text1" w:themeTint="A5"/>
      <w:spacing w:val="15"/>
      <w:sz w:val="22"/>
      <w:szCs w:val="22"/>
      <w:lang w:eastAsia="es-CO"/>
    </w:rPr>
  </w:style>
  <w:style w:type="character" w:customStyle="1" w:styleId="SubttuloCar">
    <w:name w:val="Subtítulo Car"/>
    <w:basedOn w:val="Fuentedeprrafopredeter"/>
    <w:link w:val="Subttulo"/>
    <w:uiPriority w:val="11"/>
    <w:rsid w:val="00D27034"/>
    <w:rPr>
      <w:rFonts w:eastAsiaTheme="minorEastAsia"/>
      <w:color w:val="5A5A5A" w:themeColor="text1" w:themeTint="A5"/>
      <w:spacing w:val="15"/>
      <w:kern w:val="0"/>
      <w:lang w:val="es-ES" w:eastAsia="es-CO"/>
      <w14:ligatures w14:val="none"/>
    </w:rPr>
  </w:style>
  <w:style w:type="character" w:customStyle="1" w:styleId="Mencinsinresolver1">
    <w:name w:val="Mención sin resolver1"/>
    <w:basedOn w:val="Fuentedeprrafopredeter"/>
    <w:uiPriority w:val="99"/>
    <w:semiHidden/>
    <w:unhideWhenUsed/>
    <w:rsid w:val="00D27034"/>
    <w:rPr>
      <w:color w:val="605E5C"/>
      <w:shd w:val="clear" w:color="auto" w:fill="E1DFDD"/>
    </w:rPr>
  </w:style>
  <w:style w:type="paragraph" w:styleId="Textoindependiente3">
    <w:name w:val="Body Text 3"/>
    <w:basedOn w:val="Normal"/>
    <w:link w:val="Textoindependiente3Car"/>
    <w:uiPriority w:val="99"/>
    <w:semiHidden/>
    <w:unhideWhenUsed/>
    <w:rsid w:val="00D2703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D27034"/>
    <w:rPr>
      <w:rFonts w:ascii="Times New Roman" w:eastAsia="Times New Roman" w:hAnsi="Times New Roman" w:cs="Times New Roman"/>
      <w:kern w:val="0"/>
      <w:sz w:val="16"/>
      <w:szCs w:val="16"/>
      <w:lang w:val="es-ES" w:eastAsia="es-ES_tradnl"/>
      <w14:ligatures w14:val="none"/>
    </w:rPr>
  </w:style>
  <w:style w:type="character" w:customStyle="1" w:styleId="Mencinsinresolver2">
    <w:name w:val="Mención sin resolver2"/>
    <w:basedOn w:val="Fuentedeprrafopredeter"/>
    <w:uiPriority w:val="99"/>
    <w:semiHidden/>
    <w:unhideWhenUsed/>
    <w:rsid w:val="00D27034"/>
    <w:rPr>
      <w:color w:val="605E5C"/>
      <w:shd w:val="clear" w:color="auto" w:fill="E1DFDD"/>
    </w:rPr>
  </w:style>
  <w:style w:type="character" w:customStyle="1" w:styleId="apple-converted-space">
    <w:name w:val="apple-converted-space"/>
    <w:basedOn w:val="Fuentedeprrafopredeter"/>
    <w:rsid w:val="00D27034"/>
  </w:style>
  <w:style w:type="character" w:styleId="Hipervnculovisitado">
    <w:name w:val="FollowedHyperlink"/>
    <w:basedOn w:val="Fuentedeprrafopredeter"/>
    <w:uiPriority w:val="99"/>
    <w:semiHidden/>
    <w:unhideWhenUsed/>
    <w:rsid w:val="00D27034"/>
    <w:rPr>
      <w:color w:val="954F72" w:themeColor="followedHyperlink"/>
      <w:u w:val="single"/>
    </w:rPr>
  </w:style>
  <w:style w:type="paragraph" w:styleId="Sinespaciado">
    <w:name w:val="No Spacing"/>
    <w:uiPriority w:val="1"/>
    <w:qFormat/>
    <w:rsid w:val="00D27034"/>
    <w:pPr>
      <w:spacing w:after="0" w:line="240" w:lineRule="auto"/>
    </w:pPr>
  </w:style>
  <w:style w:type="paragraph" w:customStyle="1" w:styleId="Default">
    <w:name w:val="Default"/>
    <w:rsid w:val="00D27034"/>
    <w:pPr>
      <w:autoSpaceDE w:val="0"/>
      <w:autoSpaceDN w:val="0"/>
      <w:adjustRightInd w:val="0"/>
      <w:spacing w:after="0" w:line="240" w:lineRule="auto"/>
    </w:pPr>
    <w:rPr>
      <w:rFonts w:ascii="AAAAAK+TimesNewRomanPSMT" w:hAnsi="AAAAAK+TimesNewRomanPSMT" w:cs="AAAAAK+TimesNewRomanPSMT"/>
      <w:color w:val="000000"/>
      <w:kern w:val="0"/>
      <w:sz w:val="24"/>
      <w:szCs w:val="24"/>
    </w:rPr>
  </w:style>
  <w:style w:type="table" w:customStyle="1" w:styleId="Tablaconcuadrcula1">
    <w:name w:val="Tabla con cuadrícula1"/>
    <w:basedOn w:val="Tablanormal"/>
    <w:next w:val="Tablaconcuadrcula"/>
    <w:uiPriority w:val="39"/>
    <w:rsid w:val="00D27034"/>
    <w:pPr>
      <w:widowControl w:val="0"/>
      <w:spacing w:after="0" w:line="240" w:lineRule="auto"/>
    </w:pPr>
    <w:rPr>
      <w:rFonts w:ascii="Times New Roman" w:eastAsia="Times New Roman" w:hAnsi="Times New Roman" w:cs="Times New Roman"/>
      <w:color w:val="000000"/>
      <w:kern w:val="0"/>
      <w:sz w:val="20"/>
      <w:szCs w:val="20"/>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cladenotaalpie">
    <w:name w:val="ancladenotaalpie"/>
    <w:basedOn w:val="Fuentedeprrafopredeter"/>
    <w:rsid w:val="002A67DE"/>
  </w:style>
  <w:style w:type="character" w:styleId="Textoennegrita">
    <w:name w:val="Strong"/>
    <w:basedOn w:val="Fuentedeprrafopredeter"/>
    <w:uiPriority w:val="22"/>
    <w:qFormat/>
    <w:rsid w:val="002A67DE"/>
    <w:rPr>
      <w:b/>
      <w:bCs/>
    </w:rPr>
  </w:style>
  <w:style w:type="paragraph" w:customStyle="1" w:styleId="p1">
    <w:name w:val="p1"/>
    <w:basedOn w:val="Normal"/>
    <w:rsid w:val="00B32042"/>
    <w:rPr>
      <w:rFonts w:ascii="Helvetica" w:hAnsi="Helvetica"/>
      <w:color w:val="000000"/>
      <w:sz w:val="18"/>
      <w:szCs w:val="18"/>
    </w:rPr>
  </w:style>
  <w:style w:type="paragraph" w:customStyle="1" w:styleId="normaljustificado">
    <w:name w:val="normaljustificado"/>
    <w:basedOn w:val="Normal"/>
    <w:rsid w:val="00062F4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0545">
      <w:bodyDiv w:val="1"/>
      <w:marLeft w:val="0"/>
      <w:marRight w:val="0"/>
      <w:marTop w:val="0"/>
      <w:marBottom w:val="0"/>
      <w:divBdr>
        <w:top w:val="none" w:sz="0" w:space="0" w:color="auto"/>
        <w:left w:val="none" w:sz="0" w:space="0" w:color="auto"/>
        <w:bottom w:val="none" w:sz="0" w:space="0" w:color="auto"/>
        <w:right w:val="none" w:sz="0" w:space="0" w:color="auto"/>
      </w:divBdr>
    </w:div>
    <w:div w:id="155608139">
      <w:bodyDiv w:val="1"/>
      <w:marLeft w:val="0"/>
      <w:marRight w:val="0"/>
      <w:marTop w:val="0"/>
      <w:marBottom w:val="0"/>
      <w:divBdr>
        <w:top w:val="none" w:sz="0" w:space="0" w:color="auto"/>
        <w:left w:val="none" w:sz="0" w:space="0" w:color="auto"/>
        <w:bottom w:val="none" w:sz="0" w:space="0" w:color="auto"/>
        <w:right w:val="none" w:sz="0" w:space="0" w:color="auto"/>
      </w:divBdr>
    </w:div>
    <w:div w:id="279535092">
      <w:bodyDiv w:val="1"/>
      <w:marLeft w:val="0"/>
      <w:marRight w:val="0"/>
      <w:marTop w:val="0"/>
      <w:marBottom w:val="0"/>
      <w:divBdr>
        <w:top w:val="none" w:sz="0" w:space="0" w:color="auto"/>
        <w:left w:val="none" w:sz="0" w:space="0" w:color="auto"/>
        <w:bottom w:val="none" w:sz="0" w:space="0" w:color="auto"/>
        <w:right w:val="none" w:sz="0" w:space="0" w:color="auto"/>
      </w:divBdr>
    </w:div>
    <w:div w:id="300307347">
      <w:bodyDiv w:val="1"/>
      <w:marLeft w:val="0"/>
      <w:marRight w:val="0"/>
      <w:marTop w:val="0"/>
      <w:marBottom w:val="0"/>
      <w:divBdr>
        <w:top w:val="none" w:sz="0" w:space="0" w:color="auto"/>
        <w:left w:val="none" w:sz="0" w:space="0" w:color="auto"/>
        <w:bottom w:val="none" w:sz="0" w:space="0" w:color="auto"/>
        <w:right w:val="none" w:sz="0" w:space="0" w:color="auto"/>
      </w:divBdr>
    </w:div>
    <w:div w:id="372583345">
      <w:bodyDiv w:val="1"/>
      <w:marLeft w:val="0"/>
      <w:marRight w:val="0"/>
      <w:marTop w:val="0"/>
      <w:marBottom w:val="0"/>
      <w:divBdr>
        <w:top w:val="none" w:sz="0" w:space="0" w:color="auto"/>
        <w:left w:val="none" w:sz="0" w:space="0" w:color="auto"/>
        <w:bottom w:val="none" w:sz="0" w:space="0" w:color="auto"/>
        <w:right w:val="none" w:sz="0" w:space="0" w:color="auto"/>
      </w:divBdr>
    </w:div>
    <w:div w:id="378748466">
      <w:bodyDiv w:val="1"/>
      <w:marLeft w:val="0"/>
      <w:marRight w:val="0"/>
      <w:marTop w:val="0"/>
      <w:marBottom w:val="0"/>
      <w:divBdr>
        <w:top w:val="none" w:sz="0" w:space="0" w:color="auto"/>
        <w:left w:val="none" w:sz="0" w:space="0" w:color="auto"/>
        <w:bottom w:val="none" w:sz="0" w:space="0" w:color="auto"/>
        <w:right w:val="none" w:sz="0" w:space="0" w:color="auto"/>
      </w:divBdr>
    </w:div>
    <w:div w:id="415516283">
      <w:bodyDiv w:val="1"/>
      <w:marLeft w:val="0"/>
      <w:marRight w:val="0"/>
      <w:marTop w:val="0"/>
      <w:marBottom w:val="0"/>
      <w:divBdr>
        <w:top w:val="none" w:sz="0" w:space="0" w:color="auto"/>
        <w:left w:val="none" w:sz="0" w:space="0" w:color="auto"/>
        <w:bottom w:val="none" w:sz="0" w:space="0" w:color="auto"/>
        <w:right w:val="none" w:sz="0" w:space="0" w:color="auto"/>
      </w:divBdr>
    </w:div>
    <w:div w:id="512450813">
      <w:bodyDiv w:val="1"/>
      <w:marLeft w:val="0"/>
      <w:marRight w:val="0"/>
      <w:marTop w:val="0"/>
      <w:marBottom w:val="0"/>
      <w:divBdr>
        <w:top w:val="none" w:sz="0" w:space="0" w:color="auto"/>
        <w:left w:val="none" w:sz="0" w:space="0" w:color="auto"/>
        <w:bottom w:val="none" w:sz="0" w:space="0" w:color="auto"/>
        <w:right w:val="none" w:sz="0" w:space="0" w:color="auto"/>
      </w:divBdr>
    </w:div>
    <w:div w:id="534581959">
      <w:bodyDiv w:val="1"/>
      <w:marLeft w:val="0"/>
      <w:marRight w:val="0"/>
      <w:marTop w:val="0"/>
      <w:marBottom w:val="0"/>
      <w:divBdr>
        <w:top w:val="none" w:sz="0" w:space="0" w:color="auto"/>
        <w:left w:val="none" w:sz="0" w:space="0" w:color="auto"/>
        <w:bottom w:val="none" w:sz="0" w:space="0" w:color="auto"/>
        <w:right w:val="none" w:sz="0" w:space="0" w:color="auto"/>
      </w:divBdr>
    </w:div>
    <w:div w:id="588346162">
      <w:bodyDiv w:val="1"/>
      <w:marLeft w:val="0"/>
      <w:marRight w:val="0"/>
      <w:marTop w:val="0"/>
      <w:marBottom w:val="0"/>
      <w:divBdr>
        <w:top w:val="none" w:sz="0" w:space="0" w:color="auto"/>
        <w:left w:val="none" w:sz="0" w:space="0" w:color="auto"/>
        <w:bottom w:val="none" w:sz="0" w:space="0" w:color="auto"/>
        <w:right w:val="none" w:sz="0" w:space="0" w:color="auto"/>
      </w:divBdr>
    </w:div>
    <w:div w:id="596866574">
      <w:bodyDiv w:val="1"/>
      <w:marLeft w:val="0"/>
      <w:marRight w:val="0"/>
      <w:marTop w:val="0"/>
      <w:marBottom w:val="0"/>
      <w:divBdr>
        <w:top w:val="none" w:sz="0" w:space="0" w:color="auto"/>
        <w:left w:val="none" w:sz="0" w:space="0" w:color="auto"/>
        <w:bottom w:val="none" w:sz="0" w:space="0" w:color="auto"/>
        <w:right w:val="none" w:sz="0" w:space="0" w:color="auto"/>
      </w:divBdr>
    </w:div>
    <w:div w:id="622073888">
      <w:bodyDiv w:val="1"/>
      <w:marLeft w:val="0"/>
      <w:marRight w:val="0"/>
      <w:marTop w:val="0"/>
      <w:marBottom w:val="0"/>
      <w:divBdr>
        <w:top w:val="none" w:sz="0" w:space="0" w:color="auto"/>
        <w:left w:val="none" w:sz="0" w:space="0" w:color="auto"/>
        <w:bottom w:val="none" w:sz="0" w:space="0" w:color="auto"/>
        <w:right w:val="none" w:sz="0" w:space="0" w:color="auto"/>
      </w:divBdr>
    </w:div>
    <w:div w:id="769397779">
      <w:bodyDiv w:val="1"/>
      <w:marLeft w:val="0"/>
      <w:marRight w:val="0"/>
      <w:marTop w:val="0"/>
      <w:marBottom w:val="0"/>
      <w:divBdr>
        <w:top w:val="none" w:sz="0" w:space="0" w:color="auto"/>
        <w:left w:val="none" w:sz="0" w:space="0" w:color="auto"/>
        <w:bottom w:val="none" w:sz="0" w:space="0" w:color="auto"/>
        <w:right w:val="none" w:sz="0" w:space="0" w:color="auto"/>
      </w:divBdr>
    </w:div>
    <w:div w:id="828405334">
      <w:bodyDiv w:val="1"/>
      <w:marLeft w:val="0"/>
      <w:marRight w:val="0"/>
      <w:marTop w:val="0"/>
      <w:marBottom w:val="0"/>
      <w:divBdr>
        <w:top w:val="none" w:sz="0" w:space="0" w:color="auto"/>
        <w:left w:val="none" w:sz="0" w:space="0" w:color="auto"/>
        <w:bottom w:val="none" w:sz="0" w:space="0" w:color="auto"/>
        <w:right w:val="none" w:sz="0" w:space="0" w:color="auto"/>
      </w:divBdr>
    </w:div>
    <w:div w:id="835223360">
      <w:bodyDiv w:val="1"/>
      <w:marLeft w:val="0"/>
      <w:marRight w:val="0"/>
      <w:marTop w:val="0"/>
      <w:marBottom w:val="0"/>
      <w:divBdr>
        <w:top w:val="none" w:sz="0" w:space="0" w:color="auto"/>
        <w:left w:val="none" w:sz="0" w:space="0" w:color="auto"/>
        <w:bottom w:val="none" w:sz="0" w:space="0" w:color="auto"/>
        <w:right w:val="none" w:sz="0" w:space="0" w:color="auto"/>
      </w:divBdr>
    </w:div>
    <w:div w:id="859125584">
      <w:bodyDiv w:val="1"/>
      <w:marLeft w:val="0"/>
      <w:marRight w:val="0"/>
      <w:marTop w:val="0"/>
      <w:marBottom w:val="0"/>
      <w:divBdr>
        <w:top w:val="none" w:sz="0" w:space="0" w:color="auto"/>
        <w:left w:val="none" w:sz="0" w:space="0" w:color="auto"/>
        <w:bottom w:val="none" w:sz="0" w:space="0" w:color="auto"/>
        <w:right w:val="none" w:sz="0" w:space="0" w:color="auto"/>
      </w:divBdr>
    </w:div>
    <w:div w:id="926694045">
      <w:bodyDiv w:val="1"/>
      <w:marLeft w:val="0"/>
      <w:marRight w:val="0"/>
      <w:marTop w:val="0"/>
      <w:marBottom w:val="0"/>
      <w:divBdr>
        <w:top w:val="none" w:sz="0" w:space="0" w:color="auto"/>
        <w:left w:val="none" w:sz="0" w:space="0" w:color="auto"/>
        <w:bottom w:val="none" w:sz="0" w:space="0" w:color="auto"/>
        <w:right w:val="none" w:sz="0" w:space="0" w:color="auto"/>
      </w:divBdr>
    </w:div>
    <w:div w:id="1052969228">
      <w:bodyDiv w:val="1"/>
      <w:marLeft w:val="0"/>
      <w:marRight w:val="0"/>
      <w:marTop w:val="0"/>
      <w:marBottom w:val="0"/>
      <w:divBdr>
        <w:top w:val="none" w:sz="0" w:space="0" w:color="auto"/>
        <w:left w:val="none" w:sz="0" w:space="0" w:color="auto"/>
        <w:bottom w:val="none" w:sz="0" w:space="0" w:color="auto"/>
        <w:right w:val="none" w:sz="0" w:space="0" w:color="auto"/>
      </w:divBdr>
    </w:div>
    <w:div w:id="1062211560">
      <w:bodyDiv w:val="1"/>
      <w:marLeft w:val="0"/>
      <w:marRight w:val="0"/>
      <w:marTop w:val="0"/>
      <w:marBottom w:val="0"/>
      <w:divBdr>
        <w:top w:val="none" w:sz="0" w:space="0" w:color="auto"/>
        <w:left w:val="none" w:sz="0" w:space="0" w:color="auto"/>
        <w:bottom w:val="none" w:sz="0" w:space="0" w:color="auto"/>
        <w:right w:val="none" w:sz="0" w:space="0" w:color="auto"/>
      </w:divBdr>
    </w:div>
    <w:div w:id="1104031716">
      <w:bodyDiv w:val="1"/>
      <w:marLeft w:val="0"/>
      <w:marRight w:val="0"/>
      <w:marTop w:val="0"/>
      <w:marBottom w:val="0"/>
      <w:divBdr>
        <w:top w:val="none" w:sz="0" w:space="0" w:color="auto"/>
        <w:left w:val="none" w:sz="0" w:space="0" w:color="auto"/>
        <w:bottom w:val="none" w:sz="0" w:space="0" w:color="auto"/>
        <w:right w:val="none" w:sz="0" w:space="0" w:color="auto"/>
      </w:divBdr>
    </w:div>
    <w:div w:id="1145857908">
      <w:bodyDiv w:val="1"/>
      <w:marLeft w:val="0"/>
      <w:marRight w:val="0"/>
      <w:marTop w:val="0"/>
      <w:marBottom w:val="0"/>
      <w:divBdr>
        <w:top w:val="none" w:sz="0" w:space="0" w:color="auto"/>
        <w:left w:val="none" w:sz="0" w:space="0" w:color="auto"/>
        <w:bottom w:val="none" w:sz="0" w:space="0" w:color="auto"/>
        <w:right w:val="none" w:sz="0" w:space="0" w:color="auto"/>
      </w:divBdr>
    </w:div>
    <w:div w:id="1315261463">
      <w:bodyDiv w:val="1"/>
      <w:marLeft w:val="0"/>
      <w:marRight w:val="0"/>
      <w:marTop w:val="0"/>
      <w:marBottom w:val="0"/>
      <w:divBdr>
        <w:top w:val="none" w:sz="0" w:space="0" w:color="auto"/>
        <w:left w:val="none" w:sz="0" w:space="0" w:color="auto"/>
        <w:bottom w:val="none" w:sz="0" w:space="0" w:color="auto"/>
        <w:right w:val="none" w:sz="0" w:space="0" w:color="auto"/>
      </w:divBdr>
    </w:div>
    <w:div w:id="1528448286">
      <w:bodyDiv w:val="1"/>
      <w:marLeft w:val="0"/>
      <w:marRight w:val="0"/>
      <w:marTop w:val="0"/>
      <w:marBottom w:val="0"/>
      <w:divBdr>
        <w:top w:val="none" w:sz="0" w:space="0" w:color="auto"/>
        <w:left w:val="none" w:sz="0" w:space="0" w:color="auto"/>
        <w:bottom w:val="none" w:sz="0" w:space="0" w:color="auto"/>
        <w:right w:val="none" w:sz="0" w:space="0" w:color="auto"/>
      </w:divBdr>
    </w:div>
    <w:div w:id="1578979505">
      <w:bodyDiv w:val="1"/>
      <w:marLeft w:val="0"/>
      <w:marRight w:val="0"/>
      <w:marTop w:val="0"/>
      <w:marBottom w:val="0"/>
      <w:divBdr>
        <w:top w:val="none" w:sz="0" w:space="0" w:color="auto"/>
        <w:left w:val="none" w:sz="0" w:space="0" w:color="auto"/>
        <w:bottom w:val="none" w:sz="0" w:space="0" w:color="auto"/>
        <w:right w:val="none" w:sz="0" w:space="0" w:color="auto"/>
      </w:divBdr>
    </w:div>
    <w:div w:id="1736855260">
      <w:bodyDiv w:val="1"/>
      <w:marLeft w:val="0"/>
      <w:marRight w:val="0"/>
      <w:marTop w:val="0"/>
      <w:marBottom w:val="0"/>
      <w:divBdr>
        <w:top w:val="none" w:sz="0" w:space="0" w:color="auto"/>
        <w:left w:val="none" w:sz="0" w:space="0" w:color="auto"/>
        <w:bottom w:val="none" w:sz="0" w:space="0" w:color="auto"/>
        <w:right w:val="none" w:sz="0" w:space="0" w:color="auto"/>
      </w:divBdr>
    </w:div>
    <w:div w:id="1774012814">
      <w:bodyDiv w:val="1"/>
      <w:marLeft w:val="0"/>
      <w:marRight w:val="0"/>
      <w:marTop w:val="0"/>
      <w:marBottom w:val="0"/>
      <w:divBdr>
        <w:top w:val="none" w:sz="0" w:space="0" w:color="auto"/>
        <w:left w:val="none" w:sz="0" w:space="0" w:color="auto"/>
        <w:bottom w:val="none" w:sz="0" w:space="0" w:color="auto"/>
        <w:right w:val="none" w:sz="0" w:space="0" w:color="auto"/>
      </w:divBdr>
    </w:div>
    <w:div w:id="1911890419">
      <w:bodyDiv w:val="1"/>
      <w:marLeft w:val="0"/>
      <w:marRight w:val="0"/>
      <w:marTop w:val="0"/>
      <w:marBottom w:val="0"/>
      <w:divBdr>
        <w:top w:val="none" w:sz="0" w:space="0" w:color="auto"/>
        <w:left w:val="none" w:sz="0" w:space="0" w:color="auto"/>
        <w:bottom w:val="none" w:sz="0" w:space="0" w:color="auto"/>
        <w:right w:val="none" w:sz="0" w:space="0" w:color="auto"/>
      </w:divBdr>
    </w:div>
    <w:div w:id="2003503861">
      <w:bodyDiv w:val="1"/>
      <w:marLeft w:val="0"/>
      <w:marRight w:val="0"/>
      <w:marTop w:val="0"/>
      <w:marBottom w:val="0"/>
      <w:divBdr>
        <w:top w:val="none" w:sz="0" w:space="0" w:color="auto"/>
        <w:left w:val="none" w:sz="0" w:space="0" w:color="auto"/>
        <w:bottom w:val="none" w:sz="0" w:space="0" w:color="auto"/>
        <w:right w:val="none" w:sz="0" w:space="0" w:color="auto"/>
      </w:divBdr>
    </w:div>
    <w:div w:id="212769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cretariasenado.gov.co/senado/basedoc/ley_1142_2007.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secretariasenado.gov.co/senado/basedoc/constitucion_politica_1991_pr004.html" TargetMode="External"/><Relationship Id="rId4" Type="http://schemas.openxmlformats.org/officeDocument/2006/relationships/settings" Target="settings.xml"/><Relationship Id="rId9" Type="http://schemas.openxmlformats.org/officeDocument/2006/relationships/hyperlink" Target="http://www.secretariasenado.gov.co/senado/basedoc/ley_0599_2000_pr002.html"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1A71-3FF1-4689-99C5-110615CE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9092</Words>
  <Characters>50010</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X415j</dc:creator>
  <cp:keywords/>
  <dc:description/>
  <cp:lastModifiedBy>AIDE BEDOYA RAMIREZ</cp:lastModifiedBy>
  <cp:revision>3</cp:revision>
  <cp:lastPrinted>2025-08-18T19:42:00Z</cp:lastPrinted>
  <dcterms:created xsi:type="dcterms:W3CDTF">2025-09-15T13:35:00Z</dcterms:created>
  <dcterms:modified xsi:type="dcterms:W3CDTF">2025-09-15T14:14:00Z</dcterms:modified>
</cp:coreProperties>
</file>