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eorgia" w:hAnsi="Georgia" w:cs="Georgia"/>
          <w:sz w:val="36"/>
          <w:sz-cs w:val="36"/>
          <w:b/>
          <w:i/>
          <w:spacing w:val="0"/>
        </w:rPr>
        <w:t xml:space="preserve">Golf anyone? A look at golf courses and country clubs by state</w:t>
      </w:r>
      <w:r>
        <w:rPr>
          <w:rFonts w:ascii="Georgia" w:hAnsi="Georgia" w:cs="Georgia"/>
          <w:sz w:val="36"/>
          <w:sz-cs w:val="36"/>
          <w:b/>
          <w:i/>
          <w:spacing w:val="0"/>
        </w:rPr>
        <w:t xml:space="preserve"/>
      </w:r>
    </w:p>
    <w:p>
      <w:pPr/>
      <w:r>
        <w:rPr>
          <w:rFonts w:ascii="Arial" w:hAnsi="Arial" w:cs="Arial"/>
          <w:sz w:val="22"/>
          <w:sz-cs w:val="22"/>
          <w:spacing w:val="0"/>
          <w:color w:val="535353"/>
        </w:rPr>
        <w:t xml:space="preserve">AUGUST 27, 2018</w:t>
      </w:r>
      <w:r>
        <w:rPr>
          <w:rFonts w:ascii="Arial" w:hAnsi="Arial" w:cs="Arial"/>
          <w:sz w:val="22"/>
          <w:sz-cs w:val="22"/>
          <w:spacing w:val="0"/>
          <w:color w:val="535353"/>
        </w:rPr>
        <w:t xml:space="preserve"/>
      </w:r>
    </w:p>
    <w:p>
      <w:pPr/>
      <w:r>
        <w:rPr>
          <w:rFonts w:ascii="Tahoma" w:hAnsi="Tahoma" w:cs="Tahoma"/>
          <w:sz w:val="26"/>
          <w:sz-cs w:val="26"/>
          <w:spacing w:val="0"/>
        </w:rPr>
        <w:t xml:space="preserve">Whether you belong to a country club or go to a public golf course, playing golf can be a year-round hobby or an annual outing with friends. States where golf courses and country clubs are prevalent are ideal homes for avid golfers. Nationwide, in December 2017, the golf courses and country clubs industry employed 307,000 in 11,100 establishments. Florida had the highest location quotient, at 2.7 times the national average. Location quotients are the ratio of an industry’s share of statewide employment to its national share. A location quotient greater than 1 means the industry share of statewide employment is higher than the national share.</w:t>
      </w:r>
    </w:p>
    <w:p>
      <w:pPr/>
      <w:r>
        <w:rPr>
          <w:rFonts w:ascii="Tahoma" w:hAnsi="Tahoma" w:cs="Tahoma"/>
          <w:sz w:val="26"/>
          <w:sz-cs w:val="26"/>
          <w:spacing w:val="0"/>
        </w:rPr>
        <w:t xml:space="preserve"/>
      </w:r>
    </w:p>
    <w:p>
      <w:pPr/>
      <w:r>
        <w:rPr>
          <w:rFonts w:ascii="Georgia" w:hAnsi="Georgia" w:cs="Georgia"/>
          <w:sz w:val="20"/>
          <w:sz-cs w:val="20"/>
          <w:b/>
          <w:i/>
          <w:spacing w:val="0"/>
        </w:rPr>
        <w:t xml:space="preserve">https://www.bls.gov/opub/ted/2018/golf-anyone-a-look-at-golf-courses-and-country-clubs-by-state.htm</w:t>
      </w:r>
    </w:p>
    <w:p>
      <w:pPr/>
      <w:r>
        <w:rPr>
          <w:rFonts w:ascii="Georgia" w:hAnsi="Georgia" w:cs="Georgia"/>
          <w:sz w:val="20"/>
          <w:sz-cs w:val="20"/>
          <w:b/>
          <w:i/>
          <w:spacing w:val="0"/>
        </w:rPr>
        <w:t xml:space="preserve"/>
      </w:r>
    </w:p>
    <w:p>
      <w:pPr/>
      <w:r>
        <w:rPr>
          <w:rFonts w:ascii="Georgia" w:hAnsi="Georgia" w:cs="Georgia"/>
          <w:sz w:val="20"/>
          <w:sz-cs w:val="20"/>
          <w:b/>
          <w:i/>
          <w:spacing w:val="0"/>
          <w:color w:val="FB0207"/>
        </w:rPr>
        <w:t xml:space="preserve">*Denominator for United States location quotient  can be found on US_TOTAL sheet in attached Excel document.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