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BAC" w:rsidRPr="007E2BAC" w:rsidRDefault="007E2BAC" w:rsidP="007E2BAC">
      <w:pPr>
        <w:spacing w:after="60" w:line="293" w:lineRule="atLeast"/>
        <w:outlineLvl w:val="2"/>
        <w:rPr>
          <w:rFonts w:ascii="Georgia" w:eastAsia="Times New Roman" w:hAnsi="Georgia" w:cs="Times New Roman"/>
          <w:b/>
          <w:bCs/>
          <w:i/>
          <w:iCs/>
          <w:color w:val="000000"/>
          <w:sz w:val="27"/>
          <w:szCs w:val="27"/>
        </w:rPr>
      </w:pPr>
      <w:r w:rsidRPr="007E2BAC">
        <w:rPr>
          <w:rFonts w:ascii="Georgia" w:eastAsia="Times New Roman" w:hAnsi="Georgia" w:cs="Times New Roman"/>
          <w:b/>
          <w:bCs/>
          <w:i/>
          <w:iCs/>
          <w:color w:val="000000"/>
          <w:sz w:val="27"/>
          <w:szCs w:val="27"/>
        </w:rPr>
        <w:t>Hispanic or Latino households more than double spending on education from 2007 to 2017</w:t>
      </w:r>
    </w:p>
    <w:p w:rsidR="007E2BAC" w:rsidRPr="007E2BAC" w:rsidRDefault="007E2BAC" w:rsidP="007E2BAC">
      <w:pPr>
        <w:spacing w:line="360" w:lineRule="atLeast"/>
        <w:rPr>
          <w:rFonts w:ascii="Arial" w:hAnsi="Arial" w:cs="Times New Roman"/>
          <w:caps/>
          <w:color w:val="666666"/>
          <w:sz w:val="17"/>
          <w:szCs w:val="17"/>
        </w:rPr>
      </w:pPr>
      <w:r w:rsidRPr="007E2BAC">
        <w:rPr>
          <w:rFonts w:ascii="Arial" w:hAnsi="Arial" w:cs="Times New Roman"/>
          <w:caps/>
          <w:color w:val="666666"/>
          <w:sz w:val="17"/>
          <w:szCs w:val="17"/>
        </w:rPr>
        <w:t>OCTOBER 05, 2018</w:t>
      </w:r>
    </w:p>
    <w:p w:rsidR="007E2BAC" w:rsidRPr="007E2BAC" w:rsidRDefault="007E2BAC" w:rsidP="007E2BAC">
      <w:pPr>
        <w:spacing w:line="360" w:lineRule="atLeast"/>
        <w:rPr>
          <w:rFonts w:ascii="Tahoma" w:hAnsi="Tahoma" w:cs="Tahoma"/>
          <w:color w:val="000000"/>
          <w:sz w:val="20"/>
          <w:szCs w:val="20"/>
        </w:rPr>
      </w:pPr>
      <w:r w:rsidRPr="007E2BAC">
        <w:rPr>
          <w:rFonts w:ascii="Tahoma" w:hAnsi="Tahoma" w:cs="Tahoma"/>
          <w:color w:val="000000"/>
          <w:sz w:val="20"/>
          <w:szCs w:val="20"/>
        </w:rPr>
        <w:t>Today, we celebrate Hispanic Heritage Month by taking a look at changes in Hispanic or Latino household spending from 2007 to 2017. Over this period, on average, Hispanic or Latino households more than doubled spending on education. This compared with an increase of 58 percent for all households.</w:t>
      </w:r>
    </w:p>
    <w:p w:rsidR="005F07D2" w:rsidRDefault="005F07D2"/>
    <w:p w:rsidR="007E2BAC" w:rsidRDefault="007E2BAC" w:rsidP="007E2BAC">
      <w:pPr>
        <w:pStyle w:val="NormalWeb"/>
        <w:spacing w:before="0" w:beforeAutospacing="0" w:after="0" w:afterAutospacing="0" w:line="360" w:lineRule="atLeast"/>
        <w:rPr>
          <w:rFonts w:ascii="Tahoma" w:hAnsi="Tahoma" w:cs="Tahoma"/>
          <w:color w:val="000000"/>
        </w:rPr>
      </w:pPr>
      <w:r>
        <w:rPr>
          <w:rFonts w:ascii="Tahoma" w:hAnsi="Tahoma" w:cs="Tahoma"/>
          <w:color w:val="000000"/>
        </w:rPr>
        <w:t>Hispanic or Latino household spending on reading increased 26 percent from 2007 to 2017, compared with a decrease of 7 percent for all households. Over that period, household spending on reading increased 2 percent for non-Hispanic Black or African-Americans and decreased 6 percent for non-Hispanic Whites and all other races.</w:t>
      </w:r>
    </w:p>
    <w:p w:rsidR="007E2BAC" w:rsidRDefault="007E2BAC" w:rsidP="007E2BAC">
      <w:pPr>
        <w:pStyle w:val="NormalWeb"/>
        <w:spacing w:before="0" w:beforeAutospacing="0" w:after="0" w:afterAutospacing="0" w:line="360" w:lineRule="atLeast"/>
        <w:rPr>
          <w:rFonts w:ascii="Tahoma" w:hAnsi="Tahoma" w:cs="Tahoma"/>
          <w:color w:val="000000"/>
        </w:rPr>
      </w:pPr>
    </w:p>
    <w:p w:rsidR="007E2BAC" w:rsidRDefault="007E2BAC" w:rsidP="007E2BAC">
      <w:pPr>
        <w:pStyle w:val="NormalWeb"/>
        <w:spacing w:before="0" w:beforeAutospacing="0" w:after="0" w:afterAutospacing="0" w:line="360" w:lineRule="atLeast"/>
        <w:rPr>
          <w:rFonts w:ascii="Tahoma" w:hAnsi="Tahoma" w:cs="Tahoma"/>
          <w:color w:val="000000"/>
        </w:rPr>
      </w:pPr>
      <w:r>
        <w:rPr>
          <w:rFonts w:ascii="Tahoma" w:hAnsi="Tahoma" w:cs="Tahoma"/>
          <w:color w:val="000000"/>
        </w:rPr>
        <w:t>From 2007 to 2017, cash contributions by Hispanic or Latino households decreased 10 percent. This compared with an increase of 21 percent by Black or African-American households and an increase of 4 percent for Whites and all other races.</w:t>
      </w:r>
    </w:p>
    <w:p w:rsidR="007E2BAC" w:rsidRDefault="007E2BAC" w:rsidP="007E2BAC">
      <w:pPr>
        <w:pStyle w:val="NormalWeb"/>
        <w:spacing w:before="0" w:beforeAutospacing="0" w:after="0" w:afterAutospacing="0" w:line="360" w:lineRule="atLeast"/>
        <w:rPr>
          <w:rFonts w:ascii="Tahoma" w:hAnsi="Tahoma" w:cs="Tahoma"/>
          <w:color w:val="000000"/>
        </w:rPr>
      </w:pPr>
    </w:p>
    <w:p w:rsidR="007E2BAC" w:rsidRDefault="007E2BAC" w:rsidP="007E2BAC">
      <w:pPr>
        <w:pStyle w:val="NormalWeb"/>
        <w:spacing w:before="0" w:beforeAutospacing="0" w:after="0" w:afterAutospacing="0" w:line="360" w:lineRule="atLeast"/>
        <w:rPr>
          <w:rFonts w:ascii="Tahoma" w:hAnsi="Tahoma" w:cs="Tahoma"/>
          <w:color w:val="000000"/>
        </w:rPr>
      </w:pPr>
      <w:r>
        <w:rPr>
          <w:rFonts w:ascii="Tahoma" w:hAnsi="Tahoma" w:cs="Tahoma"/>
          <w:color w:val="000000"/>
        </w:rPr>
        <w:t>These data come from the </w:t>
      </w:r>
      <w:hyperlink r:id="rId5" w:history="1">
        <w:r>
          <w:rPr>
            <w:rStyle w:val="Hyperlink"/>
            <w:rFonts w:ascii="Tahoma" w:hAnsi="Tahoma" w:cs="Tahoma"/>
            <w:color w:val="663366"/>
          </w:rPr>
          <w:t>Consumer Expenditure Surveys</w:t>
        </w:r>
      </w:hyperlink>
      <w:r>
        <w:rPr>
          <w:rFonts w:ascii="Tahoma" w:hAnsi="Tahoma" w:cs="Tahoma"/>
          <w:color w:val="000000"/>
        </w:rPr>
        <w:t>. Households, or consumer units, include families, single persons living alone or sharing a household with others but who are financially independent, or two or more persons living together who share expenses. </w:t>
      </w:r>
    </w:p>
    <w:p w:rsidR="007E2BAC" w:rsidRDefault="007E2BAC">
      <w:bookmarkStart w:id="0" w:name="_GoBack"/>
      <w:bookmarkEnd w:id="0"/>
    </w:p>
    <w:p w:rsidR="007E2BAC" w:rsidRDefault="007E2BAC">
      <w:hyperlink r:id="rId6" w:history="1">
        <w:r w:rsidRPr="0003104D">
          <w:rPr>
            <w:rStyle w:val="Hyperlink"/>
          </w:rPr>
          <w:t>https://www.bls.gov/opub/ted/2018/hispanic-or-latino-households-more-than-double-spending-on-education-from-2007-to-2017.htm</w:t>
        </w:r>
      </w:hyperlink>
    </w:p>
    <w:p w:rsidR="007E2BAC" w:rsidRDefault="007E2BAC"/>
    <w:sectPr w:rsidR="007E2BAC" w:rsidSect="005F07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BAC"/>
    <w:rsid w:val="005F07D2"/>
    <w:rsid w:val="007E2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BF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2BAC"/>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2BAC"/>
    <w:rPr>
      <w:rFonts w:ascii="Times New Roman" w:hAnsi="Times New Roman"/>
      <w:b/>
      <w:bCs/>
      <w:sz w:val="27"/>
      <w:szCs w:val="27"/>
    </w:rPr>
  </w:style>
  <w:style w:type="paragraph" w:styleId="Date">
    <w:name w:val="Date"/>
    <w:aliases w:val="date"/>
    <w:basedOn w:val="Normal"/>
    <w:link w:val="DateChar"/>
    <w:uiPriority w:val="99"/>
    <w:semiHidden/>
    <w:unhideWhenUsed/>
    <w:rsid w:val="007E2BAC"/>
    <w:pPr>
      <w:spacing w:before="100" w:beforeAutospacing="1" w:after="100" w:afterAutospacing="1"/>
    </w:pPr>
    <w:rPr>
      <w:rFonts w:ascii="Times New Roman" w:hAnsi="Times New Roman"/>
      <w:sz w:val="20"/>
      <w:szCs w:val="20"/>
    </w:rPr>
  </w:style>
  <w:style w:type="character" w:customStyle="1" w:styleId="DateChar">
    <w:name w:val="Date Char"/>
    <w:basedOn w:val="DefaultParagraphFont"/>
    <w:link w:val="Date"/>
    <w:uiPriority w:val="99"/>
    <w:semiHidden/>
    <w:rsid w:val="007E2BAC"/>
    <w:rPr>
      <w:rFonts w:ascii="Times New Roman" w:hAnsi="Times New Roman"/>
      <w:sz w:val="20"/>
      <w:szCs w:val="20"/>
    </w:rPr>
  </w:style>
  <w:style w:type="paragraph" w:styleId="NormalWeb">
    <w:name w:val="Normal (Web)"/>
    <w:basedOn w:val="Normal"/>
    <w:uiPriority w:val="99"/>
    <w:semiHidden/>
    <w:unhideWhenUsed/>
    <w:rsid w:val="007E2BAC"/>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7E2BA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2BAC"/>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2BAC"/>
    <w:rPr>
      <w:rFonts w:ascii="Times New Roman" w:hAnsi="Times New Roman"/>
      <w:b/>
      <w:bCs/>
      <w:sz w:val="27"/>
      <w:szCs w:val="27"/>
    </w:rPr>
  </w:style>
  <w:style w:type="paragraph" w:styleId="Date">
    <w:name w:val="Date"/>
    <w:aliases w:val="date"/>
    <w:basedOn w:val="Normal"/>
    <w:link w:val="DateChar"/>
    <w:uiPriority w:val="99"/>
    <w:semiHidden/>
    <w:unhideWhenUsed/>
    <w:rsid w:val="007E2BAC"/>
    <w:pPr>
      <w:spacing w:before="100" w:beforeAutospacing="1" w:after="100" w:afterAutospacing="1"/>
    </w:pPr>
    <w:rPr>
      <w:rFonts w:ascii="Times New Roman" w:hAnsi="Times New Roman"/>
      <w:sz w:val="20"/>
      <w:szCs w:val="20"/>
    </w:rPr>
  </w:style>
  <w:style w:type="character" w:customStyle="1" w:styleId="DateChar">
    <w:name w:val="Date Char"/>
    <w:basedOn w:val="DefaultParagraphFont"/>
    <w:link w:val="Date"/>
    <w:uiPriority w:val="99"/>
    <w:semiHidden/>
    <w:rsid w:val="007E2BAC"/>
    <w:rPr>
      <w:rFonts w:ascii="Times New Roman" w:hAnsi="Times New Roman"/>
      <w:sz w:val="20"/>
      <w:szCs w:val="20"/>
    </w:rPr>
  </w:style>
  <w:style w:type="paragraph" w:styleId="NormalWeb">
    <w:name w:val="Normal (Web)"/>
    <w:basedOn w:val="Normal"/>
    <w:uiPriority w:val="99"/>
    <w:semiHidden/>
    <w:unhideWhenUsed/>
    <w:rsid w:val="007E2BAC"/>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7E2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47627">
      <w:bodyDiv w:val="1"/>
      <w:marLeft w:val="0"/>
      <w:marRight w:val="0"/>
      <w:marTop w:val="0"/>
      <w:marBottom w:val="0"/>
      <w:divBdr>
        <w:top w:val="none" w:sz="0" w:space="0" w:color="auto"/>
        <w:left w:val="none" w:sz="0" w:space="0" w:color="auto"/>
        <w:bottom w:val="none" w:sz="0" w:space="0" w:color="auto"/>
        <w:right w:val="none" w:sz="0" w:space="0" w:color="auto"/>
      </w:divBdr>
    </w:div>
    <w:div w:id="1465925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ls.gov/cex/" TargetMode="External"/><Relationship Id="rId6" Type="http://schemas.openxmlformats.org/officeDocument/2006/relationships/hyperlink" Target="https://www.bls.gov/opub/ted/2018/hispanic-or-latino-households-more-than-double-spending-on-education-from-2007-to-2017.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1316</Characters>
  <Application>Microsoft Macintosh Word</Application>
  <DocSecurity>0</DocSecurity>
  <Lines>10</Lines>
  <Paragraphs>3</Paragraphs>
  <ScaleCrop>false</ScaleCrop>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2018-10-05T21:07:00Z</dcterms:created>
  <dcterms:modified xsi:type="dcterms:W3CDTF">2018-10-05T21:08:00Z</dcterms:modified>
</cp:coreProperties>
</file>