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CUNY and the City</w:t>
      </w:r>
    </w:p>
    <w:p>
      <w:pPr>
        <w:pStyle w:val="Subtitle"/>
      </w:pPr>
      <w:r>
        <w:t>Project 1 | Technical specifications and decision guide</w:t>
      </w:r>
    </w:p>
    <w:p>
      <w:r>
        <w:t>Tableau Public  •  Python + Plotly  •  Apache Superset + Leaflet</w:t>
      </w:r>
    </w:p>
    <w:p>
      <w:r>
        <w:rPr>
          <w:b/>
        </w:rPr>
        <w:t>Purpose  Compare total storage, data retrieval, build and processing time, hardware needs, maintenance, and the kinds of projects each system handles best.</w:t>
      </w:r>
    </w:p>
    <w:p>
      <w:r>
        <w:t>Important: package sizes quoted below are measured from the supplied materials in the previous review; software footprints and time estimates are planning ranges, not controlled benchmarks. All three implementations have not been tested end to end with identical live data.</w:t>
      </w:r>
    </w:p>
    <w:p>
      <w:pPr>
        <w:pStyle w:val="Heading1"/>
      </w:pPr>
      <w:r>
        <w:t>1  Executive comparison</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fill="17365D"/>
            <w:tcMar>
              <w:top w:w="65" w:type="dxa"/>
              <w:bottom w:w="65" w:type="dxa"/>
            </w:tcMar>
          </w:tcPr>
          <w:p>
            <w:r>
              <w:rPr>
                <w:b/>
                <w:color w:val="FFFFFF"/>
                <w:sz w:val="16"/>
              </w:rPr>
              <w:t>Specification</w:t>
            </w:r>
          </w:p>
        </w:tc>
        <w:tc>
          <w:tcPr>
            <w:tcW w:type="dxa" w:w="2491"/>
            <w:shd w:fill="17365D"/>
            <w:tcMar>
              <w:top w:w="65" w:type="dxa"/>
              <w:bottom w:w="65" w:type="dxa"/>
            </w:tcMar>
          </w:tcPr>
          <w:p>
            <w:r>
              <w:rPr>
                <w:b/>
                <w:color w:val="FFFFFF"/>
                <w:sz w:val="16"/>
              </w:rPr>
              <w:t>Tableau Public</w:t>
            </w:r>
          </w:p>
        </w:tc>
        <w:tc>
          <w:tcPr>
            <w:tcW w:type="dxa" w:w="2491"/>
            <w:shd w:fill="17365D"/>
            <w:tcMar>
              <w:top w:w="65" w:type="dxa"/>
              <w:bottom w:w="65" w:type="dxa"/>
            </w:tcMar>
          </w:tcPr>
          <w:p>
            <w:r>
              <w:rPr>
                <w:b/>
                <w:color w:val="FFFFFF"/>
                <w:sz w:val="16"/>
              </w:rPr>
              <w:t>Python + Plotly</w:t>
            </w:r>
          </w:p>
        </w:tc>
        <w:tc>
          <w:tcPr>
            <w:tcW w:type="dxa" w:w="2491"/>
            <w:shd w:fill="17365D"/>
            <w:tcMar>
              <w:top w:w="65" w:type="dxa"/>
              <w:bottom w:w="65" w:type="dxa"/>
            </w:tcMar>
          </w:tcPr>
          <w:p>
            <w:r>
              <w:rPr>
                <w:b/>
                <w:color w:val="FFFFFF"/>
                <w:sz w:val="16"/>
              </w:rPr>
              <w:t>Superset + Leaflet</w:t>
            </w:r>
          </w:p>
        </w:tc>
      </w:tr>
      <w:tr>
        <w:tc>
          <w:tcPr>
            <w:tcW w:type="dxa" w:w="2491"/>
            <w:vAlign w:val="center"/>
            <w:shd w:fill="EAF3FA"/>
            <w:tcMar>
              <w:top w:w="65" w:type="dxa"/>
              <w:bottom w:w="65" w:type="dxa"/>
            </w:tcMar>
          </w:tcPr>
          <w:p>
            <w:pPr>
              <w:spacing w:after="20"/>
            </w:pPr>
            <w:r>
              <w:rPr>
                <w:sz w:val="15"/>
              </w:rPr>
              <w:t>Working style</w:t>
            </w:r>
          </w:p>
        </w:tc>
        <w:tc>
          <w:tcPr>
            <w:tcW w:type="dxa" w:w="2491"/>
            <w:vAlign w:val="center"/>
            <w:shd w:fill="EAF3FA"/>
            <w:tcMar>
              <w:top w:w="65" w:type="dxa"/>
              <w:bottom w:w="65" w:type="dxa"/>
            </w:tcMar>
          </w:tcPr>
          <w:p>
            <w:pPr>
              <w:spacing w:after="20"/>
            </w:pPr>
            <w:r>
              <w:rPr>
                <w:sz w:val="15"/>
              </w:rPr>
              <w:t>Drag-and-drop charts</w:t>
            </w:r>
          </w:p>
        </w:tc>
        <w:tc>
          <w:tcPr>
            <w:tcW w:type="dxa" w:w="2491"/>
            <w:vAlign w:val="center"/>
            <w:shd w:fill="EAF3FA"/>
            <w:tcMar>
              <w:top w:w="65" w:type="dxa"/>
              <w:bottom w:w="65" w:type="dxa"/>
            </w:tcMar>
          </w:tcPr>
          <w:p>
            <w:pPr>
              <w:spacing w:after="20"/>
            </w:pPr>
            <w:r>
              <w:rPr>
                <w:sz w:val="15"/>
              </w:rPr>
              <w:t>Scripts + interactive HTML</w:t>
            </w:r>
          </w:p>
        </w:tc>
        <w:tc>
          <w:tcPr>
            <w:tcW w:type="dxa" w:w="2491"/>
            <w:vAlign w:val="center"/>
            <w:shd w:fill="EAF3FA"/>
            <w:tcMar>
              <w:top w:w="65" w:type="dxa"/>
              <w:bottom w:w="65" w:type="dxa"/>
            </w:tcMar>
          </w:tcPr>
          <w:p>
            <w:pPr>
              <w:spacing w:after="20"/>
            </w:pPr>
            <w:r>
              <w:rPr>
                <w:sz w:val="15"/>
              </w:rPr>
              <w:t>Database + charts + separate web map</w:t>
            </w:r>
          </w:p>
        </w:tc>
      </w:tr>
      <w:tr>
        <w:tc>
          <w:tcPr>
            <w:tcW w:type="dxa" w:w="2491"/>
            <w:vAlign w:val="center"/>
            <w:tcMar>
              <w:top w:w="65" w:type="dxa"/>
              <w:bottom w:w="65" w:type="dxa"/>
            </w:tcMar>
          </w:tcPr>
          <w:p>
            <w:pPr>
              <w:spacing w:after="20"/>
            </w:pPr>
            <w:r>
              <w:rPr>
                <w:sz w:val="15"/>
              </w:rPr>
              <w:t>Audience</w:t>
            </w:r>
          </w:p>
        </w:tc>
        <w:tc>
          <w:tcPr>
            <w:tcW w:type="dxa" w:w="2491"/>
            <w:vAlign w:val="center"/>
            <w:tcMar>
              <w:top w:w="65" w:type="dxa"/>
              <w:bottom w:w="65" w:type="dxa"/>
            </w:tcMar>
          </w:tcPr>
          <w:p>
            <w:pPr>
              <w:spacing w:after="20"/>
            </w:pPr>
            <w:r>
              <w:rPr>
                <w:sz w:val="15"/>
              </w:rPr>
              <w:t>First-time visualization learner</w:t>
            </w:r>
          </w:p>
        </w:tc>
        <w:tc>
          <w:tcPr>
            <w:tcW w:type="dxa" w:w="2491"/>
            <w:vAlign w:val="center"/>
            <w:tcMar>
              <w:top w:w="65" w:type="dxa"/>
              <w:bottom w:w="65" w:type="dxa"/>
            </w:tcMar>
          </w:tcPr>
          <w:p>
            <w:pPr>
              <w:spacing w:after="20"/>
            </w:pPr>
            <w:r>
              <w:rPr>
                <w:sz w:val="15"/>
              </w:rPr>
              <w:t>Beginner learning programming</w:t>
            </w:r>
          </w:p>
        </w:tc>
        <w:tc>
          <w:tcPr>
            <w:tcW w:type="dxa" w:w="2491"/>
            <w:vAlign w:val="center"/>
            <w:tcMar>
              <w:top w:w="65" w:type="dxa"/>
              <w:bottom w:w="65" w:type="dxa"/>
            </w:tcMar>
          </w:tcPr>
          <w:p>
            <w:pPr>
              <w:spacing w:after="20"/>
            </w:pPr>
            <w:r>
              <w:rPr>
                <w:sz w:val="15"/>
              </w:rPr>
              <w:t>College student comfortable with software setup</w:t>
            </w:r>
          </w:p>
        </w:tc>
      </w:tr>
      <w:tr>
        <w:tc>
          <w:tcPr>
            <w:tcW w:type="dxa" w:w="2491"/>
            <w:vAlign w:val="center"/>
            <w:shd w:fill="EAF3FA"/>
            <w:tcMar>
              <w:top w:w="65" w:type="dxa"/>
              <w:bottom w:w="65" w:type="dxa"/>
            </w:tcMar>
          </w:tcPr>
          <w:p>
            <w:pPr>
              <w:spacing w:after="20"/>
            </w:pPr>
            <w:r>
              <w:rPr>
                <w:sz w:val="15"/>
              </w:rPr>
              <w:t>Coding</w:t>
            </w:r>
          </w:p>
        </w:tc>
        <w:tc>
          <w:tcPr>
            <w:tcW w:type="dxa" w:w="2491"/>
            <w:vAlign w:val="center"/>
            <w:shd w:fill="EAF3FA"/>
            <w:tcMar>
              <w:top w:w="65" w:type="dxa"/>
              <w:bottom w:w="65" w:type="dxa"/>
            </w:tcMar>
          </w:tcPr>
          <w:p>
            <w:pPr>
              <w:spacing w:after="20"/>
            </w:pPr>
            <w:r>
              <w:rPr>
                <w:sz w:val="15"/>
              </w:rPr>
              <w:t>No for visual build; QGIS for raw matching</w:t>
            </w:r>
          </w:p>
        </w:tc>
        <w:tc>
          <w:tcPr>
            <w:tcW w:type="dxa" w:w="2491"/>
            <w:vAlign w:val="center"/>
            <w:shd w:fill="EAF3FA"/>
            <w:tcMar>
              <w:top w:w="65" w:type="dxa"/>
              <w:bottom w:w="65" w:type="dxa"/>
            </w:tcMar>
          </w:tcPr>
          <w:p>
            <w:pPr>
              <w:spacing w:after="20"/>
            </w:pPr>
            <w:r>
              <w:rPr>
                <w:sz w:val="15"/>
              </w:rPr>
              <w:t>Yes, supplied programs</w:t>
            </w:r>
          </w:p>
        </w:tc>
        <w:tc>
          <w:tcPr>
            <w:tcW w:type="dxa" w:w="2491"/>
            <w:vAlign w:val="center"/>
            <w:shd w:fill="EAF3FA"/>
            <w:tcMar>
              <w:top w:w="65" w:type="dxa"/>
              <w:bottom w:w="65" w:type="dxa"/>
            </w:tcMar>
          </w:tcPr>
          <w:p>
            <w:pPr>
              <w:spacing w:after="20"/>
            </w:pPr>
            <w:r>
              <w:rPr>
                <w:sz w:val="15"/>
              </w:rPr>
              <w:t>Python, PowerShell, SQL/configuration</w:t>
            </w:r>
          </w:p>
        </w:tc>
      </w:tr>
      <w:tr>
        <w:tc>
          <w:tcPr>
            <w:tcW w:type="dxa" w:w="2491"/>
            <w:vAlign w:val="center"/>
            <w:tcMar>
              <w:top w:w="65" w:type="dxa"/>
              <w:bottom w:w="65" w:type="dxa"/>
            </w:tcMar>
          </w:tcPr>
          <w:p>
            <w:pPr>
              <w:spacing w:after="20"/>
            </w:pPr>
            <w:r>
              <w:rPr>
                <w:sz w:val="15"/>
              </w:rPr>
              <w:t>Research geometry</w:t>
            </w:r>
          </w:p>
        </w:tc>
        <w:tc>
          <w:tcPr>
            <w:tcW w:type="dxa" w:w="2491"/>
            <w:vAlign w:val="center"/>
            <w:tcMar>
              <w:top w:w="65" w:type="dxa"/>
              <w:bottom w:w="65" w:type="dxa"/>
            </w:tcMar>
          </w:tcPr>
          <w:p>
            <w:pPr>
              <w:spacing w:after="20"/>
            </w:pPr>
            <w:r>
              <w:rPr>
                <w:sz w:val="15"/>
              </w:rPr>
              <w:t>26 campuses, 500 m</w:t>
            </w:r>
          </w:p>
        </w:tc>
        <w:tc>
          <w:tcPr>
            <w:tcW w:type="dxa" w:w="2491"/>
            <w:vAlign w:val="center"/>
            <w:tcMar>
              <w:top w:w="65" w:type="dxa"/>
              <w:bottom w:w="65" w:type="dxa"/>
            </w:tcMar>
          </w:tcPr>
          <w:p>
            <w:pPr>
              <w:spacing w:after="20"/>
            </w:pPr>
            <w:r>
              <w:rPr>
                <w:sz w:val="15"/>
              </w:rPr>
              <w:t>26 campuses, 500 m</w:t>
            </w:r>
          </w:p>
        </w:tc>
        <w:tc>
          <w:tcPr>
            <w:tcW w:type="dxa" w:w="2491"/>
            <w:vAlign w:val="center"/>
            <w:tcMar>
              <w:top w:w="65" w:type="dxa"/>
              <w:bottom w:w="65" w:type="dxa"/>
            </w:tcMar>
          </w:tcPr>
          <w:p>
            <w:pPr>
              <w:spacing w:after="20"/>
            </w:pPr>
            <w:r>
              <w:rPr>
                <w:sz w:val="15"/>
              </w:rPr>
              <w:t>3 example campuses, 1,000 m</w:t>
            </w:r>
          </w:p>
        </w:tc>
      </w:tr>
      <w:tr>
        <w:tc>
          <w:tcPr>
            <w:tcW w:type="dxa" w:w="2491"/>
            <w:vAlign w:val="center"/>
            <w:shd w:fill="EAF3FA"/>
            <w:tcMar>
              <w:top w:w="65" w:type="dxa"/>
              <w:bottom w:w="65" w:type="dxa"/>
            </w:tcMar>
          </w:tcPr>
          <w:p>
            <w:pPr>
              <w:spacing w:after="20"/>
            </w:pPr>
            <w:r>
              <w:rPr>
                <w:sz w:val="15"/>
              </w:rPr>
              <w:t>Local data store</w:t>
            </w:r>
          </w:p>
        </w:tc>
        <w:tc>
          <w:tcPr>
            <w:tcW w:type="dxa" w:w="2491"/>
            <w:vAlign w:val="center"/>
            <w:shd w:fill="EAF3FA"/>
            <w:tcMar>
              <w:top w:w="65" w:type="dxa"/>
              <w:bottom w:w="65" w:type="dxa"/>
            </w:tcMar>
          </w:tcPr>
          <w:p>
            <w:pPr>
              <w:spacing w:after="20"/>
            </w:pPr>
            <w:r>
              <w:rPr>
                <w:sz w:val="15"/>
              </w:rPr>
              <w:t>CSVs / Tableau extracts</w:t>
            </w:r>
          </w:p>
        </w:tc>
        <w:tc>
          <w:tcPr>
            <w:tcW w:type="dxa" w:w="2491"/>
            <w:vAlign w:val="center"/>
            <w:shd w:fill="EAF3FA"/>
            <w:tcMar>
              <w:top w:w="65" w:type="dxa"/>
              <w:bottom w:w="65" w:type="dxa"/>
            </w:tcMar>
          </w:tcPr>
          <w:p>
            <w:pPr>
              <w:spacing w:after="20"/>
            </w:pPr>
            <w:r>
              <w:rPr>
                <w:sz w:val="15"/>
              </w:rPr>
              <w:t>CSVs + SQLite</w:t>
            </w:r>
          </w:p>
        </w:tc>
        <w:tc>
          <w:tcPr>
            <w:tcW w:type="dxa" w:w="2491"/>
            <w:vAlign w:val="center"/>
            <w:shd w:fill="EAF3FA"/>
            <w:tcMar>
              <w:top w:w="65" w:type="dxa"/>
              <w:bottom w:w="65" w:type="dxa"/>
            </w:tcMar>
          </w:tcPr>
          <w:p>
            <w:pPr>
              <w:spacing w:after="20"/>
            </w:pPr>
            <w:r>
              <w:rPr>
                <w:sz w:val="15"/>
              </w:rPr>
              <w:t>CSVs + PostgreSQL</w:t>
            </w:r>
          </w:p>
        </w:tc>
      </w:tr>
      <w:tr>
        <w:tc>
          <w:tcPr>
            <w:tcW w:type="dxa" w:w="2491"/>
            <w:vAlign w:val="center"/>
            <w:tcMar>
              <w:top w:w="65" w:type="dxa"/>
              <w:bottom w:w="65" w:type="dxa"/>
            </w:tcMar>
          </w:tcPr>
          <w:p>
            <w:pPr>
              <w:spacing w:after="20"/>
            </w:pPr>
            <w:r>
              <w:rPr>
                <w:sz w:val="15"/>
              </w:rPr>
              <w:t>Best for</w:t>
            </w:r>
          </w:p>
        </w:tc>
        <w:tc>
          <w:tcPr>
            <w:tcW w:type="dxa" w:w="2491"/>
            <w:vAlign w:val="center"/>
            <w:tcMar>
              <w:top w:w="65" w:type="dxa"/>
              <w:bottom w:w="65" w:type="dxa"/>
            </w:tcMar>
          </w:tcPr>
          <w:p>
            <w:pPr>
              <w:spacing w:after="20"/>
            </w:pPr>
            <w:r>
              <w:rPr>
                <w:sz w:val="15"/>
              </w:rPr>
              <w:t>Teaching &amp; communication</w:t>
            </w:r>
          </w:p>
        </w:tc>
        <w:tc>
          <w:tcPr>
            <w:tcW w:type="dxa" w:w="2491"/>
            <w:vAlign w:val="center"/>
            <w:tcMar>
              <w:top w:w="65" w:type="dxa"/>
              <w:bottom w:w="65" w:type="dxa"/>
            </w:tcMar>
          </w:tcPr>
          <w:p>
            <w:pPr>
              <w:spacing w:after="20"/>
            </w:pPr>
            <w:r>
              <w:rPr>
                <w:sz w:val="15"/>
              </w:rPr>
              <w:t>Transparent research &amp; automation</w:t>
            </w:r>
          </w:p>
        </w:tc>
        <w:tc>
          <w:tcPr>
            <w:tcW w:type="dxa" w:w="2491"/>
            <w:vAlign w:val="center"/>
            <w:tcMar>
              <w:top w:w="65" w:type="dxa"/>
              <w:bottom w:w="65" w:type="dxa"/>
            </w:tcMar>
          </w:tcPr>
          <w:p>
            <w:pPr>
              <w:spacing w:after="20"/>
            </w:pPr>
            <w:r>
              <w:rPr>
                <w:sz w:val="15"/>
              </w:rPr>
              <w:t>Shared institutional dashboards</w:t>
            </w:r>
          </w:p>
        </w:tc>
      </w:tr>
      <w:tr>
        <w:tc>
          <w:tcPr>
            <w:tcW w:type="dxa" w:w="2491"/>
            <w:vAlign w:val="center"/>
            <w:shd w:fill="EAF3FA"/>
            <w:tcMar>
              <w:top w:w="65" w:type="dxa"/>
              <w:bottom w:w="65" w:type="dxa"/>
            </w:tcMar>
          </w:tcPr>
          <w:p>
            <w:pPr>
              <w:spacing w:after="20"/>
            </w:pPr>
            <w:r>
              <w:rPr>
                <w:sz w:val="15"/>
              </w:rPr>
              <w:t>Main obstacle</w:t>
            </w:r>
          </w:p>
        </w:tc>
        <w:tc>
          <w:tcPr>
            <w:tcW w:type="dxa" w:w="2491"/>
            <w:vAlign w:val="center"/>
            <w:shd w:fill="EAF3FA"/>
            <w:tcMar>
              <w:top w:w="65" w:type="dxa"/>
              <w:bottom w:w="65" w:type="dxa"/>
            </w:tcMar>
          </w:tcPr>
          <w:p>
            <w:pPr>
              <w:spacing w:after="20"/>
            </w:pPr>
            <w:r>
              <w:rPr>
                <w:sz w:val="15"/>
              </w:rPr>
              <w:t>Raw-data geographic preparation</w:t>
            </w:r>
          </w:p>
        </w:tc>
        <w:tc>
          <w:tcPr>
            <w:tcW w:type="dxa" w:w="2491"/>
            <w:vAlign w:val="center"/>
            <w:shd w:fill="EAF3FA"/>
            <w:tcMar>
              <w:top w:w="65" w:type="dxa"/>
              <w:bottom w:w="65" w:type="dxa"/>
            </w:tcMar>
          </w:tcPr>
          <w:p>
            <w:pPr>
              <w:spacing w:after="20"/>
            </w:pPr>
            <w:r>
              <w:rPr>
                <w:sz w:val="15"/>
              </w:rPr>
              <w:t>Code maintenance and fetch verification</w:t>
            </w:r>
          </w:p>
        </w:tc>
        <w:tc>
          <w:tcPr>
            <w:tcW w:type="dxa" w:w="2491"/>
            <w:vAlign w:val="center"/>
            <w:shd w:fill="EAF3FA"/>
            <w:tcMar>
              <w:top w:w="65" w:type="dxa"/>
              <w:bottom w:w="65" w:type="dxa"/>
            </w:tcMar>
          </w:tcPr>
          <w:p>
            <w:pPr>
              <w:spacing w:after="20"/>
            </w:pPr>
            <w:r>
              <w:rPr>
                <w:sz w:val="15"/>
              </w:rPr>
              <w:t>Docker/database integration</w:t>
            </w:r>
          </w:p>
        </w:tc>
      </w:tr>
    </w:tbl>
    <w:p>
      <w:pPr>
        <w:spacing w:after="0"/>
      </w:pPr>
    </w:p>
    <w:p>
      <w:pPr>
        <w:pStyle w:val="Heading1"/>
      </w:pPr>
      <w:r>
        <w:t>2  Package sizes and disk planning</w:t>
      </w:r>
    </w:p>
    <w:p>
      <w:r>
        <w:t>Measured package files are small because they contain guides and code rather than a complete installed environment or full six-year dataset.</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fill="17365D"/>
            <w:tcMar>
              <w:top w:w="65" w:type="dxa"/>
              <w:bottom w:w="65" w:type="dxa"/>
            </w:tcMar>
          </w:tcPr>
          <w:p>
            <w:r>
              <w:rPr>
                <w:b/>
                <w:color w:val="FFFFFF"/>
                <w:sz w:val="16"/>
              </w:rPr>
              <w:t>Measurement</w:t>
            </w:r>
          </w:p>
        </w:tc>
        <w:tc>
          <w:tcPr>
            <w:tcW w:type="dxa" w:w="2491"/>
            <w:shd w:fill="17365D"/>
            <w:tcMar>
              <w:top w:w="65" w:type="dxa"/>
              <w:bottom w:w="65" w:type="dxa"/>
            </w:tcMar>
          </w:tcPr>
          <w:p>
            <w:r>
              <w:rPr>
                <w:b/>
                <w:color w:val="FFFFFF"/>
                <w:sz w:val="16"/>
              </w:rPr>
              <w:t>Tableau</w:t>
            </w:r>
          </w:p>
        </w:tc>
        <w:tc>
          <w:tcPr>
            <w:tcW w:type="dxa" w:w="2491"/>
            <w:shd w:fill="17365D"/>
            <w:tcMar>
              <w:top w:w="65" w:type="dxa"/>
              <w:bottom w:w="65" w:type="dxa"/>
            </w:tcMar>
          </w:tcPr>
          <w:p>
            <w:r>
              <w:rPr>
                <w:b/>
                <w:color w:val="FFFFFF"/>
                <w:sz w:val="16"/>
              </w:rPr>
              <w:t>Python</w:t>
            </w:r>
          </w:p>
        </w:tc>
        <w:tc>
          <w:tcPr>
            <w:tcW w:type="dxa" w:w="2491"/>
            <w:shd w:fill="17365D"/>
            <w:tcMar>
              <w:top w:w="65" w:type="dxa"/>
              <w:bottom w:w="65" w:type="dxa"/>
            </w:tcMar>
          </w:tcPr>
          <w:p>
            <w:r>
              <w:rPr>
                <w:b/>
                <w:color w:val="FFFFFF"/>
                <w:sz w:val="16"/>
              </w:rPr>
              <w:t>Superset</w:t>
            </w:r>
          </w:p>
        </w:tc>
      </w:tr>
      <w:tr>
        <w:tc>
          <w:tcPr>
            <w:tcW w:type="dxa" w:w="2491"/>
            <w:vAlign w:val="center"/>
            <w:shd w:fill="EAF3FA"/>
            <w:tcMar>
              <w:top w:w="65" w:type="dxa"/>
              <w:bottom w:w="65" w:type="dxa"/>
            </w:tcMar>
          </w:tcPr>
          <w:p>
            <w:pPr>
              <w:spacing w:after="20"/>
            </w:pPr>
            <w:r>
              <w:rPr>
                <w:sz w:val="15"/>
              </w:rPr>
              <w:t>Supplied ZIP (reported)</w:t>
            </w:r>
          </w:p>
        </w:tc>
        <w:tc>
          <w:tcPr>
            <w:tcW w:type="dxa" w:w="2491"/>
            <w:vAlign w:val="center"/>
            <w:shd w:fill="EAF3FA"/>
            <w:tcMar>
              <w:top w:w="65" w:type="dxa"/>
              <w:bottom w:w="65" w:type="dxa"/>
            </w:tcMar>
          </w:tcPr>
          <w:p>
            <w:pPr>
              <w:spacing w:after="20"/>
            </w:pPr>
            <w:r>
              <w:rPr>
                <w:sz w:val="15"/>
              </w:rPr>
              <w:t>8.49 MB</w:t>
            </w:r>
          </w:p>
        </w:tc>
        <w:tc>
          <w:tcPr>
            <w:tcW w:type="dxa" w:w="2491"/>
            <w:vAlign w:val="center"/>
            <w:shd w:fill="EAF3FA"/>
            <w:tcMar>
              <w:top w:w="65" w:type="dxa"/>
              <w:bottom w:w="65" w:type="dxa"/>
            </w:tcMar>
          </w:tcPr>
          <w:p>
            <w:pPr>
              <w:spacing w:after="20"/>
            </w:pPr>
            <w:r>
              <w:rPr>
                <w:sz w:val="15"/>
              </w:rPr>
              <w:t>1.38 MB</w:t>
            </w:r>
          </w:p>
        </w:tc>
        <w:tc>
          <w:tcPr>
            <w:tcW w:type="dxa" w:w="2491"/>
            <w:vAlign w:val="center"/>
            <w:shd w:fill="EAF3FA"/>
            <w:tcMar>
              <w:top w:w="65" w:type="dxa"/>
              <w:bottom w:w="65" w:type="dxa"/>
            </w:tcMar>
          </w:tcPr>
          <w:p>
            <w:pPr>
              <w:spacing w:after="20"/>
            </w:pPr>
            <w:r>
              <w:rPr>
                <w:sz w:val="15"/>
              </w:rPr>
              <w:t>6.79 MB</w:t>
            </w:r>
          </w:p>
        </w:tc>
      </w:tr>
      <w:tr>
        <w:tc>
          <w:tcPr>
            <w:tcW w:type="dxa" w:w="2491"/>
            <w:vAlign w:val="center"/>
            <w:tcMar>
              <w:top w:w="65" w:type="dxa"/>
              <w:bottom w:w="65" w:type="dxa"/>
            </w:tcMar>
          </w:tcPr>
          <w:p>
            <w:pPr>
              <w:spacing w:after="20"/>
            </w:pPr>
            <w:r>
              <w:rPr>
                <w:sz w:val="15"/>
              </w:rPr>
              <w:t>Word manual (reported)</w:t>
            </w:r>
          </w:p>
        </w:tc>
        <w:tc>
          <w:tcPr>
            <w:tcW w:type="dxa" w:w="2491"/>
            <w:vAlign w:val="center"/>
            <w:tcMar>
              <w:top w:w="65" w:type="dxa"/>
              <w:bottom w:w="65" w:type="dxa"/>
            </w:tcMar>
          </w:tcPr>
          <w:p>
            <w:pPr>
              <w:spacing w:after="20"/>
            </w:pPr>
            <w:r>
              <w:rPr>
                <w:sz w:val="15"/>
              </w:rPr>
              <w:t>8.84 MB</w:t>
            </w:r>
          </w:p>
        </w:tc>
        <w:tc>
          <w:tcPr>
            <w:tcW w:type="dxa" w:w="2491"/>
            <w:vAlign w:val="center"/>
            <w:tcMar>
              <w:top w:w="65" w:type="dxa"/>
              <w:bottom w:w="65" w:type="dxa"/>
            </w:tcMar>
          </w:tcPr>
          <w:p>
            <w:pPr>
              <w:spacing w:after="20"/>
            </w:pPr>
            <w:r>
              <w:rPr>
                <w:sz w:val="15"/>
              </w:rPr>
              <w:t>1.37 MB</w:t>
            </w:r>
          </w:p>
        </w:tc>
        <w:tc>
          <w:tcPr>
            <w:tcW w:type="dxa" w:w="2491"/>
            <w:vAlign w:val="center"/>
            <w:tcMar>
              <w:top w:w="65" w:type="dxa"/>
              <w:bottom w:w="65" w:type="dxa"/>
            </w:tcMar>
          </w:tcPr>
          <w:p>
            <w:pPr>
              <w:spacing w:after="20"/>
            </w:pPr>
            <w:r>
              <w:rPr>
                <w:sz w:val="15"/>
              </w:rPr>
              <w:t>6.52 MB</w:t>
            </w:r>
          </w:p>
        </w:tc>
      </w:tr>
      <w:tr>
        <w:tc>
          <w:tcPr>
            <w:tcW w:type="dxa" w:w="2491"/>
            <w:vAlign w:val="center"/>
            <w:shd w:fill="EAF3FA"/>
            <w:tcMar>
              <w:top w:w="65" w:type="dxa"/>
              <w:bottom w:w="65" w:type="dxa"/>
            </w:tcMar>
          </w:tcPr>
          <w:p>
            <w:pPr>
              <w:spacing w:after="20"/>
            </w:pPr>
            <w:r>
              <w:rPr>
                <w:sz w:val="15"/>
              </w:rPr>
              <w:t>Source scripts, approximate</w:t>
            </w:r>
          </w:p>
        </w:tc>
        <w:tc>
          <w:tcPr>
            <w:tcW w:type="dxa" w:w="2491"/>
            <w:vAlign w:val="center"/>
            <w:shd w:fill="EAF3FA"/>
            <w:tcMar>
              <w:top w:w="65" w:type="dxa"/>
              <w:bottom w:w="65" w:type="dxa"/>
            </w:tcMar>
          </w:tcPr>
          <w:p>
            <w:pPr>
              <w:spacing w:after="20"/>
            </w:pPr>
            <w:r>
              <w:rPr>
                <w:sz w:val="15"/>
              </w:rPr>
              <w:t>8 KB</w:t>
            </w:r>
          </w:p>
        </w:tc>
        <w:tc>
          <w:tcPr>
            <w:tcW w:type="dxa" w:w="2491"/>
            <w:vAlign w:val="center"/>
            <w:shd w:fill="EAF3FA"/>
            <w:tcMar>
              <w:top w:w="65" w:type="dxa"/>
              <w:bottom w:w="65" w:type="dxa"/>
            </w:tcMar>
          </w:tcPr>
          <w:p>
            <w:pPr>
              <w:spacing w:after="20"/>
            </w:pPr>
            <w:r>
              <w:rPr>
                <w:sz w:val="15"/>
              </w:rPr>
              <w:t>19 KB</w:t>
            </w:r>
          </w:p>
        </w:tc>
        <w:tc>
          <w:tcPr>
            <w:tcW w:type="dxa" w:w="2491"/>
            <w:vAlign w:val="center"/>
            <w:shd w:fill="EAF3FA"/>
            <w:tcMar>
              <w:top w:w="65" w:type="dxa"/>
              <w:bottom w:w="65" w:type="dxa"/>
            </w:tcMar>
          </w:tcPr>
          <w:p>
            <w:pPr>
              <w:spacing w:after="20"/>
            </w:pPr>
            <w:r>
              <w:rPr>
                <w:sz w:val="15"/>
              </w:rPr>
              <w:t>13 KB</w:t>
            </w:r>
          </w:p>
        </w:tc>
      </w:tr>
      <w:tr>
        <w:tc>
          <w:tcPr>
            <w:tcW w:type="dxa" w:w="2491"/>
            <w:vAlign w:val="center"/>
            <w:tcMar>
              <w:top w:w="65" w:type="dxa"/>
              <w:bottom w:w="65" w:type="dxa"/>
            </w:tcMar>
          </w:tcPr>
          <w:p>
            <w:pPr>
              <w:spacing w:after="20"/>
            </w:pPr>
            <w:r>
              <w:rPr>
                <w:sz w:val="15"/>
              </w:rPr>
              <w:t>Installed software + dependencies (estimate)</w:t>
            </w:r>
          </w:p>
        </w:tc>
        <w:tc>
          <w:tcPr>
            <w:tcW w:type="dxa" w:w="2491"/>
            <w:vAlign w:val="center"/>
            <w:tcMar>
              <w:top w:w="65" w:type="dxa"/>
              <w:bottom w:w="65" w:type="dxa"/>
            </w:tcMar>
          </w:tcPr>
          <w:p>
            <w:pPr>
              <w:spacing w:after="20"/>
            </w:pPr>
            <w:r>
              <w:rPr>
                <w:sz w:val="15"/>
              </w:rPr>
              <w:t>1.5–3 GB</w:t>
            </w:r>
          </w:p>
        </w:tc>
        <w:tc>
          <w:tcPr>
            <w:tcW w:type="dxa" w:w="2491"/>
            <w:vAlign w:val="center"/>
            <w:tcMar>
              <w:top w:w="65" w:type="dxa"/>
              <w:bottom w:w="65" w:type="dxa"/>
            </w:tcMar>
          </w:tcPr>
          <w:p>
            <w:pPr>
              <w:spacing w:after="20"/>
            </w:pPr>
            <w:r>
              <w:rPr>
                <w:sz w:val="15"/>
              </w:rPr>
              <w:t>0.2–1 GB</w:t>
            </w:r>
          </w:p>
        </w:tc>
        <w:tc>
          <w:tcPr>
            <w:tcW w:type="dxa" w:w="2491"/>
            <w:vAlign w:val="center"/>
            <w:tcMar>
              <w:top w:w="65" w:type="dxa"/>
              <w:bottom w:w="65" w:type="dxa"/>
            </w:tcMar>
          </w:tcPr>
          <w:p>
            <w:pPr>
              <w:spacing w:after="20"/>
            </w:pPr>
            <w:r>
              <w:rPr>
                <w:sz w:val="15"/>
              </w:rPr>
              <w:t>5–15 GB</w:t>
            </w:r>
          </w:p>
        </w:tc>
      </w:tr>
      <w:tr>
        <w:tc>
          <w:tcPr>
            <w:tcW w:type="dxa" w:w="2491"/>
            <w:vAlign w:val="center"/>
            <w:shd w:fill="EAF3FA"/>
            <w:tcMar>
              <w:top w:w="65" w:type="dxa"/>
              <w:bottom w:w="65" w:type="dxa"/>
            </w:tcMar>
          </w:tcPr>
          <w:p>
            <w:pPr>
              <w:spacing w:after="20"/>
            </w:pPr>
            <w:r>
              <w:rPr>
                <w:sz w:val="15"/>
              </w:rPr>
              <w:t>Project data/database (estimate)</w:t>
            </w:r>
          </w:p>
        </w:tc>
        <w:tc>
          <w:tcPr>
            <w:tcW w:type="dxa" w:w="2491"/>
            <w:vAlign w:val="center"/>
            <w:shd w:fill="EAF3FA"/>
            <w:tcMar>
              <w:top w:w="65" w:type="dxa"/>
              <w:bottom w:w="65" w:type="dxa"/>
            </w:tcMar>
          </w:tcPr>
          <w:p>
            <w:pPr>
              <w:spacing w:after="20"/>
            </w:pPr>
            <w:r>
              <w:rPr>
                <w:sz w:val="15"/>
              </w:rPr>
              <w:t>0.01–0.5 GB</w:t>
            </w:r>
          </w:p>
        </w:tc>
        <w:tc>
          <w:tcPr>
            <w:tcW w:type="dxa" w:w="2491"/>
            <w:vAlign w:val="center"/>
            <w:shd w:fill="EAF3FA"/>
            <w:tcMar>
              <w:top w:w="65" w:type="dxa"/>
              <w:bottom w:w="65" w:type="dxa"/>
            </w:tcMar>
          </w:tcPr>
          <w:p>
            <w:pPr>
              <w:spacing w:after="20"/>
            </w:pPr>
            <w:r>
              <w:rPr>
                <w:sz w:val="15"/>
              </w:rPr>
              <w:t>0.1–1 GB</w:t>
            </w:r>
          </w:p>
        </w:tc>
        <w:tc>
          <w:tcPr>
            <w:tcW w:type="dxa" w:w="2491"/>
            <w:vAlign w:val="center"/>
            <w:shd w:fill="EAF3FA"/>
            <w:tcMar>
              <w:top w:w="65" w:type="dxa"/>
              <w:bottom w:w="65" w:type="dxa"/>
            </w:tcMar>
          </w:tcPr>
          <w:p>
            <w:pPr>
              <w:spacing w:after="20"/>
            </w:pPr>
            <w:r>
              <w:rPr>
                <w:sz w:val="15"/>
              </w:rPr>
              <w:t>0.1–2 GB</w:t>
            </w:r>
          </w:p>
        </w:tc>
      </w:tr>
      <w:tr>
        <w:tc>
          <w:tcPr>
            <w:tcW w:type="dxa" w:w="2491"/>
            <w:vAlign w:val="center"/>
            <w:tcMar>
              <w:top w:w="65" w:type="dxa"/>
              <w:bottom w:w="65" w:type="dxa"/>
            </w:tcMar>
          </w:tcPr>
          <w:p>
            <w:pPr>
              <w:spacing w:after="20"/>
            </w:pPr>
            <w:r>
              <w:rPr>
                <w:sz w:val="15"/>
              </w:rPr>
              <w:t>Suggested free disk allowance</w:t>
            </w:r>
          </w:p>
        </w:tc>
        <w:tc>
          <w:tcPr>
            <w:tcW w:type="dxa" w:w="2491"/>
            <w:vAlign w:val="center"/>
            <w:tcMar>
              <w:top w:w="65" w:type="dxa"/>
              <w:bottom w:w="65" w:type="dxa"/>
            </w:tcMar>
          </w:tcPr>
          <w:p>
            <w:pPr>
              <w:spacing w:after="20"/>
            </w:pPr>
            <w:r>
              <w:rPr>
                <w:sz w:val="15"/>
              </w:rPr>
              <w:t>5 GB</w:t>
            </w:r>
          </w:p>
        </w:tc>
        <w:tc>
          <w:tcPr>
            <w:tcW w:type="dxa" w:w="2491"/>
            <w:vAlign w:val="center"/>
            <w:tcMar>
              <w:top w:w="65" w:type="dxa"/>
              <w:bottom w:w="65" w:type="dxa"/>
            </w:tcMar>
          </w:tcPr>
          <w:p>
            <w:pPr>
              <w:spacing w:after="20"/>
            </w:pPr>
            <w:r>
              <w:rPr>
                <w:sz w:val="15"/>
              </w:rPr>
              <w:t>5 GB</w:t>
            </w:r>
          </w:p>
        </w:tc>
        <w:tc>
          <w:tcPr>
            <w:tcW w:type="dxa" w:w="2491"/>
            <w:vAlign w:val="center"/>
            <w:tcMar>
              <w:top w:w="65" w:type="dxa"/>
              <w:bottom w:w="65" w:type="dxa"/>
            </w:tcMar>
          </w:tcPr>
          <w:p>
            <w:pPr>
              <w:spacing w:after="20"/>
            </w:pPr>
            <w:r>
              <w:rPr>
                <w:sz w:val="15"/>
              </w:rPr>
              <w:t>20 GB</w:t>
            </w:r>
          </w:p>
        </w:tc>
      </w:tr>
    </w:tbl>
    <w:p>
      <w:pPr>
        <w:spacing w:after="0"/>
      </w:pPr>
    </w:p>
    <w:p>
      <w:r>
        <w:t>ZIP size does not predict the size of a working project. Downloads, temporary extracts, PostgreSQL volumes, Docker images, and map assets drive actual storage consumption.</w:t>
      </w:r>
    </w:p>
    <w:p>
      <w:r>
        <w:drawing>
          <wp:inline xmlns:a="http://schemas.openxmlformats.org/drawingml/2006/main" xmlns:pic="http://schemas.openxmlformats.org/drawingml/2006/picture">
            <wp:extent cx="5943600" cy="1601510"/>
            <wp:docPr id="1" name="Picture 1"/>
            <wp:cNvGraphicFramePr>
              <a:graphicFrameLocks noChangeAspect="1"/>
            </wp:cNvGraphicFramePr>
            <a:graphic>
              <a:graphicData uri="http://schemas.openxmlformats.org/drawingml/2006/picture">
                <pic:pic>
                  <pic:nvPicPr>
                    <pic:cNvPr id="0" name="cuny_storage_chart.png"/>
                    <pic:cNvPicPr/>
                  </pic:nvPicPr>
                  <pic:blipFill>
                    <a:blip r:embed="rId9"/>
                    <a:stretch>
                      <a:fillRect/>
                    </a:stretch>
                  </pic:blipFill>
                  <pic:spPr>
                    <a:xfrm>
                      <a:off x="0" y="0"/>
                      <a:ext cx="5943600" cy="1601510"/>
                    </a:xfrm>
                    <a:prstGeom prst="rect"/>
                  </pic:spPr>
                </pic:pic>
              </a:graphicData>
            </a:graphic>
          </wp:inline>
        </w:drawing>
      </w:r>
    </w:p>
    <w:p>
      <w:pPr>
        <w:pStyle w:val="Heading1"/>
      </w:pPr>
      <w:r>
        <w:t>3  Hardware and installation</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fill="17365D"/>
            <w:tcMar>
              <w:top w:w="65" w:type="dxa"/>
              <w:bottom w:w="65" w:type="dxa"/>
            </w:tcMar>
          </w:tcPr>
          <w:p>
            <w:r>
              <w:rPr>
                <w:b/>
                <w:color w:val="FFFFFF"/>
                <w:sz w:val="16"/>
              </w:rPr>
              <w:t>Resource</w:t>
            </w:r>
          </w:p>
        </w:tc>
        <w:tc>
          <w:tcPr>
            <w:tcW w:type="dxa" w:w="2491"/>
            <w:shd w:fill="17365D"/>
            <w:tcMar>
              <w:top w:w="65" w:type="dxa"/>
              <w:bottom w:w="65" w:type="dxa"/>
            </w:tcMar>
          </w:tcPr>
          <w:p>
            <w:r>
              <w:rPr>
                <w:b/>
                <w:color w:val="FFFFFF"/>
                <w:sz w:val="16"/>
              </w:rPr>
              <w:t>Tableau</w:t>
            </w:r>
          </w:p>
        </w:tc>
        <w:tc>
          <w:tcPr>
            <w:tcW w:type="dxa" w:w="2491"/>
            <w:shd w:fill="17365D"/>
            <w:tcMar>
              <w:top w:w="65" w:type="dxa"/>
              <w:bottom w:w="65" w:type="dxa"/>
            </w:tcMar>
          </w:tcPr>
          <w:p>
            <w:r>
              <w:rPr>
                <w:b/>
                <w:color w:val="FFFFFF"/>
                <w:sz w:val="16"/>
              </w:rPr>
              <w:t>Python</w:t>
            </w:r>
          </w:p>
        </w:tc>
        <w:tc>
          <w:tcPr>
            <w:tcW w:type="dxa" w:w="2491"/>
            <w:shd w:fill="17365D"/>
            <w:tcMar>
              <w:top w:w="65" w:type="dxa"/>
              <w:bottom w:w="65" w:type="dxa"/>
            </w:tcMar>
          </w:tcPr>
          <w:p>
            <w:r>
              <w:rPr>
                <w:b/>
                <w:color w:val="FFFFFF"/>
                <w:sz w:val="16"/>
              </w:rPr>
              <w:t>Superset</w:t>
            </w:r>
          </w:p>
        </w:tc>
      </w:tr>
      <w:tr>
        <w:tc>
          <w:tcPr>
            <w:tcW w:type="dxa" w:w="2491"/>
            <w:vAlign w:val="center"/>
            <w:shd w:fill="EAF3FA"/>
            <w:tcMar>
              <w:top w:w="65" w:type="dxa"/>
              <w:bottom w:w="65" w:type="dxa"/>
            </w:tcMar>
          </w:tcPr>
          <w:p>
            <w:pPr>
              <w:spacing w:after="20"/>
            </w:pPr>
            <w:r>
              <w:rPr>
                <w:sz w:val="15"/>
              </w:rPr>
              <w:t>OS</w:t>
            </w:r>
          </w:p>
        </w:tc>
        <w:tc>
          <w:tcPr>
            <w:tcW w:type="dxa" w:w="2491"/>
            <w:vAlign w:val="center"/>
            <w:shd w:fill="EAF3FA"/>
            <w:tcMar>
              <w:top w:w="65" w:type="dxa"/>
              <w:bottom w:w="65" w:type="dxa"/>
            </w:tcMar>
          </w:tcPr>
          <w:p>
            <w:pPr>
              <w:spacing w:after="20"/>
            </w:pPr>
            <w:r>
              <w:rPr>
                <w:sz w:val="15"/>
              </w:rPr>
              <w:t>Windows 11</w:t>
            </w:r>
          </w:p>
        </w:tc>
        <w:tc>
          <w:tcPr>
            <w:tcW w:type="dxa" w:w="2491"/>
            <w:vAlign w:val="center"/>
            <w:shd w:fill="EAF3FA"/>
            <w:tcMar>
              <w:top w:w="65" w:type="dxa"/>
              <w:bottom w:w="65" w:type="dxa"/>
            </w:tcMar>
          </w:tcPr>
          <w:p>
            <w:pPr>
              <w:spacing w:after="20"/>
            </w:pPr>
            <w:r>
              <w:rPr>
                <w:sz w:val="15"/>
              </w:rPr>
              <w:t>Windows 11</w:t>
            </w:r>
          </w:p>
        </w:tc>
        <w:tc>
          <w:tcPr>
            <w:tcW w:type="dxa" w:w="2491"/>
            <w:vAlign w:val="center"/>
            <w:shd w:fill="EAF3FA"/>
            <w:tcMar>
              <w:top w:w="65" w:type="dxa"/>
              <w:bottom w:w="65" w:type="dxa"/>
            </w:tcMar>
          </w:tcPr>
          <w:p>
            <w:pPr>
              <w:spacing w:after="20"/>
            </w:pPr>
            <w:r>
              <w:rPr>
                <w:sz w:val="15"/>
              </w:rPr>
              <w:t>Windows 11 with Docker/WSL2</w:t>
            </w:r>
          </w:p>
        </w:tc>
      </w:tr>
      <w:tr>
        <w:tc>
          <w:tcPr>
            <w:tcW w:type="dxa" w:w="2491"/>
            <w:vAlign w:val="center"/>
            <w:tcMar>
              <w:top w:w="65" w:type="dxa"/>
              <w:bottom w:w="65" w:type="dxa"/>
            </w:tcMar>
          </w:tcPr>
          <w:p>
            <w:pPr>
              <w:spacing w:after="20"/>
            </w:pPr>
            <w:r>
              <w:rPr>
                <w:sz w:val="15"/>
              </w:rPr>
              <w:t>Practical RAM</w:t>
            </w:r>
          </w:p>
        </w:tc>
        <w:tc>
          <w:tcPr>
            <w:tcW w:type="dxa" w:w="2491"/>
            <w:vAlign w:val="center"/>
            <w:tcMar>
              <w:top w:w="65" w:type="dxa"/>
              <w:bottom w:w="65" w:type="dxa"/>
            </w:tcMar>
          </w:tcPr>
          <w:p>
            <w:pPr>
              <w:spacing w:after="20"/>
            </w:pPr>
            <w:r>
              <w:rPr>
                <w:sz w:val="15"/>
              </w:rPr>
              <w:t>8–16 GB</w:t>
            </w:r>
          </w:p>
        </w:tc>
        <w:tc>
          <w:tcPr>
            <w:tcW w:type="dxa" w:w="2491"/>
            <w:vAlign w:val="center"/>
            <w:tcMar>
              <w:top w:w="65" w:type="dxa"/>
              <w:bottom w:w="65" w:type="dxa"/>
            </w:tcMar>
          </w:tcPr>
          <w:p>
            <w:pPr>
              <w:spacing w:after="20"/>
            </w:pPr>
            <w:r>
              <w:rPr>
                <w:sz w:val="15"/>
              </w:rPr>
              <w:t>8–16 GB</w:t>
            </w:r>
          </w:p>
        </w:tc>
        <w:tc>
          <w:tcPr>
            <w:tcW w:type="dxa" w:w="2491"/>
            <w:vAlign w:val="center"/>
            <w:tcMar>
              <w:top w:w="65" w:type="dxa"/>
              <w:bottom w:w="65" w:type="dxa"/>
            </w:tcMar>
          </w:tcPr>
          <w:p>
            <w:pPr>
              <w:spacing w:after="20"/>
            </w:pPr>
            <w:r>
              <w:rPr>
                <w:sz w:val="15"/>
              </w:rPr>
              <w:t>16–32 GB preferred</w:t>
            </w:r>
          </w:p>
        </w:tc>
      </w:tr>
      <w:tr>
        <w:tc>
          <w:tcPr>
            <w:tcW w:type="dxa" w:w="2491"/>
            <w:vAlign w:val="center"/>
            <w:shd w:fill="EAF3FA"/>
            <w:tcMar>
              <w:top w:w="65" w:type="dxa"/>
              <w:bottom w:w="65" w:type="dxa"/>
            </w:tcMar>
          </w:tcPr>
          <w:p>
            <w:pPr>
              <w:spacing w:after="20"/>
            </w:pPr>
            <w:r>
              <w:rPr>
                <w:sz w:val="15"/>
              </w:rPr>
              <w:t>CPU</w:t>
            </w:r>
          </w:p>
        </w:tc>
        <w:tc>
          <w:tcPr>
            <w:tcW w:type="dxa" w:w="2491"/>
            <w:vAlign w:val="center"/>
            <w:shd w:fill="EAF3FA"/>
            <w:tcMar>
              <w:top w:w="65" w:type="dxa"/>
              <w:bottom w:w="65" w:type="dxa"/>
            </w:tcMar>
          </w:tcPr>
          <w:p>
            <w:pPr>
              <w:spacing w:after="20"/>
            </w:pPr>
            <w:r>
              <w:rPr>
                <w:sz w:val="15"/>
              </w:rPr>
              <w:t>4 cores preferred</w:t>
            </w:r>
          </w:p>
        </w:tc>
        <w:tc>
          <w:tcPr>
            <w:tcW w:type="dxa" w:w="2491"/>
            <w:vAlign w:val="center"/>
            <w:shd w:fill="EAF3FA"/>
            <w:tcMar>
              <w:top w:w="65" w:type="dxa"/>
              <w:bottom w:w="65" w:type="dxa"/>
            </w:tcMar>
          </w:tcPr>
          <w:p>
            <w:pPr>
              <w:spacing w:after="20"/>
            </w:pPr>
            <w:r>
              <w:rPr>
                <w:sz w:val="15"/>
              </w:rPr>
              <w:t>4 cores preferred</w:t>
            </w:r>
          </w:p>
        </w:tc>
        <w:tc>
          <w:tcPr>
            <w:tcW w:type="dxa" w:w="2491"/>
            <w:vAlign w:val="center"/>
            <w:shd w:fill="EAF3FA"/>
            <w:tcMar>
              <w:top w:w="65" w:type="dxa"/>
              <w:bottom w:w="65" w:type="dxa"/>
            </w:tcMar>
          </w:tcPr>
          <w:p>
            <w:pPr>
              <w:spacing w:after="20"/>
            </w:pPr>
            <w:r>
              <w:rPr>
                <w:sz w:val="15"/>
              </w:rPr>
              <w:t>6–8 cores helpful</w:t>
            </w:r>
          </w:p>
        </w:tc>
      </w:tr>
      <w:tr>
        <w:tc>
          <w:tcPr>
            <w:tcW w:type="dxa" w:w="2491"/>
            <w:vAlign w:val="center"/>
            <w:tcMar>
              <w:top w:w="65" w:type="dxa"/>
              <w:bottom w:w="65" w:type="dxa"/>
            </w:tcMar>
          </w:tcPr>
          <w:p>
            <w:pPr>
              <w:spacing w:after="20"/>
            </w:pPr>
            <w:r>
              <w:rPr>
                <w:sz w:val="15"/>
              </w:rPr>
              <w:t>Dedicated GPU</w:t>
            </w:r>
          </w:p>
        </w:tc>
        <w:tc>
          <w:tcPr>
            <w:tcW w:type="dxa" w:w="2491"/>
            <w:vAlign w:val="center"/>
            <w:tcMar>
              <w:top w:w="65" w:type="dxa"/>
              <w:bottom w:w="65" w:type="dxa"/>
            </w:tcMar>
          </w:tcPr>
          <w:p>
            <w:pPr>
              <w:spacing w:after="20"/>
            </w:pPr>
            <w:r>
              <w:rPr>
                <w:sz w:val="15"/>
              </w:rPr>
              <w:t>Not required</w:t>
            </w:r>
          </w:p>
        </w:tc>
        <w:tc>
          <w:tcPr>
            <w:tcW w:type="dxa" w:w="2491"/>
            <w:vAlign w:val="center"/>
            <w:tcMar>
              <w:top w:w="65" w:type="dxa"/>
              <w:bottom w:w="65" w:type="dxa"/>
            </w:tcMar>
          </w:tcPr>
          <w:p>
            <w:pPr>
              <w:spacing w:after="20"/>
            </w:pPr>
            <w:r>
              <w:rPr>
                <w:sz w:val="15"/>
              </w:rPr>
              <w:t>Not required</w:t>
            </w:r>
          </w:p>
        </w:tc>
        <w:tc>
          <w:tcPr>
            <w:tcW w:type="dxa" w:w="2491"/>
            <w:vAlign w:val="center"/>
            <w:tcMar>
              <w:top w:w="65" w:type="dxa"/>
              <w:bottom w:w="65" w:type="dxa"/>
            </w:tcMar>
          </w:tcPr>
          <w:p>
            <w:pPr>
              <w:spacing w:after="20"/>
            </w:pPr>
            <w:r>
              <w:rPr>
                <w:sz w:val="15"/>
              </w:rPr>
              <w:t>Not required</w:t>
            </w:r>
          </w:p>
        </w:tc>
      </w:tr>
      <w:tr>
        <w:tc>
          <w:tcPr>
            <w:tcW w:type="dxa" w:w="2491"/>
            <w:vAlign w:val="center"/>
            <w:shd w:fill="EAF3FA"/>
            <w:tcMar>
              <w:top w:w="65" w:type="dxa"/>
              <w:bottom w:w="65" w:type="dxa"/>
            </w:tcMar>
          </w:tcPr>
          <w:p>
            <w:pPr>
              <w:spacing w:after="20"/>
            </w:pPr>
            <w:r>
              <w:rPr>
                <w:sz w:val="15"/>
              </w:rPr>
              <w:t>Network</w:t>
            </w:r>
          </w:p>
        </w:tc>
        <w:tc>
          <w:tcPr>
            <w:tcW w:type="dxa" w:w="2491"/>
            <w:vAlign w:val="center"/>
            <w:shd w:fill="EAF3FA"/>
            <w:tcMar>
              <w:top w:w="65" w:type="dxa"/>
              <w:bottom w:w="65" w:type="dxa"/>
            </w:tcMar>
          </w:tcPr>
          <w:p>
            <w:pPr>
              <w:spacing w:after="20"/>
            </w:pPr>
            <w:r>
              <w:rPr>
                <w:sz w:val="15"/>
              </w:rPr>
              <w:t>Downloads, basemap, publishing</w:t>
            </w:r>
          </w:p>
        </w:tc>
        <w:tc>
          <w:tcPr>
            <w:tcW w:type="dxa" w:w="2491"/>
            <w:vAlign w:val="center"/>
            <w:shd w:fill="EAF3FA"/>
            <w:tcMar>
              <w:top w:w="65" w:type="dxa"/>
              <w:bottom w:w="65" w:type="dxa"/>
            </w:tcMar>
          </w:tcPr>
          <w:p>
            <w:pPr>
              <w:spacing w:after="20"/>
            </w:pPr>
            <w:r>
              <w:rPr>
                <w:sz w:val="15"/>
              </w:rPr>
              <w:t>API, dependencies, map tiles</w:t>
            </w:r>
          </w:p>
        </w:tc>
        <w:tc>
          <w:tcPr>
            <w:tcW w:type="dxa" w:w="2491"/>
            <w:vAlign w:val="center"/>
            <w:shd w:fill="EAF3FA"/>
            <w:tcMar>
              <w:top w:w="65" w:type="dxa"/>
              <w:bottom w:w="65" w:type="dxa"/>
            </w:tcMar>
          </w:tcPr>
          <w:p>
            <w:pPr>
              <w:spacing w:after="20"/>
            </w:pPr>
            <w:r>
              <w:rPr>
                <w:sz w:val="15"/>
              </w:rPr>
              <w:t>Installation, API, map tiles</w:t>
            </w:r>
          </w:p>
        </w:tc>
      </w:tr>
      <w:tr>
        <w:tc>
          <w:tcPr>
            <w:tcW w:type="dxa" w:w="2491"/>
            <w:vAlign w:val="center"/>
            <w:tcMar>
              <w:top w:w="65" w:type="dxa"/>
              <w:bottom w:w="65" w:type="dxa"/>
            </w:tcMar>
          </w:tcPr>
          <w:p>
            <w:pPr>
              <w:spacing w:after="20"/>
            </w:pPr>
            <w:r>
              <w:rPr>
                <w:sz w:val="15"/>
              </w:rPr>
              <w:t>Setup complexity</w:t>
            </w:r>
          </w:p>
        </w:tc>
        <w:tc>
          <w:tcPr>
            <w:tcW w:type="dxa" w:w="2491"/>
            <w:vAlign w:val="center"/>
            <w:tcMar>
              <w:top w:w="65" w:type="dxa"/>
              <w:bottom w:w="65" w:type="dxa"/>
            </w:tcMar>
          </w:tcPr>
          <w:p>
            <w:pPr>
              <w:spacing w:after="20"/>
            </w:pPr>
            <w:r>
              <w:rPr>
                <w:sz w:val="15"/>
              </w:rPr>
              <w:t>Low</w:t>
            </w:r>
          </w:p>
        </w:tc>
        <w:tc>
          <w:tcPr>
            <w:tcW w:type="dxa" w:w="2491"/>
            <w:vAlign w:val="center"/>
            <w:tcMar>
              <w:top w:w="65" w:type="dxa"/>
              <w:bottom w:w="65" w:type="dxa"/>
            </w:tcMar>
          </w:tcPr>
          <w:p>
            <w:pPr>
              <w:spacing w:after="20"/>
            </w:pPr>
            <w:r>
              <w:rPr>
                <w:sz w:val="15"/>
              </w:rPr>
              <w:t>Low to medium</w:t>
            </w:r>
          </w:p>
        </w:tc>
        <w:tc>
          <w:tcPr>
            <w:tcW w:type="dxa" w:w="2491"/>
            <w:vAlign w:val="center"/>
            <w:tcMar>
              <w:top w:w="65" w:type="dxa"/>
              <w:bottom w:w="65" w:type="dxa"/>
            </w:tcMar>
          </w:tcPr>
          <w:p>
            <w:pPr>
              <w:spacing w:after="20"/>
            </w:pPr>
            <w:r>
              <w:rPr>
                <w:sz w:val="15"/>
              </w:rPr>
              <w:t>High</w:t>
            </w:r>
          </w:p>
        </w:tc>
      </w:tr>
    </w:tbl>
    <w:p>
      <w:pPr>
        <w:spacing w:after="0"/>
      </w:pPr>
    </w:p>
    <w:p>
      <w:pPr>
        <w:pStyle w:val="Heading1"/>
      </w:pPr>
      <w:r>
        <w:t>4  Estimated workflow times</w:t>
      </w:r>
    </w:p>
    <w:p>
      <w:r>
        <w:t>Estimated ranges presume SSD, reasonable broadband, compatible installation and a first-time student. API failures or missing dependencies can add substantial time.</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fill="17365D"/>
            <w:tcMar>
              <w:top w:w="65" w:type="dxa"/>
              <w:bottom w:w="65" w:type="dxa"/>
            </w:tcMar>
          </w:tcPr>
          <w:p>
            <w:r>
              <w:rPr>
                <w:b/>
                <w:color w:val="FFFFFF"/>
                <w:sz w:val="16"/>
              </w:rPr>
              <w:t>Task</w:t>
            </w:r>
          </w:p>
        </w:tc>
        <w:tc>
          <w:tcPr>
            <w:tcW w:type="dxa" w:w="2491"/>
            <w:shd w:fill="17365D"/>
            <w:tcMar>
              <w:top w:w="65" w:type="dxa"/>
              <w:bottom w:w="65" w:type="dxa"/>
            </w:tcMar>
          </w:tcPr>
          <w:p>
            <w:r>
              <w:rPr>
                <w:b/>
                <w:color w:val="FFFFFF"/>
                <w:sz w:val="16"/>
              </w:rPr>
              <w:t>Tableau</w:t>
            </w:r>
          </w:p>
        </w:tc>
        <w:tc>
          <w:tcPr>
            <w:tcW w:type="dxa" w:w="2491"/>
            <w:shd w:fill="17365D"/>
            <w:tcMar>
              <w:top w:w="65" w:type="dxa"/>
              <w:bottom w:w="65" w:type="dxa"/>
            </w:tcMar>
          </w:tcPr>
          <w:p>
            <w:r>
              <w:rPr>
                <w:b/>
                <w:color w:val="FFFFFF"/>
                <w:sz w:val="16"/>
              </w:rPr>
              <w:t>Python</w:t>
            </w:r>
          </w:p>
        </w:tc>
        <w:tc>
          <w:tcPr>
            <w:tcW w:type="dxa" w:w="2491"/>
            <w:shd w:fill="17365D"/>
            <w:tcMar>
              <w:top w:w="65" w:type="dxa"/>
              <w:bottom w:w="65" w:type="dxa"/>
            </w:tcMar>
          </w:tcPr>
          <w:p>
            <w:r>
              <w:rPr>
                <w:b/>
                <w:color w:val="FFFFFF"/>
                <w:sz w:val="16"/>
              </w:rPr>
              <w:t>Superset</w:t>
            </w:r>
          </w:p>
        </w:tc>
      </w:tr>
      <w:tr>
        <w:tc>
          <w:tcPr>
            <w:tcW w:type="dxa" w:w="2491"/>
            <w:vAlign w:val="center"/>
            <w:shd w:fill="EAF3FA"/>
            <w:tcMar>
              <w:top w:w="65" w:type="dxa"/>
              <w:bottom w:w="65" w:type="dxa"/>
            </w:tcMar>
          </w:tcPr>
          <w:p>
            <w:pPr>
              <w:spacing w:after="20"/>
            </w:pPr>
            <w:r>
              <w:rPr>
                <w:sz w:val="15"/>
              </w:rPr>
              <w:t>Install/initialize</w:t>
            </w:r>
          </w:p>
        </w:tc>
        <w:tc>
          <w:tcPr>
            <w:tcW w:type="dxa" w:w="2491"/>
            <w:vAlign w:val="center"/>
            <w:shd w:fill="EAF3FA"/>
            <w:tcMar>
              <w:top w:w="65" w:type="dxa"/>
              <w:bottom w:w="65" w:type="dxa"/>
            </w:tcMar>
          </w:tcPr>
          <w:p>
            <w:pPr>
              <w:spacing w:after="20"/>
            </w:pPr>
            <w:r>
              <w:rPr>
                <w:sz w:val="15"/>
              </w:rPr>
              <w:t>10–25 min</w:t>
            </w:r>
          </w:p>
        </w:tc>
        <w:tc>
          <w:tcPr>
            <w:tcW w:type="dxa" w:w="2491"/>
            <w:vAlign w:val="center"/>
            <w:shd w:fill="EAF3FA"/>
            <w:tcMar>
              <w:top w:w="65" w:type="dxa"/>
              <w:bottom w:w="65" w:type="dxa"/>
            </w:tcMar>
          </w:tcPr>
          <w:p>
            <w:pPr>
              <w:spacing w:after="20"/>
            </w:pPr>
            <w:r>
              <w:rPr>
                <w:sz w:val="15"/>
              </w:rPr>
              <w:t>10–25 min</w:t>
            </w:r>
          </w:p>
        </w:tc>
        <w:tc>
          <w:tcPr>
            <w:tcW w:type="dxa" w:w="2491"/>
            <w:vAlign w:val="center"/>
            <w:shd w:fill="EAF3FA"/>
            <w:tcMar>
              <w:top w:w="65" w:type="dxa"/>
              <w:bottom w:w="65" w:type="dxa"/>
            </w:tcMar>
          </w:tcPr>
          <w:p>
            <w:pPr>
              <w:spacing w:after="20"/>
            </w:pPr>
            <w:r>
              <w:rPr>
                <w:sz w:val="15"/>
              </w:rPr>
              <w:t>30–90 min</w:t>
            </w:r>
          </w:p>
        </w:tc>
      </w:tr>
      <w:tr>
        <w:tc>
          <w:tcPr>
            <w:tcW w:type="dxa" w:w="2491"/>
            <w:vAlign w:val="center"/>
            <w:tcMar>
              <w:top w:w="65" w:type="dxa"/>
              <w:bottom w:w="65" w:type="dxa"/>
            </w:tcMar>
          </w:tcPr>
          <w:p>
            <w:pPr>
              <w:spacing w:after="20"/>
            </w:pPr>
            <w:r>
              <w:rPr>
                <w:sz w:val="15"/>
              </w:rPr>
              <w:t>Fetch six years of 311</w:t>
            </w:r>
          </w:p>
        </w:tc>
        <w:tc>
          <w:tcPr>
            <w:tcW w:type="dxa" w:w="2491"/>
            <w:vAlign w:val="center"/>
            <w:tcMar>
              <w:top w:w="65" w:type="dxa"/>
              <w:bottom w:w="65" w:type="dxa"/>
            </w:tcMar>
          </w:tcPr>
          <w:p>
            <w:pPr>
              <w:spacing w:after="20"/>
            </w:pPr>
            <w:r>
              <w:rPr>
                <w:sz w:val="15"/>
              </w:rPr>
              <w:t>10–60+ min</w:t>
            </w:r>
          </w:p>
        </w:tc>
        <w:tc>
          <w:tcPr>
            <w:tcW w:type="dxa" w:w="2491"/>
            <w:vAlign w:val="center"/>
            <w:tcMar>
              <w:top w:w="65" w:type="dxa"/>
              <w:bottom w:w="65" w:type="dxa"/>
            </w:tcMar>
          </w:tcPr>
          <w:p>
            <w:pPr>
              <w:spacing w:after="20"/>
            </w:pPr>
            <w:r>
              <w:rPr>
                <w:sz w:val="15"/>
              </w:rPr>
              <w:t>10–60+ min</w:t>
            </w:r>
          </w:p>
        </w:tc>
        <w:tc>
          <w:tcPr>
            <w:tcW w:type="dxa" w:w="2491"/>
            <w:vAlign w:val="center"/>
            <w:tcMar>
              <w:top w:w="65" w:type="dxa"/>
              <w:bottom w:w="65" w:type="dxa"/>
            </w:tcMar>
          </w:tcPr>
          <w:p>
            <w:pPr>
              <w:spacing w:after="20"/>
            </w:pPr>
            <w:r>
              <w:rPr>
                <w:sz w:val="15"/>
              </w:rPr>
              <w:t>10–60+ min</w:t>
            </w:r>
          </w:p>
        </w:tc>
      </w:tr>
      <w:tr>
        <w:tc>
          <w:tcPr>
            <w:tcW w:type="dxa" w:w="2491"/>
            <w:vAlign w:val="center"/>
            <w:shd w:fill="EAF3FA"/>
            <w:tcMar>
              <w:top w:w="65" w:type="dxa"/>
              <w:bottom w:w="65" w:type="dxa"/>
            </w:tcMar>
          </w:tcPr>
          <w:p>
            <w:pPr>
              <w:spacing w:after="20"/>
            </w:pPr>
            <w:r>
              <w:rPr>
                <w:sz w:val="15"/>
              </w:rPr>
              <w:t>Prepare geographic matches</w:t>
            </w:r>
          </w:p>
        </w:tc>
        <w:tc>
          <w:tcPr>
            <w:tcW w:type="dxa" w:w="2491"/>
            <w:vAlign w:val="center"/>
            <w:shd w:fill="EAF3FA"/>
            <w:tcMar>
              <w:top w:w="65" w:type="dxa"/>
              <w:bottom w:w="65" w:type="dxa"/>
            </w:tcMar>
          </w:tcPr>
          <w:p>
            <w:pPr>
              <w:spacing w:after="20"/>
            </w:pPr>
            <w:r>
              <w:rPr>
                <w:sz w:val="15"/>
              </w:rPr>
              <w:t>30–120+ min manually</w:t>
            </w:r>
          </w:p>
        </w:tc>
        <w:tc>
          <w:tcPr>
            <w:tcW w:type="dxa" w:w="2491"/>
            <w:vAlign w:val="center"/>
            <w:shd w:fill="EAF3FA"/>
            <w:tcMar>
              <w:top w:w="65" w:type="dxa"/>
              <w:bottom w:w="65" w:type="dxa"/>
            </w:tcMar>
          </w:tcPr>
          <w:p>
            <w:pPr>
              <w:spacing w:after="20"/>
            </w:pPr>
            <w:r>
              <w:rPr>
                <w:sz w:val="15"/>
              </w:rPr>
              <w:t>2–30 min computation</w:t>
            </w:r>
          </w:p>
        </w:tc>
        <w:tc>
          <w:tcPr>
            <w:tcW w:type="dxa" w:w="2491"/>
            <w:vAlign w:val="center"/>
            <w:shd w:fill="EAF3FA"/>
            <w:tcMar>
              <w:top w:w="65" w:type="dxa"/>
              <w:bottom w:w="65" w:type="dxa"/>
            </w:tcMar>
          </w:tcPr>
          <w:p>
            <w:pPr>
              <w:spacing w:after="20"/>
            </w:pPr>
            <w:r>
              <w:rPr>
                <w:sz w:val="15"/>
              </w:rPr>
              <w:t>2–30 min computation</w:t>
            </w:r>
          </w:p>
        </w:tc>
      </w:tr>
      <w:tr>
        <w:tc>
          <w:tcPr>
            <w:tcW w:type="dxa" w:w="2491"/>
            <w:vAlign w:val="center"/>
            <w:tcMar>
              <w:top w:w="65" w:type="dxa"/>
              <w:bottom w:w="65" w:type="dxa"/>
            </w:tcMar>
          </w:tcPr>
          <w:p>
            <w:pPr>
              <w:spacing w:after="20"/>
            </w:pPr>
            <w:r>
              <w:rPr>
                <w:sz w:val="15"/>
              </w:rPr>
              <w:t>Construct/rebuild views</w:t>
            </w:r>
          </w:p>
        </w:tc>
        <w:tc>
          <w:tcPr>
            <w:tcW w:type="dxa" w:w="2491"/>
            <w:vAlign w:val="center"/>
            <w:tcMar>
              <w:top w:w="65" w:type="dxa"/>
              <w:bottom w:w="65" w:type="dxa"/>
            </w:tcMar>
          </w:tcPr>
          <w:p>
            <w:pPr>
              <w:spacing w:after="20"/>
            </w:pPr>
            <w:r>
              <w:rPr>
                <w:sz w:val="15"/>
              </w:rPr>
              <w:t>45–120 min manually</w:t>
            </w:r>
          </w:p>
        </w:tc>
        <w:tc>
          <w:tcPr>
            <w:tcW w:type="dxa" w:w="2491"/>
            <w:vAlign w:val="center"/>
            <w:tcMar>
              <w:top w:w="65" w:type="dxa"/>
              <w:bottom w:w="65" w:type="dxa"/>
            </w:tcMar>
          </w:tcPr>
          <w:p>
            <w:pPr>
              <w:spacing w:after="20"/>
            </w:pPr>
            <w:r>
              <w:rPr>
                <w:sz w:val="15"/>
              </w:rPr>
              <w:t>5–20 min run + check</w:t>
            </w:r>
          </w:p>
        </w:tc>
        <w:tc>
          <w:tcPr>
            <w:tcW w:type="dxa" w:w="2491"/>
            <w:vAlign w:val="center"/>
            <w:tcMar>
              <w:top w:w="65" w:type="dxa"/>
              <w:bottom w:w="65" w:type="dxa"/>
            </w:tcMar>
          </w:tcPr>
          <w:p>
            <w:pPr>
              <w:spacing w:after="20"/>
            </w:pPr>
            <w:r>
              <w:rPr>
                <w:sz w:val="15"/>
              </w:rPr>
              <w:t>60–180 min configuration</w:t>
            </w:r>
          </w:p>
        </w:tc>
      </w:tr>
      <w:tr>
        <w:tc>
          <w:tcPr>
            <w:tcW w:type="dxa" w:w="2491"/>
            <w:vAlign w:val="center"/>
            <w:shd w:fill="EAF3FA"/>
            <w:tcMar>
              <w:top w:w="65" w:type="dxa"/>
              <w:bottom w:w="65" w:type="dxa"/>
            </w:tcMar>
          </w:tcPr>
          <w:p>
            <w:pPr>
              <w:spacing w:after="20"/>
            </w:pPr>
            <w:r>
              <w:rPr>
                <w:sz w:val="15"/>
              </w:rPr>
              <w:t>Test and save</w:t>
            </w:r>
          </w:p>
        </w:tc>
        <w:tc>
          <w:tcPr>
            <w:tcW w:type="dxa" w:w="2491"/>
            <w:vAlign w:val="center"/>
            <w:shd w:fill="EAF3FA"/>
            <w:tcMar>
              <w:top w:w="65" w:type="dxa"/>
              <w:bottom w:w="65" w:type="dxa"/>
            </w:tcMar>
          </w:tcPr>
          <w:p>
            <w:pPr>
              <w:spacing w:after="20"/>
            </w:pPr>
            <w:r>
              <w:rPr>
                <w:sz w:val="15"/>
              </w:rPr>
              <w:t>15–30 min</w:t>
            </w:r>
          </w:p>
        </w:tc>
        <w:tc>
          <w:tcPr>
            <w:tcW w:type="dxa" w:w="2491"/>
            <w:vAlign w:val="center"/>
            <w:shd w:fill="EAF3FA"/>
            <w:tcMar>
              <w:top w:w="65" w:type="dxa"/>
              <w:bottom w:w="65" w:type="dxa"/>
            </w:tcMar>
          </w:tcPr>
          <w:p>
            <w:pPr>
              <w:spacing w:after="20"/>
            </w:pPr>
            <w:r>
              <w:rPr>
                <w:sz w:val="15"/>
              </w:rPr>
              <w:t>10–30 min</w:t>
            </w:r>
          </w:p>
        </w:tc>
        <w:tc>
          <w:tcPr>
            <w:tcW w:type="dxa" w:w="2491"/>
            <w:vAlign w:val="center"/>
            <w:shd w:fill="EAF3FA"/>
            <w:tcMar>
              <w:top w:w="65" w:type="dxa"/>
              <w:bottom w:w="65" w:type="dxa"/>
            </w:tcMar>
          </w:tcPr>
          <w:p>
            <w:pPr>
              <w:spacing w:after="20"/>
            </w:pPr>
            <w:r>
              <w:rPr>
                <w:sz w:val="15"/>
              </w:rPr>
              <w:t>20–60 min</w:t>
            </w:r>
          </w:p>
        </w:tc>
      </w:tr>
    </w:tbl>
    <w:p>
      <w:pPr>
        <w:spacing w:after="0"/>
      </w:pPr>
    </w:p>
    <w:p>
      <w:pPr>
        <w:pStyle w:val="Heading2"/>
      </w:pPr>
      <w:r>
        <w:t>Data fetching: what actually happens</w:t>
      </w:r>
    </w:p>
    <w:p>
      <w:r>
        <w:t>The scripts query NYC Open Data by issue and month. Each request returns a manageable page of records, which the program saves locally. For 72 months and two issue categories, at least 144 month/issue queries are possible before pagination. Tableau can consume prepared CSVs, while Python and Superset pipelines can generate CSV summaries and matched campus records automatically.</w:t>
      </w:r>
    </w:p>
    <w:p>
      <w:r>
        <w:t>Download time depends on how many records match, API responses, network speed, rate limits, retries and field selection. A fresh data fetch is not equivalent to reopening an existing dashboard.</w:t>
      </w:r>
    </w:p>
    <w:p>
      <w:pPr>
        <w:pStyle w:val="Heading1"/>
      </w:pPr>
      <w:r>
        <w:t>5  Performance, refresh and scale</w:t>
      </w:r>
    </w:p>
    <w:tbl>
      <w:tblPr>
        <w:tblStyle w:val="TableGrid"/>
        <w:tblW w:type="auto" w:w="0"/>
        <w:jc w:val="center"/>
        <w:tblLook w:firstColumn="1" w:firstRow="1" w:lastColumn="0" w:lastRow="0" w:noHBand="0" w:noVBand="1" w:val="04A0"/>
      </w:tblPr>
      <w:tblGrid>
        <w:gridCol w:w="2491"/>
        <w:gridCol w:w="2491"/>
        <w:gridCol w:w="2491"/>
        <w:gridCol w:w="2491"/>
      </w:tblGrid>
      <w:tr>
        <w:tc>
          <w:tcPr>
            <w:tcW w:type="dxa" w:w="2491"/>
            <w:shd w:fill="17365D"/>
            <w:tcMar>
              <w:top w:w="65" w:type="dxa"/>
              <w:bottom w:w="65" w:type="dxa"/>
            </w:tcMar>
          </w:tcPr>
          <w:p>
            <w:r>
              <w:rPr>
                <w:b/>
                <w:color w:val="FFFFFF"/>
                <w:sz w:val="16"/>
              </w:rPr>
              <w:t>Capability</w:t>
            </w:r>
          </w:p>
        </w:tc>
        <w:tc>
          <w:tcPr>
            <w:tcW w:type="dxa" w:w="2491"/>
            <w:shd w:fill="17365D"/>
            <w:tcMar>
              <w:top w:w="65" w:type="dxa"/>
              <w:bottom w:w="65" w:type="dxa"/>
            </w:tcMar>
          </w:tcPr>
          <w:p>
            <w:r>
              <w:rPr>
                <w:b/>
                <w:color w:val="FFFFFF"/>
                <w:sz w:val="16"/>
              </w:rPr>
              <w:t>Tableau</w:t>
            </w:r>
          </w:p>
        </w:tc>
        <w:tc>
          <w:tcPr>
            <w:tcW w:type="dxa" w:w="2491"/>
            <w:shd w:fill="17365D"/>
            <w:tcMar>
              <w:top w:w="65" w:type="dxa"/>
              <w:bottom w:w="65" w:type="dxa"/>
            </w:tcMar>
          </w:tcPr>
          <w:p>
            <w:r>
              <w:rPr>
                <w:b/>
                <w:color w:val="FFFFFF"/>
                <w:sz w:val="16"/>
              </w:rPr>
              <w:t>Python + Plotly</w:t>
            </w:r>
          </w:p>
        </w:tc>
        <w:tc>
          <w:tcPr>
            <w:tcW w:type="dxa" w:w="2491"/>
            <w:shd w:fill="17365D"/>
            <w:tcMar>
              <w:top w:w="65" w:type="dxa"/>
              <w:bottom w:w="65" w:type="dxa"/>
            </w:tcMar>
          </w:tcPr>
          <w:p>
            <w:r>
              <w:rPr>
                <w:b/>
                <w:color w:val="FFFFFF"/>
                <w:sz w:val="16"/>
              </w:rPr>
              <w:t>Superset</w:t>
            </w:r>
          </w:p>
        </w:tc>
      </w:tr>
      <w:tr>
        <w:tc>
          <w:tcPr>
            <w:tcW w:type="dxa" w:w="2491"/>
            <w:vAlign w:val="center"/>
            <w:shd w:fill="EAF3FA"/>
            <w:tcMar>
              <w:top w:w="65" w:type="dxa"/>
              <w:bottom w:w="65" w:type="dxa"/>
            </w:tcMar>
          </w:tcPr>
          <w:p>
            <w:pPr>
              <w:spacing w:after="20"/>
            </w:pPr>
            <w:r>
              <w:rPr>
                <w:sz w:val="15"/>
              </w:rPr>
              <w:t>Already-built dashboard</w:t>
            </w:r>
          </w:p>
        </w:tc>
        <w:tc>
          <w:tcPr>
            <w:tcW w:type="dxa" w:w="2491"/>
            <w:vAlign w:val="center"/>
            <w:shd w:fill="EAF3FA"/>
            <w:tcMar>
              <w:top w:w="65" w:type="dxa"/>
              <w:bottom w:w="65" w:type="dxa"/>
            </w:tcMar>
          </w:tcPr>
          <w:p>
            <w:pPr>
              <w:spacing w:after="20"/>
            </w:pPr>
            <w:r>
              <w:rPr>
                <w:sz w:val="15"/>
              </w:rPr>
              <w:t>Opens interactively</w:t>
            </w:r>
          </w:p>
        </w:tc>
        <w:tc>
          <w:tcPr>
            <w:tcW w:type="dxa" w:w="2491"/>
            <w:vAlign w:val="center"/>
            <w:shd w:fill="EAF3FA"/>
            <w:tcMar>
              <w:top w:w="65" w:type="dxa"/>
              <w:bottom w:w="65" w:type="dxa"/>
            </w:tcMar>
          </w:tcPr>
          <w:p>
            <w:pPr>
              <w:spacing w:after="20"/>
            </w:pPr>
            <w:r>
              <w:rPr>
                <w:sz w:val="15"/>
              </w:rPr>
              <w:t>HTML loads locally</w:t>
            </w:r>
          </w:p>
        </w:tc>
        <w:tc>
          <w:tcPr>
            <w:tcW w:type="dxa" w:w="2491"/>
            <w:vAlign w:val="center"/>
            <w:shd w:fill="EAF3FA"/>
            <w:tcMar>
              <w:top w:w="65" w:type="dxa"/>
              <w:bottom w:w="65" w:type="dxa"/>
            </w:tcMar>
          </w:tcPr>
          <w:p>
            <w:pPr>
              <w:spacing w:after="20"/>
            </w:pPr>
            <w:r>
              <w:rPr>
                <w:sz w:val="15"/>
              </w:rPr>
              <w:t>Web dashboard after server starts</w:t>
            </w:r>
          </w:p>
        </w:tc>
      </w:tr>
      <w:tr>
        <w:tc>
          <w:tcPr>
            <w:tcW w:type="dxa" w:w="2491"/>
            <w:vAlign w:val="center"/>
            <w:tcMar>
              <w:top w:w="65" w:type="dxa"/>
              <w:bottom w:w="65" w:type="dxa"/>
            </w:tcMar>
          </w:tcPr>
          <w:p>
            <w:pPr>
              <w:spacing w:after="20"/>
            </w:pPr>
            <w:r>
              <w:rPr>
                <w:sz w:val="15"/>
              </w:rPr>
              <w:t>Change map filters</w:t>
            </w:r>
          </w:p>
        </w:tc>
        <w:tc>
          <w:tcPr>
            <w:tcW w:type="dxa" w:w="2491"/>
            <w:vAlign w:val="center"/>
            <w:tcMar>
              <w:top w:w="65" w:type="dxa"/>
              <w:bottom w:w="65" w:type="dxa"/>
            </w:tcMar>
          </w:tcPr>
          <w:p>
            <w:pPr>
              <w:spacing w:after="20"/>
            </w:pPr>
            <w:r>
              <w:rPr>
                <w:sz w:val="15"/>
              </w:rPr>
              <w:t>Yes</w:t>
            </w:r>
          </w:p>
        </w:tc>
        <w:tc>
          <w:tcPr>
            <w:tcW w:type="dxa" w:w="2491"/>
            <w:vAlign w:val="center"/>
            <w:tcMar>
              <w:top w:w="65" w:type="dxa"/>
              <w:bottom w:w="65" w:type="dxa"/>
            </w:tcMar>
          </w:tcPr>
          <w:p>
            <w:pPr>
              <w:spacing w:after="20"/>
            </w:pPr>
            <w:r>
              <w:rPr>
                <w:sz w:val="15"/>
              </w:rPr>
              <w:t>Yes</w:t>
            </w:r>
          </w:p>
        </w:tc>
        <w:tc>
          <w:tcPr>
            <w:tcW w:type="dxa" w:w="2491"/>
            <w:vAlign w:val="center"/>
            <w:tcMar>
              <w:top w:w="65" w:type="dxa"/>
              <w:bottom w:w="65" w:type="dxa"/>
            </w:tcMar>
          </w:tcPr>
          <w:p>
            <w:pPr>
              <w:spacing w:after="20"/>
            </w:pPr>
            <w:r>
              <w:rPr>
                <w:sz w:val="15"/>
              </w:rPr>
              <w:t>Yes (Leaflet separately)</w:t>
            </w:r>
          </w:p>
        </w:tc>
      </w:tr>
      <w:tr>
        <w:tc>
          <w:tcPr>
            <w:tcW w:type="dxa" w:w="2491"/>
            <w:vAlign w:val="center"/>
            <w:shd w:fill="EAF3FA"/>
            <w:tcMar>
              <w:top w:w="65" w:type="dxa"/>
              <w:bottom w:w="65" w:type="dxa"/>
            </w:tcMar>
          </w:tcPr>
          <w:p>
            <w:pPr>
              <w:spacing w:after="20"/>
            </w:pPr>
            <w:r>
              <w:rPr>
                <w:sz w:val="15"/>
              </w:rPr>
              <w:t>Repeat data fetch</w:t>
            </w:r>
          </w:p>
        </w:tc>
        <w:tc>
          <w:tcPr>
            <w:tcW w:type="dxa" w:w="2491"/>
            <w:vAlign w:val="center"/>
            <w:shd w:fill="EAF3FA"/>
            <w:tcMar>
              <w:top w:w="65" w:type="dxa"/>
              <w:bottom w:w="65" w:type="dxa"/>
            </w:tcMar>
          </w:tcPr>
          <w:p>
            <w:pPr>
              <w:spacing w:after="20"/>
            </w:pPr>
            <w:r>
              <w:rPr>
                <w:sz w:val="15"/>
              </w:rPr>
              <w:t>Extra procedure</w:t>
            </w:r>
          </w:p>
        </w:tc>
        <w:tc>
          <w:tcPr>
            <w:tcW w:type="dxa" w:w="2491"/>
            <w:vAlign w:val="center"/>
            <w:shd w:fill="EAF3FA"/>
            <w:tcMar>
              <w:top w:w="65" w:type="dxa"/>
              <w:bottom w:w="65" w:type="dxa"/>
            </w:tcMar>
          </w:tcPr>
          <w:p>
            <w:pPr>
              <w:spacing w:after="20"/>
            </w:pPr>
            <w:r>
              <w:rPr>
                <w:sz w:val="15"/>
              </w:rPr>
              <w:t>Scriptable</w:t>
            </w:r>
          </w:p>
        </w:tc>
        <w:tc>
          <w:tcPr>
            <w:tcW w:type="dxa" w:w="2491"/>
            <w:vAlign w:val="center"/>
            <w:shd w:fill="EAF3FA"/>
            <w:tcMar>
              <w:top w:w="65" w:type="dxa"/>
              <w:bottom w:w="65" w:type="dxa"/>
            </w:tcMar>
          </w:tcPr>
          <w:p>
            <w:pPr>
              <w:spacing w:after="20"/>
            </w:pPr>
            <w:r>
              <w:rPr>
                <w:sz w:val="15"/>
              </w:rPr>
              <w:t>Scriptable ingestion</w:t>
            </w:r>
          </w:p>
        </w:tc>
      </w:tr>
      <w:tr>
        <w:tc>
          <w:tcPr>
            <w:tcW w:type="dxa" w:w="2491"/>
            <w:vAlign w:val="center"/>
            <w:tcMar>
              <w:top w:w="65" w:type="dxa"/>
              <w:bottom w:w="65" w:type="dxa"/>
            </w:tcMar>
          </w:tcPr>
          <w:p>
            <w:pPr>
              <w:spacing w:after="20"/>
            </w:pPr>
            <w:r>
              <w:rPr>
                <w:sz w:val="15"/>
              </w:rPr>
              <w:t>Run nightly refresh</w:t>
            </w:r>
          </w:p>
        </w:tc>
        <w:tc>
          <w:tcPr>
            <w:tcW w:type="dxa" w:w="2491"/>
            <w:vAlign w:val="center"/>
            <w:tcMar>
              <w:top w:w="65" w:type="dxa"/>
              <w:bottom w:w="65" w:type="dxa"/>
            </w:tcMar>
          </w:tcPr>
          <w:p>
            <w:pPr>
              <w:spacing w:after="20"/>
            </w:pPr>
            <w:r>
              <w:rPr>
                <w:sz w:val="15"/>
              </w:rPr>
              <w:t>External automation required</w:t>
            </w:r>
          </w:p>
        </w:tc>
        <w:tc>
          <w:tcPr>
            <w:tcW w:type="dxa" w:w="2491"/>
            <w:vAlign w:val="center"/>
            <w:tcMar>
              <w:top w:w="65" w:type="dxa"/>
              <w:bottom w:w="65" w:type="dxa"/>
            </w:tcMar>
          </w:tcPr>
          <w:p>
            <w:pPr>
              <w:spacing w:after="20"/>
            </w:pPr>
            <w:r>
              <w:rPr>
                <w:sz w:val="15"/>
              </w:rPr>
              <w:t>Suitable for Task Scheduler</w:t>
            </w:r>
          </w:p>
        </w:tc>
        <w:tc>
          <w:tcPr>
            <w:tcW w:type="dxa" w:w="2491"/>
            <w:vAlign w:val="center"/>
            <w:tcMar>
              <w:top w:w="65" w:type="dxa"/>
              <w:bottom w:w="65" w:type="dxa"/>
            </w:tcMar>
          </w:tcPr>
          <w:p>
            <w:pPr>
              <w:spacing w:after="20"/>
            </w:pPr>
            <w:r>
              <w:rPr>
                <w:sz w:val="15"/>
              </w:rPr>
              <w:t>Pipeline + database schedule</w:t>
            </w:r>
          </w:p>
        </w:tc>
      </w:tr>
      <w:tr>
        <w:tc>
          <w:tcPr>
            <w:tcW w:type="dxa" w:w="2491"/>
            <w:vAlign w:val="center"/>
            <w:shd w:fill="EAF3FA"/>
            <w:tcMar>
              <w:top w:w="65" w:type="dxa"/>
              <w:bottom w:w="65" w:type="dxa"/>
            </w:tcMar>
          </w:tcPr>
          <w:p>
            <w:pPr>
              <w:spacing w:after="20"/>
            </w:pPr>
            <w:r>
              <w:rPr>
                <w:sz w:val="15"/>
              </w:rPr>
              <w:t>Millions of rows</w:t>
            </w:r>
          </w:p>
        </w:tc>
        <w:tc>
          <w:tcPr>
            <w:tcW w:type="dxa" w:w="2491"/>
            <w:vAlign w:val="center"/>
            <w:shd w:fill="EAF3FA"/>
            <w:tcMar>
              <w:top w:w="65" w:type="dxa"/>
              <w:bottom w:w="65" w:type="dxa"/>
            </w:tcMar>
          </w:tcPr>
          <w:p>
            <w:pPr>
              <w:spacing w:after="20"/>
            </w:pPr>
            <w:r>
              <w:rPr>
                <w:sz w:val="15"/>
              </w:rPr>
              <w:t>Optimized extracts may help</w:t>
            </w:r>
          </w:p>
        </w:tc>
        <w:tc>
          <w:tcPr>
            <w:tcW w:type="dxa" w:w="2491"/>
            <w:vAlign w:val="center"/>
            <w:shd w:fill="EAF3FA"/>
            <w:tcMar>
              <w:top w:w="65" w:type="dxa"/>
              <w:bottom w:w="65" w:type="dxa"/>
            </w:tcMar>
          </w:tcPr>
          <w:p>
            <w:pPr>
              <w:spacing w:after="20"/>
            </w:pPr>
            <w:r>
              <w:rPr>
                <w:sz w:val="15"/>
              </w:rPr>
              <w:t>Chunking/DB optimizations necessary</w:t>
            </w:r>
          </w:p>
        </w:tc>
        <w:tc>
          <w:tcPr>
            <w:tcW w:type="dxa" w:w="2491"/>
            <w:vAlign w:val="center"/>
            <w:shd w:fill="EAF3FA"/>
            <w:tcMar>
              <w:top w:w="65" w:type="dxa"/>
              <w:bottom w:w="65" w:type="dxa"/>
            </w:tcMar>
          </w:tcPr>
          <w:p>
            <w:pPr>
              <w:spacing w:after="20"/>
            </w:pPr>
            <w:r>
              <w:rPr>
                <w:sz w:val="15"/>
              </w:rPr>
              <w:t>Database/index optimization necessary</w:t>
            </w:r>
          </w:p>
        </w:tc>
      </w:tr>
      <w:tr>
        <w:tc>
          <w:tcPr>
            <w:tcW w:type="dxa" w:w="2491"/>
            <w:vAlign w:val="center"/>
            <w:tcMar>
              <w:top w:w="65" w:type="dxa"/>
              <w:bottom w:w="65" w:type="dxa"/>
            </w:tcMar>
          </w:tcPr>
          <w:p>
            <w:pPr>
              <w:spacing w:after="20"/>
            </w:pPr>
            <w:r>
              <w:rPr>
                <w:sz w:val="15"/>
              </w:rPr>
              <w:t>Multiple viewers</w:t>
            </w:r>
          </w:p>
        </w:tc>
        <w:tc>
          <w:tcPr>
            <w:tcW w:type="dxa" w:w="2491"/>
            <w:vAlign w:val="center"/>
            <w:tcMar>
              <w:top w:w="65" w:type="dxa"/>
              <w:bottom w:w="65" w:type="dxa"/>
            </w:tcMar>
          </w:tcPr>
          <w:p>
            <w:pPr>
              <w:spacing w:after="20"/>
            </w:pPr>
            <w:r>
              <w:rPr>
                <w:sz w:val="15"/>
              </w:rPr>
              <w:t>Public publishing</w:t>
            </w:r>
          </w:p>
        </w:tc>
        <w:tc>
          <w:tcPr>
            <w:tcW w:type="dxa" w:w="2491"/>
            <w:vAlign w:val="center"/>
            <w:tcMar>
              <w:top w:w="65" w:type="dxa"/>
              <w:bottom w:w="65" w:type="dxa"/>
            </w:tcMar>
          </w:tcPr>
          <w:p>
            <w:pPr>
              <w:spacing w:after="20"/>
            </w:pPr>
            <w:r>
              <w:rPr>
                <w:sz w:val="15"/>
              </w:rPr>
              <w:t>Requires hosting/sharing HTML</w:t>
            </w:r>
          </w:p>
        </w:tc>
        <w:tc>
          <w:tcPr>
            <w:tcW w:type="dxa" w:w="2491"/>
            <w:vAlign w:val="center"/>
            <w:tcMar>
              <w:top w:w="65" w:type="dxa"/>
              <w:bottom w:w="65" w:type="dxa"/>
            </w:tcMar>
          </w:tcPr>
          <w:p>
            <w:pPr>
              <w:spacing w:after="20"/>
            </w:pPr>
            <w:r>
              <w:rPr>
                <w:sz w:val="15"/>
              </w:rPr>
              <w:t>Designed for managed shared access</w:t>
            </w:r>
          </w:p>
        </w:tc>
      </w:tr>
      <w:tr>
        <w:tc>
          <w:tcPr>
            <w:tcW w:type="dxa" w:w="2491"/>
            <w:vAlign w:val="center"/>
            <w:shd w:fill="EAF3FA"/>
            <w:tcMar>
              <w:top w:w="65" w:type="dxa"/>
              <w:bottom w:w="65" w:type="dxa"/>
            </w:tcMar>
          </w:tcPr>
          <w:p>
            <w:pPr>
              <w:spacing w:after="20"/>
            </w:pPr>
            <w:r>
              <w:rPr>
                <w:sz w:val="15"/>
              </w:rPr>
              <w:t>Local offline use</w:t>
            </w:r>
          </w:p>
        </w:tc>
        <w:tc>
          <w:tcPr>
            <w:tcW w:type="dxa" w:w="2491"/>
            <w:vAlign w:val="center"/>
            <w:shd w:fill="EAF3FA"/>
            <w:tcMar>
              <w:top w:w="65" w:type="dxa"/>
              <w:bottom w:w="65" w:type="dxa"/>
            </w:tcMar>
          </w:tcPr>
          <w:p>
            <w:pPr>
              <w:spacing w:after="20"/>
            </w:pPr>
            <w:r>
              <w:rPr>
                <w:sz w:val="15"/>
              </w:rPr>
              <w:t>Possible with prepared data; basemap varies</w:t>
            </w:r>
          </w:p>
        </w:tc>
        <w:tc>
          <w:tcPr>
            <w:tcW w:type="dxa" w:w="2491"/>
            <w:vAlign w:val="center"/>
            <w:shd w:fill="EAF3FA"/>
            <w:tcMar>
              <w:top w:w="65" w:type="dxa"/>
              <w:bottom w:w="65" w:type="dxa"/>
            </w:tcMar>
          </w:tcPr>
          <w:p>
            <w:pPr>
              <w:spacing w:after="20"/>
            </w:pPr>
            <w:r>
              <w:rPr>
                <w:sz w:val="15"/>
              </w:rPr>
              <w:t>HTML yes; map tiles may not</w:t>
            </w:r>
          </w:p>
        </w:tc>
        <w:tc>
          <w:tcPr>
            <w:tcW w:type="dxa" w:w="2491"/>
            <w:vAlign w:val="center"/>
            <w:shd w:fill="EAF3FA"/>
            <w:tcMar>
              <w:top w:w="65" w:type="dxa"/>
              <w:bottom w:w="65" w:type="dxa"/>
            </w:tcMar>
          </w:tcPr>
          <w:p>
            <w:pPr>
              <w:spacing w:after="20"/>
            </w:pPr>
            <w:r>
              <w:rPr>
                <w:sz w:val="15"/>
              </w:rPr>
              <w:t>Needs local services; map tiles may not</w:t>
            </w:r>
          </w:p>
        </w:tc>
      </w:tr>
    </w:tbl>
    <w:p>
      <w:pPr>
        <w:spacing w:after="0"/>
      </w:pPr>
    </w:p>
    <w:p>
      <w:r>
        <w:t>The supplied student scripts are educational implementations, not demonstrated million-record benchmarks. For large and recurring workloads, test indexing, memory, query plans, and data refresh behavior on the real hardware.</w:t>
      </w:r>
    </w:p>
    <w:p>
      <w:pPr>
        <w:pStyle w:val="Heading1"/>
      </w:pPr>
      <w:r>
        <w:t>6  Research reproducibility and limitations</w:t>
      </w:r>
    </w:p>
    <w:tbl>
      <w:tblPr>
        <w:tblStyle w:val="TableGrid"/>
        <w:tblW w:type="auto" w:w="0"/>
        <w:jc w:val="center"/>
        <w:tblLook w:firstColumn="1" w:firstRow="1" w:lastColumn="0" w:lastRow="0" w:noHBand="0" w:noVBand="1" w:val="04A0"/>
      </w:tblPr>
      <w:tblGrid>
        <w:gridCol w:w="3321"/>
        <w:gridCol w:w="3321"/>
        <w:gridCol w:w="3321"/>
      </w:tblGrid>
      <w:tr>
        <w:tc>
          <w:tcPr>
            <w:tcW w:type="dxa" w:w="3321"/>
            <w:shd w:fill="17365D"/>
            <w:tcMar>
              <w:top w:w="65" w:type="dxa"/>
              <w:bottom w:w="65" w:type="dxa"/>
            </w:tcMar>
          </w:tcPr>
          <w:p>
            <w:r>
              <w:rPr>
                <w:b/>
                <w:color w:val="FFFFFF"/>
                <w:sz w:val="16"/>
              </w:rPr>
              <w:t>Check</w:t>
            </w:r>
          </w:p>
        </w:tc>
        <w:tc>
          <w:tcPr>
            <w:tcW w:type="dxa" w:w="3321"/>
            <w:shd w:fill="17365D"/>
            <w:tcMar>
              <w:top w:w="65" w:type="dxa"/>
              <w:bottom w:w="65" w:type="dxa"/>
            </w:tcMar>
          </w:tcPr>
          <w:p>
            <w:r>
              <w:rPr>
                <w:b/>
                <w:color w:val="FFFFFF"/>
                <w:sz w:val="16"/>
              </w:rPr>
              <w:t>Tableau / Python</w:t>
            </w:r>
          </w:p>
        </w:tc>
        <w:tc>
          <w:tcPr>
            <w:tcW w:type="dxa" w:w="3321"/>
            <w:shd w:fill="17365D"/>
            <w:tcMar>
              <w:top w:w="65" w:type="dxa"/>
              <w:bottom w:w="65" w:type="dxa"/>
            </w:tcMar>
          </w:tcPr>
          <w:p>
            <w:r>
              <w:rPr>
                <w:b/>
                <w:color w:val="FFFFFF"/>
                <w:sz w:val="16"/>
              </w:rPr>
              <w:t>Superset prototype</w:t>
            </w:r>
          </w:p>
        </w:tc>
      </w:tr>
      <w:tr>
        <w:tc>
          <w:tcPr>
            <w:tcW w:type="dxa" w:w="3321"/>
            <w:vAlign w:val="center"/>
            <w:shd w:fill="EAF3FA"/>
            <w:tcMar>
              <w:top w:w="65" w:type="dxa"/>
              <w:bottom w:w="65" w:type="dxa"/>
            </w:tcMar>
          </w:tcPr>
          <w:p>
            <w:pPr>
              <w:spacing w:after="20"/>
            </w:pPr>
            <w:r>
              <w:rPr>
                <w:sz w:val="15"/>
              </w:rPr>
              <w:t>Campus reference points</w:t>
            </w:r>
          </w:p>
        </w:tc>
        <w:tc>
          <w:tcPr>
            <w:tcW w:type="dxa" w:w="3321"/>
            <w:vAlign w:val="center"/>
            <w:shd w:fill="EAF3FA"/>
            <w:tcMar>
              <w:top w:w="65" w:type="dxa"/>
              <w:bottom w:w="65" w:type="dxa"/>
            </w:tcMar>
          </w:tcPr>
          <w:p>
            <w:pPr>
              <w:spacing w:after="20"/>
            </w:pPr>
            <w:r>
              <w:rPr>
                <w:sz w:val="15"/>
              </w:rPr>
              <w:t>26 intended; coordinate list must be verified</w:t>
            </w:r>
          </w:p>
        </w:tc>
        <w:tc>
          <w:tcPr>
            <w:tcW w:type="dxa" w:w="3321"/>
            <w:vAlign w:val="center"/>
            <w:shd w:fill="EAF3FA"/>
            <w:tcMar>
              <w:top w:w="65" w:type="dxa"/>
              <w:bottom w:w="65" w:type="dxa"/>
            </w:tcMar>
          </w:tcPr>
          <w:p>
            <w:pPr>
              <w:spacing w:after="20"/>
            </w:pPr>
            <w:r>
              <w:rPr>
                <w:sz w:val="15"/>
              </w:rPr>
              <w:t>Three example points; must be verified</w:t>
            </w:r>
          </w:p>
        </w:tc>
      </w:tr>
      <w:tr>
        <w:tc>
          <w:tcPr>
            <w:tcW w:type="dxa" w:w="3321"/>
            <w:vAlign w:val="center"/>
            <w:tcMar>
              <w:top w:w="65" w:type="dxa"/>
              <w:bottom w:w="65" w:type="dxa"/>
            </w:tcMar>
          </w:tcPr>
          <w:p>
            <w:pPr>
              <w:spacing w:after="20"/>
            </w:pPr>
            <w:r>
              <w:rPr>
                <w:sz w:val="15"/>
              </w:rPr>
              <w:t>Distance rule</w:t>
            </w:r>
          </w:p>
        </w:tc>
        <w:tc>
          <w:tcPr>
            <w:tcW w:type="dxa" w:w="3321"/>
            <w:vAlign w:val="center"/>
            <w:tcMar>
              <w:top w:w="65" w:type="dxa"/>
              <w:bottom w:w="65" w:type="dxa"/>
            </w:tcMar>
          </w:tcPr>
          <w:p>
            <w:pPr>
              <w:spacing w:after="20"/>
            </w:pPr>
            <w:r>
              <w:rPr>
                <w:sz w:val="15"/>
              </w:rPr>
              <w:t>500 meters</w:t>
            </w:r>
          </w:p>
        </w:tc>
        <w:tc>
          <w:tcPr>
            <w:tcW w:type="dxa" w:w="3321"/>
            <w:vAlign w:val="center"/>
            <w:tcMar>
              <w:top w:w="65" w:type="dxa"/>
              <w:bottom w:w="65" w:type="dxa"/>
            </w:tcMar>
          </w:tcPr>
          <w:p>
            <w:pPr>
              <w:spacing w:after="20"/>
            </w:pPr>
            <w:r>
              <w:rPr>
                <w:sz w:val="15"/>
              </w:rPr>
              <w:t>1,000 meters</w:t>
            </w:r>
          </w:p>
        </w:tc>
      </w:tr>
      <w:tr>
        <w:tc>
          <w:tcPr>
            <w:tcW w:type="dxa" w:w="3321"/>
            <w:vAlign w:val="center"/>
            <w:shd w:fill="EAF3FA"/>
            <w:tcMar>
              <w:top w:w="65" w:type="dxa"/>
              <w:bottom w:w="65" w:type="dxa"/>
            </w:tcMar>
          </w:tcPr>
          <w:p>
            <w:pPr>
              <w:spacing w:after="20"/>
            </w:pPr>
            <w:r>
              <w:rPr>
                <w:sz w:val="15"/>
              </w:rPr>
              <w:t>NYC-wide trend</w:t>
            </w:r>
          </w:p>
        </w:tc>
        <w:tc>
          <w:tcPr>
            <w:tcW w:type="dxa" w:w="3321"/>
            <w:vAlign w:val="center"/>
            <w:shd w:fill="EAF3FA"/>
            <w:tcMar>
              <w:top w:w="65" w:type="dxa"/>
              <w:bottom w:w="65" w:type="dxa"/>
            </w:tcMar>
          </w:tcPr>
          <w:p>
            <w:pPr>
              <w:spacing w:after="20"/>
            </w:pPr>
            <w:r>
              <w:rPr>
                <w:sz w:val="15"/>
              </w:rPr>
              <w:t>Separate from nearby campus reports</w:t>
            </w:r>
          </w:p>
        </w:tc>
        <w:tc>
          <w:tcPr>
            <w:tcW w:type="dxa" w:w="3321"/>
            <w:vAlign w:val="center"/>
            <w:shd w:fill="EAF3FA"/>
            <w:tcMar>
              <w:top w:w="65" w:type="dxa"/>
              <w:bottom w:w="65" w:type="dxa"/>
            </w:tcMar>
          </w:tcPr>
          <w:p>
            <w:pPr>
              <w:spacing w:after="20"/>
            </w:pPr>
            <w:r>
              <w:rPr>
                <w:sz w:val="15"/>
              </w:rPr>
              <w:t>Separate geographic population from local membership counts</w:t>
            </w:r>
          </w:p>
        </w:tc>
      </w:tr>
      <w:tr>
        <w:tc>
          <w:tcPr>
            <w:tcW w:type="dxa" w:w="3321"/>
            <w:vAlign w:val="center"/>
            <w:tcMar>
              <w:top w:w="65" w:type="dxa"/>
              <w:bottom w:w="65" w:type="dxa"/>
            </w:tcMar>
          </w:tcPr>
          <w:p>
            <w:pPr>
              <w:spacing w:after="20"/>
            </w:pPr>
            <w:r>
              <w:rPr>
                <w:sz w:val="15"/>
              </w:rPr>
              <w:t>Overlap accounting</w:t>
            </w:r>
          </w:p>
        </w:tc>
        <w:tc>
          <w:tcPr>
            <w:tcW w:type="dxa" w:w="3321"/>
            <w:vAlign w:val="center"/>
            <w:tcMar>
              <w:top w:w="65" w:type="dxa"/>
              <w:bottom w:w="65" w:type="dxa"/>
            </w:tcMar>
          </w:tcPr>
          <w:p>
            <w:pPr>
              <w:spacing w:after="20"/>
            </w:pPr>
            <w:r>
              <w:rPr>
                <w:sz w:val="15"/>
              </w:rPr>
              <w:t>One request may match multiple campuses</w:t>
            </w:r>
          </w:p>
        </w:tc>
        <w:tc>
          <w:tcPr>
            <w:tcW w:type="dxa" w:w="3321"/>
            <w:vAlign w:val="center"/>
            <w:tcMar>
              <w:top w:w="65" w:type="dxa"/>
              <w:bottom w:w="65" w:type="dxa"/>
            </w:tcMar>
          </w:tcPr>
          <w:p>
            <w:pPr>
              <w:spacing w:after="20"/>
            </w:pPr>
            <w:r>
              <w:rPr>
                <w:sz w:val="15"/>
              </w:rPr>
              <w:t>Same issue; do not sum memberships as unique citywide IDs</w:t>
            </w:r>
          </w:p>
        </w:tc>
      </w:tr>
      <w:tr>
        <w:tc>
          <w:tcPr>
            <w:tcW w:type="dxa" w:w="3321"/>
            <w:vAlign w:val="center"/>
            <w:shd w:fill="EAF3FA"/>
            <w:tcMar>
              <w:top w:w="65" w:type="dxa"/>
              <w:bottom w:w="65" w:type="dxa"/>
            </w:tcMar>
          </w:tcPr>
          <w:p>
            <w:pPr>
              <w:spacing w:after="20"/>
            </w:pPr>
            <w:r>
              <w:rPr>
                <w:sz w:val="15"/>
              </w:rPr>
              <w:t>Current validation</w:t>
            </w:r>
          </w:p>
        </w:tc>
        <w:tc>
          <w:tcPr>
            <w:tcW w:type="dxa" w:w="3321"/>
            <w:vAlign w:val="center"/>
            <w:shd w:fill="EAF3FA"/>
            <w:tcMar>
              <w:top w:w="65" w:type="dxa"/>
              <w:bottom w:w="65" w:type="dxa"/>
            </w:tcMar>
          </w:tcPr>
          <w:p>
            <w:pPr>
              <w:spacing w:after="20"/>
            </w:pPr>
            <w:r>
              <w:rPr>
                <w:sz w:val="15"/>
              </w:rPr>
              <w:t>Full public-data workflow not fully verified</w:t>
            </w:r>
          </w:p>
        </w:tc>
        <w:tc>
          <w:tcPr>
            <w:tcW w:type="dxa" w:w="3321"/>
            <w:vAlign w:val="center"/>
            <w:shd w:fill="EAF3FA"/>
            <w:tcMar>
              <w:top w:w="65" w:type="dxa"/>
              <w:bottom w:w="65" w:type="dxa"/>
            </w:tcMar>
          </w:tcPr>
          <w:p>
            <w:pPr>
              <w:spacing w:after="20"/>
            </w:pPr>
            <w:r>
              <w:rPr>
                <w:sz w:val="15"/>
              </w:rPr>
              <w:t>Full Docker integration and exact map parity unverified</w:t>
            </w:r>
          </w:p>
        </w:tc>
      </w:tr>
    </w:tbl>
    <w:p>
      <w:pPr>
        <w:spacing w:after="0"/>
      </w:pPr>
    </w:p>
    <w:p>
      <w:r>
        <w:t>The three dashboards are not directly comparable in their counts until they use the same campuses, reference coordinates, radius, complaint definitions, and extraction date. NYC 311 entries reflect public reporting behavior, not independently verified street danger.</w:t>
      </w:r>
    </w:p>
    <w:p>
      <w:pPr>
        <w:pStyle w:val="Heading1"/>
      </w:pPr>
      <w:r>
        <w:t>7  Which should you choose?</w:t>
      </w:r>
    </w:p>
    <w:tbl>
      <w:tblPr>
        <w:tblStyle w:val="TableGrid"/>
        <w:tblW w:type="auto" w:w="0"/>
        <w:jc w:val="center"/>
        <w:tblLook w:firstColumn="1" w:firstRow="1" w:lastColumn="0" w:lastRow="0" w:noHBand="0" w:noVBand="1" w:val="04A0"/>
      </w:tblPr>
      <w:tblGrid>
        <w:gridCol w:w="3321"/>
        <w:gridCol w:w="3321"/>
        <w:gridCol w:w="3321"/>
      </w:tblGrid>
      <w:tr>
        <w:tc>
          <w:tcPr>
            <w:tcW w:type="dxa" w:w="3321"/>
            <w:shd w:fill="17365D"/>
            <w:tcMar>
              <w:top w:w="65" w:type="dxa"/>
              <w:bottom w:w="65" w:type="dxa"/>
            </w:tcMar>
          </w:tcPr>
          <w:p>
            <w:r>
              <w:rPr>
                <w:b/>
                <w:color w:val="FFFFFF"/>
                <w:sz w:val="16"/>
              </w:rPr>
              <w:t>Your primary goal</w:t>
            </w:r>
          </w:p>
        </w:tc>
        <w:tc>
          <w:tcPr>
            <w:tcW w:type="dxa" w:w="3321"/>
            <w:shd w:fill="17365D"/>
            <w:tcMar>
              <w:top w:w="65" w:type="dxa"/>
              <w:bottom w:w="65" w:type="dxa"/>
            </w:tcMar>
          </w:tcPr>
          <w:p>
            <w:r>
              <w:rPr>
                <w:b/>
                <w:color w:val="FFFFFF"/>
                <w:sz w:val="16"/>
              </w:rPr>
              <w:t>Recommended system</w:t>
            </w:r>
          </w:p>
        </w:tc>
        <w:tc>
          <w:tcPr>
            <w:tcW w:type="dxa" w:w="3321"/>
            <w:shd w:fill="17365D"/>
            <w:tcMar>
              <w:top w:w="65" w:type="dxa"/>
              <w:bottom w:w="65" w:type="dxa"/>
            </w:tcMar>
          </w:tcPr>
          <w:p>
            <w:r>
              <w:rPr>
                <w:b/>
                <w:color w:val="FFFFFF"/>
                <w:sz w:val="16"/>
              </w:rPr>
              <w:t>Reason</w:t>
            </w:r>
          </w:p>
        </w:tc>
      </w:tr>
      <w:tr>
        <w:tc>
          <w:tcPr>
            <w:tcW w:type="dxa" w:w="3321"/>
            <w:vAlign w:val="center"/>
            <w:shd w:fill="EAF3FA"/>
            <w:tcMar>
              <w:top w:w="65" w:type="dxa"/>
              <w:bottom w:w="65" w:type="dxa"/>
            </w:tcMar>
          </w:tcPr>
          <w:p>
            <w:pPr>
              <w:spacing w:after="20"/>
            </w:pPr>
            <w:r>
              <w:rPr>
                <w:sz w:val="15"/>
              </w:rPr>
              <w:t>Learn visualization from zero</w:t>
            </w:r>
          </w:p>
        </w:tc>
        <w:tc>
          <w:tcPr>
            <w:tcW w:type="dxa" w:w="3321"/>
            <w:vAlign w:val="center"/>
            <w:shd w:fill="EAF3FA"/>
            <w:tcMar>
              <w:top w:w="65" w:type="dxa"/>
              <w:bottom w:w="65" w:type="dxa"/>
            </w:tcMar>
          </w:tcPr>
          <w:p>
            <w:pPr>
              <w:spacing w:after="20"/>
            </w:pPr>
            <w:r>
              <w:rPr>
                <w:sz w:val="15"/>
              </w:rPr>
              <w:t>Tableau</w:t>
            </w:r>
          </w:p>
        </w:tc>
        <w:tc>
          <w:tcPr>
            <w:tcW w:type="dxa" w:w="3321"/>
            <w:vAlign w:val="center"/>
            <w:shd w:fill="EAF3FA"/>
            <w:tcMar>
              <w:top w:w="65" w:type="dxa"/>
              <w:bottom w:w="65" w:type="dxa"/>
            </w:tcMar>
          </w:tcPr>
          <w:p>
            <w:pPr>
              <w:spacing w:after="20"/>
            </w:pPr>
            <w:r>
              <w:rPr>
                <w:sz w:val="15"/>
              </w:rPr>
              <w:t>Minimal code; transparent chart assembly</w:t>
            </w:r>
          </w:p>
        </w:tc>
      </w:tr>
      <w:tr>
        <w:tc>
          <w:tcPr>
            <w:tcW w:type="dxa" w:w="3321"/>
            <w:vAlign w:val="center"/>
            <w:tcMar>
              <w:top w:w="65" w:type="dxa"/>
              <w:bottom w:w="65" w:type="dxa"/>
            </w:tcMar>
          </w:tcPr>
          <w:p>
            <w:pPr>
              <w:spacing w:after="20"/>
            </w:pPr>
            <w:r>
              <w:rPr>
                <w:sz w:val="15"/>
              </w:rPr>
              <w:t>Repeatable research and statistical testing</w:t>
            </w:r>
          </w:p>
        </w:tc>
        <w:tc>
          <w:tcPr>
            <w:tcW w:type="dxa" w:w="3321"/>
            <w:vAlign w:val="center"/>
            <w:tcMar>
              <w:top w:w="65" w:type="dxa"/>
              <w:bottom w:w="65" w:type="dxa"/>
            </w:tcMar>
          </w:tcPr>
          <w:p>
            <w:pPr>
              <w:spacing w:after="20"/>
            </w:pPr>
            <w:r>
              <w:rPr>
                <w:sz w:val="15"/>
              </w:rPr>
              <w:t>Python</w:t>
            </w:r>
          </w:p>
        </w:tc>
        <w:tc>
          <w:tcPr>
            <w:tcW w:type="dxa" w:w="3321"/>
            <w:vAlign w:val="center"/>
            <w:tcMar>
              <w:top w:w="65" w:type="dxa"/>
              <w:bottom w:w="65" w:type="dxa"/>
            </w:tcMar>
          </w:tcPr>
          <w:p>
            <w:pPr>
              <w:spacing w:after="20"/>
            </w:pPr>
            <w:r>
              <w:rPr>
                <w:sz w:val="15"/>
              </w:rPr>
              <w:t>Auditable data preparation and automation</w:t>
            </w:r>
          </w:p>
        </w:tc>
      </w:tr>
      <w:tr>
        <w:tc>
          <w:tcPr>
            <w:tcW w:type="dxa" w:w="3321"/>
            <w:vAlign w:val="center"/>
            <w:shd w:fill="EAF3FA"/>
            <w:tcMar>
              <w:top w:w="65" w:type="dxa"/>
              <w:bottom w:w="65" w:type="dxa"/>
            </w:tcMar>
          </w:tcPr>
          <w:p>
            <w:pPr>
              <w:spacing w:after="20"/>
            </w:pPr>
            <w:r>
              <w:rPr>
                <w:sz w:val="15"/>
              </w:rPr>
              <w:t>Share standardized dashboards with a group</w:t>
            </w:r>
          </w:p>
        </w:tc>
        <w:tc>
          <w:tcPr>
            <w:tcW w:type="dxa" w:w="3321"/>
            <w:vAlign w:val="center"/>
            <w:shd w:fill="EAF3FA"/>
            <w:tcMar>
              <w:top w:w="65" w:type="dxa"/>
              <w:bottom w:w="65" w:type="dxa"/>
            </w:tcMar>
          </w:tcPr>
          <w:p>
            <w:pPr>
              <w:spacing w:after="20"/>
            </w:pPr>
            <w:r>
              <w:rPr>
                <w:sz w:val="15"/>
              </w:rPr>
              <w:t>Superset</w:t>
            </w:r>
          </w:p>
        </w:tc>
        <w:tc>
          <w:tcPr>
            <w:tcW w:type="dxa" w:w="3321"/>
            <w:vAlign w:val="center"/>
            <w:shd w:fill="EAF3FA"/>
            <w:tcMar>
              <w:top w:w="65" w:type="dxa"/>
              <w:bottom w:w="65" w:type="dxa"/>
            </w:tcMar>
          </w:tcPr>
          <w:p>
            <w:pPr>
              <w:spacing w:after="20"/>
            </w:pPr>
            <w:r>
              <w:rPr>
                <w:sz w:val="15"/>
              </w:rPr>
              <w:t>One database serving many charts and users</w:t>
            </w:r>
          </w:p>
        </w:tc>
      </w:tr>
      <w:tr>
        <w:tc>
          <w:tcPr>
            <w:tcW w:type="dxa" w:w="3321"/>
            <w:vAlign w:val="center"/>
            <w:tcMar>
              <w:top w:w="65" w:type="dxa"/>
              <w:bottom w:w="65" w:type="dxa"/>
            </w:tcMar>
          </w:tcPr>
          <w:p>
            <w:pPr>
              <w:spacing w:after="20"/>
            </w:pPr>
            <w:r>
              <w:rPr>
                <w:sz w:val="15"/>
              </w:rPr>
              <w:t>Publish a presentation quickly</w:t>
            </w:r>
          </w:p>
        </w:tc>
        <w:tc>
          <w:tcPr>
            <w:tcW w:type="dxa" w:w="3321"/>
            <w:vAlign w:val="center"/>
            <w:tcMar>
              <w:top w:w="65" w:type="dxa"/>
              <w:bottom w:w="65" w:type="dxa"/>
            </w:tcMar>
          </w:tcPr>
          <w:p>
            <w:pPr>
              <w:spacing w:after="20"/>
            </w:pPr>
            <w:r>
              <w:rPr>
                <w:sz w:val="15"/>
              </w:rPr>
              <w:t>Tableau</w:t>
            </w:r>
          </w:p>
        </w:tc>
        <w:tc>
          <w:tcPr>
            <w:tcW w:type="dxa" w:w="3321"/>
            <w:vAlign w:val="center"/>
            <w:tcMar>
              <w:top w:w="65" w:type="dxa"/>
              <w:bottom w:w="65" w:type="dxa"/>
            </w:tcMar>
          </w:tcPr>
          <w:p>
            <w:pPr>
              <w:spacing w:after="20"/>
            </w:pPr>
            <w:r>
              <w:rPr>
                <w:sz w:val="15"/>
              </w:rPr>
              <w:t>Convenient visual editing and Tableau Public</w:t>
            </w:r>
          </w:p>
        </w:tc>
      </w:tr>
      <w:tr>
        <w:tc>
          <w:tcPr>
            <w:tcW w:type="dxa" w:w="3321"/>
            <w:vAlign w:val="center"/>
            <w:shd w:fill="EAF3FA"/>
            <w:tcMar>
              <w:top w:w="65" w:type="dxa"/>
              <w:bottom w:w="65" w:type="dxa"/>
            </w:tcMar>
          </w:tcPr>
          <w:p>
            <w:pPr>
              <w:spacing w:after="20"/>
            </w:pPr>
            <w:r>
              <w:rPr>
                <w:sz w:val="15"/>
              </w:rPr>
              <w:t>Create an independently hosted interactive HTML</w:t>
            </w:r>
          </w:p>
        </w:tc>
        <w:tc>
          <w:tcPr>
            <w:tcW w:type="dxa" w:w="3321"/>
            <w:vAlign w:val="center"/>
            <w:shd w:fill="EAF3FA"/>
            <w:tcMar>
              <w:top w:w="65" w:type="dxa"/>
              <w:bottom w:w="65" w:type="dxa"/>
            </w:tcMar>
          </w:tcPr>
          <w:p>
            <w:pPr>
              <w:spacing w:after="20"/>
            </w:pPr>
            <w:r>
              <w:rPr>
                <w:sz w:val="15"/>
              </w:rPr>
              <w:t>Python + Plotly</w:t>
            </w:r>
          </w:p>
        </w:tc>
        <w:tc>
          <w:tcPr>
            <w:tcW w:type="dxa" w:w="3321"/>
            <w:vAlign w:val="center"/>
            <w:shd w:fill="EAF3FA"/>
            <w:tcMar>
              <w:top w:w="65" w:type="dxa"/>
              <w:bottom w:w="65" w:type="dxa"/>
            </w:tcMar>
          </w:tcPr>
          <w:p>
            <w:pPr>
              <w:spacing w:after="20"/>
            </w:pPr>
            <w:r>
              <w:rPr>
                <w:sz w:val="15"/>
              </w:rPr>
              <w:t>Portable single-file result for small to moderate studies</w:t>
            </w:r>
          </w:p>
        </w:tc>
      </w:tr>
      <w:tr>
        <w:tc>
          <w:tcPr>
            <w:tcW w:type="dxa" w:w="3321"/>
            <w:vAlign w:val="center"/>
            <w:tcMar>
              <w:top w:w="65" w:type="dxa"/>
              <w:bottom w:w="65" w:type="dxa"/>
            </w:tcMar>
          </w:tcPr>
          <w:p>
            <w:pPr>
              <w:spacing w:after="20"/>
            </w:pPr>
            <w:r>
              <w:rPr>
                <w:sz w:val="15"/>
              </w:rPr>
              <w:t>Build a managed long-term campus analytics service</w:t>
            </w:r>
          </w:p>
        </w:tc>
        <w:tc>
          <w:tcPr>
            <w:tcW w:type="dxa" w:w="3321"/>
            <w:vAlign w:val="center"/>
            <w:tcMar>
              <w:top w:w="65" w:type="dxa"/>
              <w:bottom w:w="65" w:type="dxa"/>
            </w:tcMar>
          </w:tcPr>
          <w:p>
            <w:pPr>
              <w:spacing w:after="20"/>
            </w:pPr>
            <w:r>
              <w:rPr>
                <w:sz w:val="15"/>
              </w:rPr>
              <w:t>Superset + Python ingestion</w:t>
            </w:r>
          </w:p>
        </w:tc>
        <w:tc>
          <w:tcPr>
            <w:tcW w:type="dxa" w:w="3321"/>
            <w:vAlign w:val="center"/>
            <w:tcMar>
              <w:top w:w="65" w:type="dxa"/>
              <w:bottom w:w="65" w:type="dxa"/>
            </w:tcMar>
          </w:tcPr>
          <w:p>
            <w:pPr>
              <w:spacing w:after="20"/>
            </w:pPr>
            <w:r>
              <w:rPr>
                <w:sz w:val="15"/>
              </w:rPr>
              <w:t>Database-backed access, governance and recurring updates</w:t>
            </w:r>
          </w:p>
        </w:tc>
      </w:tr>
    </w:tbl>
    <w:p>
      <w:pPr>
        <w:spacing w:after="0"/>
      </w:pPr>
    </w:p>
    <w:p>
      <w:pPr>
        <w:pStyle w:val="Heading2"/>
      </w:pPr>
      <w:r>
        <w:t>Recommended long-term arrangement</w:t>
      </w:r>
    </w:p>
    <w:p>
      <w:r>
        <w:t>NYC Open Data + verified CUNY coordinates → one Python collection/validation pipeline → SQLite or PostgreSQL → Tableau for teaching and presentation, Superset for a shared research service. This avoids keeping three incompatible definitions of the same underlying data.</w:t>
      </w:r>
    </w:p>
    <w:p>
      <w:pPr>
        <w:pStyle w:val="Heading1"/>
      </w:pPr>
      <w:r>
        <w:t>8  What to budget for a classroom exercise</w:t>
      </w:r>
    </w:p>
    <w:p>
      <w:r>
        <w:t>For a short undergraduate class, supply verified CSVs and use Tableau so class time is spent interpreting visualizations. For an introductory programming course, supply the complete Python kit and run a demo before the live data fetch. For a database/analytics course, Superset is appropriate, but the instructor should pre-test Docker, PostgreSQL drivers, authentication, and host networking.</w:t>
      </w:r>
    </w:p>
    <w:p>
      <w:r>
        <w:t>If exact replication is the grading standard, freeze the dataset, campus list, date window, issue mapping and software versions. Preserve an audit file containing download date, total records, dropped missing coordinates, campus memberships and distinct IDs.</w:t>
      </w:r>
    </w:p>
    <w:p>
      <w:pPr>
        <w:pStyle w:val="Heading2"/>
      </w:pPr>
      <w:r>
        <w:t>Verification and sources</w:t>
      </w:r>
    </w:p>
    <w:p>
      <w:r>
        <w:t>Official reference sites: Tableau Public https://public.tableau.com/ ; Apache Superset quickstart https://superset.apache.org/user-docs/quickstart/ ; NYC 311 dataset https://data.cityofnewyork.us/d/erm2-nwe9 ; Socrata API documentation https://dev.socrata.com/ ; Docker Desktop https://www.docker.com/products/docker-desktop/ .</w:t>
      </w:r>
    </w:p>
    <w:p>
      <w:r>
        <w:t>Timing and hardware ranges are decision-planning estimates. Package sizes were reported from the project ZIP review. No identical-machine benchmark or completed live integration test is claimed.</w:t>
      </w:r>
    </w:p>
    <w:sectPr w:rsidR="00FC693F" w:rsidRPr="0006063C" w:rsidSect="00034616">
      <w:footerReference w:type="default" r:id="rId10"/>
      <w:pgSz w:w="12240" w:h="15840"/>
      <w:pgMar w:top="1037" w:right="1138" w:bottom="100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CUNY and the City  |  Project 1  |  Technical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5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