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
      </w:pPr>
      <w:r>
        <w:rPr>
          <w:rFonts w:ascii="Calibri" w:cs="Calibri" w:eastAsia="Calibri" w:hAnsi="Calibri"/>
          <w:b/>
          <w:bCs/>
          <w:color w:val="A87B00"/>
          <w:spacing w:val="20"/>
          <w:sz w:val="18"/>
          <w:szCs w:val="18"/>
        </w:rPr>
        <w:t xml:space="preserve">PLANTILLA PARA DILIGENCIAR · UNIDAD 3 · SESIÓN 3</w:t>
      </w:r>
    </w:p>
    <w:p>
      <w:pPr>
        <w:spacing w:after="20"/>
      </w:pPr>
      <w:r>
        <w:rPr>
          <w:rFonts w:ascii="Cambria" w:cs="Cambria" w:eastAsia="Cambria" w:hAnsi="Cambria"/>
          <w:b/>
          <w:bCs/>
          <w:color w:val="1A1A1A"/>
          <w:sz w:val="44"/>
          <w:szCs w:val="44"/>
        </w:rPr>
        <w:t xml:space="preserve">Ingeniería de Requisitos</w:t>
      </w:r>
    </w:p>
    <w:p>
      <w:pPr>
        <w:pBdr>
          <w:bottom w:val="single" w:color="FFCC29" w:sz="18" w:space="10"/>
        </w:pBdr>
        <w:spacing w:after="260"/>
      </w:pPr>
      <w:r>
        <w:rPr>
          <w:rFonts w:ascii="Cambria" w:cs="Cambria" w:eastAsia="Cambria" w:hAnsi="Cambria"/>
          <w:b/>
          <w:bCs/>
          <w:color w:val="1A1A1A"/>
          <w:sz w:val="30"/>
          <w:szCs w:val="30"/>
        </w:rPr>
        <w:t xml:space="preserve">Caso de uso "fully dressed" (Cockburn)</w:t>
      </w:r>
    </w:p>
    <w:p>
      <w:pPr>
        <w:spacing w:after="200"/>
        <w:jc w:val="both"/>
      </w:pPr>
      <w:r>
        <w:rPr>
          <w:rFonts w:ascii="Calibri" w:cs="Calibri" w:eastAsia="Calibri" w:hAnsi="Calibri"/>
          <w:sz w:val="21"/>
          <w:szCs w:val="21"/>
        </w:rPr>
        <w:t xml:space="preserve">Diligencien esta plantilla para el flujo más crítico de su propio proyecto real, siguiendo la guía de redacción campo por campo (guía teórica, sección 3) y el mismo nivel de detalle del caso "Radicar una PQRS" del Ejemplo resuelto.</w:t>
      </w:r>
    </w:p>
    <w:tbl>
      <w:tblPr>
        <w:tblW w:type="dxa" w:w="9360"/>
        <w:tblBorders>
          <w:top w:val="single" w:color="FFCC29" w:sz="6"/>
          <w:left w:val="single" w:color="E0AC0E" w:sz="24"/>
          <w:bottom w:val="single" w:color="FFCC29" w:sz="6"/>
          <w:right w:val="single" w:color="FFCC29" w:sz="6"/>
          <w:insideH w:val="single" w:color="auto" w:sz="4"/>
          <w:insideV w:val="single" w:color="auto" w:sz="4"/>
        </w:tblBorders>
      </w:tblPr>
      <w:tblGrid>
        <w:gridCol w:w="9360"/>
      </w:tblGrid>
      <w:tr>
        <w:tc>
          <w:tcPr>
            <w:tcW w:type="dxa" w:w="9360"/>
            <w:shd w:fill="FFF6DC" w:color="auto"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Cómo diligenciar esta plantilla</w:t>
            </w:r>
          </w:p>
          <w:p>
            <w:r>
              <w:rPr>
                <w:rFonts w:ascii="Calibri" w:cs="Calibri" w:eastAsia="Calibri" w:hAnsi="Calibri"/>
                <w:sz w:val="21"/>
                <w:szCs w:val="21"/>
              </w:rPr>
              <w:t xml:space="preserve">El nombre es un verbo en infinitivo más un objeto, desde el objetivo del actor. La precondición es lo que se da por cierto sin volver a comprobarlo (si un paso la verifica, no era precondición). La garantía de éxito describe el estado del mundo al terminar, no lo que se vio en pantalla. Cada interés declarado debe aterrizar en un paso, una extensión o una condición de la garantía. En el escenario principal, cada paso lleva sujeto explícito, sin condicionales y sin interfaz: los condicionales van a la tabla de extensiones, anclados al número del paso.</w:t>
            </w:r>
          </w:p>
        </w:tc>
      </w:tr>
    </w:tbl>
    <w:p>
      <w:pPr>
        <w:spacing w:after="160"/>
      </w:pPr>
    </w:p>
    <w:tbl>
      <w:tblPr>
        <w:tblW w:type="dxa" w:w="9360"/>
        <w:tblBorders>
          <w:top w:val="single" w:color="E2E2E2" w:sz="4"/>
          <w:left w:val="single" w:color="E2E2E2" w:sz="4"/>
          <w:bottom w:val="single" w:color="E2E2E2" w:sz="4"/>
          <w:right w:val="single" w:color="E2E2E2" w:sz="4"/>
          <w:insideH w:val="single" w:color="auto" w:sz="4"/>
          <w:insideV w:val="single" w:color="auto" w:sz="4"/>
        </w:tblBorders>
      </w:tblPr>
      <w:tblGrid>
        <w:gridCol w:w="9360"/>
      </w:tblGrid>
      <w:tr>
        <w:tc>
          <w:tcPr>
            <w:tcW w:type="dxa" w:w="9360"/>
            <w:tcMar>
              <w:top w:type="dxa" w:w="140"/>
              <w:left w:type="dxa" w:w="200"/>
              <w:bottom w:type="dxa" w:w="100"/>
              <w:right w:type="dxa" w:w="200"/>
            </w:tcMar>
          </w:tcPr>
          <w:p>
            <w:pPr>
              <w:spacing w:after="70"/>
            </w:pPr>
            <w:r>
              <w:rPr>
                <w:rFonts w:ascii="Calibri" w:cs="Calibri" w:eastAsia="Calibri" w:hAnsi="Calibri"/>
                <w:b/>
                <w:bCs/>
                <w:color w:val="A87B00"/>
                <w:sz w:val="19"/>
                <w:szCs w:val="19"/>
              </w:rPr>
              <w:t xml:space="preserve">Nombre del caso de uso (verbo en infinitivo + objeto)</w:t>
            </w:r>
          </w:p>
          <w:p>
            <w:pPr>
              <w:pBdr>
                <w:bottom w:val="single" w:color="E2E2E2" w:sz="4" w:space="4"/>
              </w:pBdr>
              <w:spacing w:after="130"/>
            </w:pPr>
            <w:r>
              <w:rPr>
                <w:rFonts w:ascii="Calibri" w:cs="Calibri" w:eastAsia="Calibri" w:hAnsi="Calibri"/>
                <w:i/>
                <w:iCs/>
                <w:color w:val="AFAFAF"/>
                <w:sz w:val="19"/>
                <w:szCs w:val="19"/>
              </w:rPr>
              <w:t xml:space="preserve">Radicar una PQRS</w:t>
            </w:r>
          </w:p>
        </w:tc>
      </w:tr>
    </w:tbl>
    <w:tbl>
      <w:tblPr>
        <w:tblW w:type="dxa" w:w="9360"/>
        <w:tblBorders>
          <w:top w:val="single" w:color="E2E2E2" w:sz="4"/>
          <w:left w:val="single" w:color="E2E2E2" w:sz="4"/>
          <w:bottom w:val="single" w:color="E2E2E2" w:sz="4"/>
          <w:right w:val="single" w:color="E2E2E2" w:sz="4"/>
          <w:insideH w:val="single" w:color="auto" w:sz="4"/>
          <w:insideV w:val="single" w:color="auto" w:sz="4"/>
        </w:tblBorders>
      </w:tblPr>
      <w:tblGrid>
        <w:gridCol w:w="9360"/>
      </w:tblGrid>
      <w:tr>
        <w:tc>
          <w:tcPr>
            <w:tcW w:type="dxa" w:w="9360"/>
            <w:tcMar>
              <w:top w:type="dxa" w:w="140"/>
              <w:left w:type="dxa" w:w="200"/>
              <w:bottom w:type="dxa" w:w="100"/>
              <w:right w:type="dxa" w:w="200"/>
            </w:tcMar>
          </w:tcPr>
          <w:p>
            <w:pPr>
              <w:spacing w:after="70"/>
            </w:pPr>
            <w:r>
              <w:rPr>
                <w:rFonts w:ascii="Calibri" w:cs="Calibri" w:eastAsia="Calibri" w:hAnsi="Calibri"/>
                <w:b/>
                <w:bCs/>
                <w:color w:val="A87B00"/>
                <w:sz w:val="19"/>
                <w:szCs w:val="19"/>
              </w:rPr>
              <w:t xml:space="preserve">Identificador (CU-__) y metas de origen en el árbol de metas</w:t>
            </w:r>
          </w:p>
          <w:p>
            <w:pPr>
              <w:pBdr>
                <w:bottom w:val="single" w:color="E2E2E2" w:sz="4" w:space="4"/>
              </w:pBdr>
              <w:spacing w:after="130"/>
            </w:pPr>
            <w:r>
              <w:rPr>
                <w:rFonts w:ascii="Calibri" w:cs="Calibri" w:eastAsia="Calibri" w:hAnsi="Calibri"/>
                <w:sz w:val="19"/>
                <w:szCs w:val="19"/>
              </w:rPr>
              <w:t xml:space="preserve"> </w:t>
            </w:r>
          </w:p>
        </w:tc>
      </w:tr>
    </w:tbl>
    <w:tbl>
      <w:tblPr>
        <w:tblW w:type="dxa" w:w="9360"/>
        <w:tblBorders>
          <w:top w:val="single" w:color="E2E2E2" w:sz="4"/>
          <w:left w:val="single" w:color="E2E2E2" w:sz="4"/>
          <w:bottom w:val="single" w:color="E2E2E2" w:sz="4"/>
          <w:right w:val="single" w:color="E2E2E2" w:sz="4"/>
          <w:insideH w:val="single" w:color="auto" w:sz="4"/>
          <w:insideV w:val="single" w:color="auto" w:sz="4"/>
        </w:tblBorders>
      </w:tblPr>
      <w:tblGrid>
        <w:gridCol w:w="9360"/>
      </w:tblGrid>
      <w:tr>
        <w:tc>
          <w:tcPr>
            <w:tcW w:type="dxa" w:w="9360"/>
            <w:tcMar>
              <w:top w:type="dxa" w:w="140"/>
              <w:left w:type="dxa" w:w="200"/>
              <w:bottom w:type="dxa" w:w="100"/>
              <w:right w:type="dxa" w:w="200"/>
            </w:tcMar>
          </w:tcPr>
          <w:p>
            <w:pPr>
              <w:spacing w:after="70"/>
            </w:pPr>
            <w:r>
              <w:rPr>
                <w:rFonts w:ascii="Calibri" w:cs="Calibri" w:eastAsia="Calibri" w:hAnsi="Calibri"/>
                <w:b/>
                <w:bCs/>
                <w:color w:val="A87B00"/>
                <w:sz w:val="19"/>
                <w:szCs w:val="19"/>
              </w:rPr>
              <w:t xml:space="preserve">Actor principal (quien tiene el objetivo, no quien opera el teclado)</w:t>
            </w:r>
          </w:p>
          <w:p>
            <w:pPr>
              <w:pBdr>
                <w:bottom w:val="single" w:color="E2E2E2" w:sz="4" w:space="4"/>
              </w:pBdr>
              <w:spacing w:after="130"/>
            </w:pPr>
            <w:r>
              <w:rPr>
                <w:rFonts w:ascii="Calibri" w:cs="Calibri" w:eastAsia="Calibri" w:hAnsi="Calibri"/>
                <w:sz w:val="19"/>
                <w:szCs w:val="19"/>
              </w:rPr>
              <w:t xml:space="preserve"> </w:t>
            </w:r>
          </w:p>
        </w:tc>
      </w:tr>
    </w:tbl>
    <w:tbl>
      <w:tblPr>
        <w:tblW w:type="dxa" w:w="9360"/>
        <w:tblBorders>
          <w:top w:val="single" w:color="E2E2E2" w:sz="4"/>
          <w:left w:val="single" w:color="E2E2E2" w:sz="4"/>
          <w:bottom w:val="single" w:color="E2E2E2" w:sz="4"/>
          <w:right w:val="single" w:color="E2E2E2" w:sz="4"/>
          <w:insideH w:val="single" w:color="auto" w:sz="4"/>
          <w:insideV w:val="single" w:color="auto" w:sz="4"/>
        </w:tblBorders>
      </w:tblPr>
      <w:tblGrid>
        <w:gridCol w:w="9360"/>
      </w:tblGrid>
      <w:tr>
        <w:tc>
          <w:tcPr>
            <w:tcW w:type="dxa" w:w="9360"/>
            <w:tcMar>
              <w:top w:type="dxa" w:w="140"/>
              <w:left w:type="dxa" w:w="200"/>
              <w:bottom w:type="dxa" w:w="100"/>
              <w:right w:type="dxa" w:w="200"/>
            </w:tcMar>
          </w:tcPr>
          <w:p>
            <w:pPr>
              <w:spacing w:after="70"/>
            </w:pPr>
            <w:r>
              <w:rPr>
                <w:rFonts w:ascii="Calibri" w:cs="Calibri" w:eastAsia="Calibri" w:hAnsi="Calibri"/>
                <w:b/>
                <w:bCs/>
                <w:color w:val="A87B00"/>
                <w:sz w:val="19"/>
                <w:szCs w:val="19"/>
              </w:rPr>
              <w:t xml:space="preserve">Nivel y alcance (la mayoría de casos útiles están a "nivel de mar")</w:t>
            </w:r>
          </w:p>
          <w:p>
            <w:pPr>
              <w:pBdr>
                <w:bottom w:val="single" w:color="E2E2E2" w:sz="4" w:space="4"/>
              </w:pBdr>
              <w:spacing w:after="130"/>
            </w:pPr>
            <w:r>
              <w:rPr>
                <w:rFonts w:ascii="Calibri" w:cs="Calibri" w:eastAsia="Calibri" w:hAnsi="Calibri"/>
                <w:sz w:val="19"/>
                <w:szCs w:val="19"/>
              </w:rPr>
              <w:t xml:space="preserve"> </w:t>
            </w:r>
          </w:p>
        </w:tc>
      </w:tr>
    </w:tbl>
    <w:p>
      <w:pPr>
        <w:spacing w:after="200"/>
      </w:pPr>
    </w:p>
    <w:p>
      <w:pPr>
        <w:pBdr>
          <w:bottom w:val="single" w:color="FFCC29" w:sz="8" w:space="6"/>
        </w:pBdr>
        <w:spacing w:after="160" w:before="420"/>
      </w:pPr>
      <w:r>
        <w:rPr>
          <w:rFonts w:ascii="Cambria" w:cs="Cambria" w:eastAsia="Cambria" w:hAnsi="Cambria"/>
          <w:b/>
          <w:bCs/>
          <w:color w:val="A87B00"/>
          <w:sz w:val="30"/>
          <w:szCs w:val="30"/>
        </w:rPr>
        <w:t xml:space="preserve">1. </w:t>
      </w:r>
      <w:r>
        <w:rPr>
          <w:rFonts w:ascii="Cambria" w:cs="Cambria" w:eastAsia="Cambria" w:hAnsi="Cambria"/>
          <w:b/>
          <w:bCs/>
          <w:color w:val="1A1A1A"/>
          <w:sz w:val="30"/>
          <w:szCs w:val="30"/>
        </w:rPr>
        <w:t xml:space="preserve">Precondición</w:t>
      </w:r>
    </w:p>
    <w:p>
      <w:pPr>
        <w:spacing w:after="160"/>
        <w:jc w:val="both"/>
      </w:pPr>
      <w:r>
        <w:rPr>
          <w:rFonts w:ascii="Calibri" w:cs="Calibri" w:eastAsia="Calibri" w:hAnsi="Calibri"/>
          <w:sz w:val="21"/>
          <w:szCs w:val="21"/>
        </w:rPr>
        <w:t xml:space="preserve">Lo que ya está garantizado antes de empezar y el caso de uso no vuelve a verificar. Que sea verificable por alguien.</w:t>
      </w:r>
    </w:p>
    <w:tbl>
      <w:tblPr>
        <w:tblW w:type="dxa" w:w="9360"/>
        <w:tblBorders>
          <w:top w:val="single" w:color="E2E2E2" w:sz="4"/>
          <w:left w:val="single" w:color="E2E2E2" w:sz="4"/>
          <w:bottom w:val="single" w:color="E2E2E2" w:sz="4"/>
          <w:right w:val="single" w:color="E2E2E2" w:sz="4"/>
          <w:insideH w:val="single" w:color="auto" w:sz="4"/>
          <w:insideV w:val="single" w:color="auto" w:sz="4"/>
        </w:tblBorders>
      </w:tblPr>
      <w:tblGrid>
        <w:gridCol w:w="9360"/>
      </w:tblGrid>
      <w:tr>
        <w:tc>
          <w:tcPr>
            <w:tcW w:type="dxa" w:w="9360"/>
            <w:tcMar>
              <w:top w:type="dxa" w:w="140"/>
              <w:left w:type="dxa" w:w="200"/>
              <w:bottom w:type="dxa" w:w="100"/>
              <w:right w:type="dxa" w:w="200"/>
            </w:tcMar>
          </w:tcPr>
          <w:p>
            <w:pPr>
              <w:spacing w:after="70"/>
            </w:pPr>
            <w:r>
              <w:rPr>
                <w:rFonts w:ascii="Calibri" w:cs="Calibri" w:eastAsia="Calibri" w:hAnsi="Calibri"/>
                <w:b/>
                <w:bCs/>
                <w:color w:val="A87B00"/>
                <w:sz w:val="19"/>
                <w:szCs w:val="19"/>
              </w:rPr>
              <w:t xml:space="preserve">Precondición</w:t>
            </w:r>
          </w:p>
          <w:p>
            <w:pPr>
              <w:pBdr>
                <w:bottom w:val="single" w:color="E2E2E2" w:sz="4" w:space="4"/>
              </w:pBdr>
              <w:spacing w:after="130"/>
            </w:pPr>
            <w:r>
              <w:rPr>
                <w:rFonts w:ascii="Calibri" w:cs="Calibri" w:eastAsia="Calibri" w:hAnsi="Calibri"/>
                <w:sz w:val="19"/>
                <w:szCs w:val="19"/>
              </w:rPr>
              <w:t xml:space="preserve"> </w:t>
            </w:r>
          </w:p>
          <w:p>
            <w:pPr>
              <w:pBdr>
                <w:bottom w:val="single" w:color="E2E2E2" w:sz="4" w:space="4"/>
              </w:pBdr>
              <w:spacing w:after="130"/>
            </w:pPr>
            <w:r>
              <w:rPr>
                <w:rFonts w:ascii="Calibri" w:cs="Calibri" w:eastAsia="Calibri" w:hAnsi="Calibri"/>
                <w:sz w:val="19"/>
                <w:szCs w:val="19"/>
              </w:rPr>
              <w:t xml:space="preserve"> </w:t>
            </w:r>
          </w:p>
          <w:p>
            <w:pPr>
              <w:pBdr>
                <w:bottom w:val="single" w:color="E2E2E2" w:sz="4" w:space="4"/>
              </w:pBdr>
              <w:spacing w:after="130"/>
            </w:pPr>
            <w:r>
              <w:rPr>
                <w:rFonts w:ascii="Calibri" w:cs="Calibri" w:eastAsia="Calibri" w:hAnsi="Calibri"/>
                <w:sz w:val="19"/>
                <w:szCs w:val="19"/>
              </w:rPr>
              <w:t xml:space="preserve"> </w:t>
            </w:r>
          </w:p>
        </w:tc>
      </w:tr>
    </w:tbl>
    <w:p>
      <w:pPr>
        <w:spacing w:after="160"/>
      </w:pPr>
    </w:p>
    <w:p>
      <w:pPr>
        <w:pBdr>
          <w:bottom w:val="single" w:color="FFCC29" w:sz="8" w:space="6"/>
        </w:pBdr>
        <w:spacing w:after="160" w:before="420"/>
      </w:pPr>
      <w:r>
        <w:rPr>
          <w:rFonts w:ascii="Cambria" w:cs="Cambria" w:eastAsia="Cambria" w:hAnsi="Cambria"/>
          <w:b/>
          <w:bCs/>
          <w:color w:val="A87B00"/>
          <w:sz w:val="30"/>
          <w:szCs w:val="30"/>
        </w:rPr>
        <w:t xml:space="preserve">2. </w:t>
      </w:r>
      <w:r>
        <w:rPr>
          <w:rFonts w:ascii="Cambria" w:cs="Cambria" w:eastAsia="Cambria" w:hAnsi="Cambria"/>
          <w:b/>
          <w:bCs/>
          <w:color w:val="1A1A1A"/>
          <w:sz w:val="30"/>
          <w:szCs w:val="30"/>
        </w:rPr>
        <w:t xml:space="preserve">Garantía de éxito (postcondición)</w:t>
      </w:r>
    </w:p>
    <w:p>
      <w:pPr>
        <w:spacing w:after="160"/>
        <w:jc w:val="both"/>
      </w:pPr>
      <w:r>
        <w:rPr>
          <w:rFonts w:ascii="Calibri" w:cs="Calibri" w:eastAsia="Calibri" w:hAnsi="Calibri"/>
          <w:sz w:val="21"/>
          <w:szCs w:val="21"/>
        </w:rPr>
        <w:t xml:space="preserve">El estado del mundo cuando el caso de uso termina bien: qué quedó registrado, notificado o calculado.</w:t>
      </w:r>
    </w:p>
    <w:tbl>
      <w:tblPr>
        <w:tblW w:type="dxa" w:w="9360"/>
        <w:tblBorders>
          <w:top w:val="single" w:color="E2E2E2" w:sz="4"/>
          <w:left w:val="single" w:color="E2E2E2" w:sz="4"/>
          <w:bottom w:val="single" w:color="E2E2E2" w:sz="4"/>
          <w:right w:val="single" w:color="E2E2E2" w:sz="4"/>
          <w:insideH w:val="single" w:color="auto" w:sz="4"/>
          <w:insideV w:val="single" w:color="auto" w:sz="4"/>
        </w:tblBorders>
      </w:tblPr>
      <w:tblGrid>
        <w:gridCol w:w="9360"/>
      </w:tblGrid>
      <w:tr>
        <w:tc>
          <w:tcPr>
            <w:tcW w:type="dxa" w:w="9360"/>
            <w:tcMar>
              <w:top w:type="dxa" w:w="140"/>
              <w:left w:type="dxa" w:w="200"/>
              <w:bottom w:type="dxa" w:w="100"/>
              <w:right w:type="dxa" w:w="200"/>
            </w:tcMar>
          </w:tcPr>
          <w:p>
            <w:pPr>
              <w:spacing w:after="70"/>
            </w:pPr>
            <w:r>
              <w:rPr>
                <w:rFonts w:ascii="Calibri" w:cs="Calibri" w:eastAsia="Calibri" w:hAnsi="Calibri"/>
                <w:b/>
                <w:bCs/>
                <w:color w:val="A87B00"/>
                <w:sz w:val="19"/>
                <w:szCs w:val="19"/>
              </w:rPr>
              <w:t xml:space="preserve">Garantía de éxito</w:t>
            </w:r>
          </w:p>
          <w:p>
            <w:pPr>
              <w:pBdr>
                <w:bottom w:val="single" w:color="E2E2E2" w:sz="4" w:space="4"/>
              </w:pBdr>
              <w:spacing w:after="130"/>
            </w:pPr>
            <w:r>
              <w:rPr>
                <w:rFonts w:ascii="Calibri" w:cs="Calibri" w:eastAsia="Calibri" w:hAnsi="Calibri"/>
                <w:sz w:val="19"/>
                <w:szCs w:val="19"/>
              </w:rPr>
              <w:t xml:space="preserve"> </w:t>
            </w:r>
          </w:p>
          <w:p>
            <w:pPr>
              <w:pBdr>
                <w:bottom w:val="single" w:color="E2E2E2" w:sz="4" w:space="4"/>
              </w:pBdr>
              <w:spacing w:after="130"/>
            </w:pPr>
            <w:r>
              <w:rPr>
                <w:rFonts w:ascii="Calibri" w:cs="Calibri" w:eastAsia="Calibri" w:hAnsi="Calibri"/>
                <w:sz w:val="19"/>
                <w:szCs w:val="19"/>
              </w:rPr>
              <w:t xml:space="preserve"> </w:t>
            </w:r>
          </w:p>
          <w:p>
            <w:pPr>
              <w:pBdr>
                <w:bottom w:val="single" w:color="E2E2E2" w:sz="4" w:space="4"/>
              </w:pBdr>
              <w:spacing w:after="130"/>
            </w:pPr>
            <w:r>
              <w:rPr>
                <w:rFonts w:ascii="Calibri" w:cs="Calibri" w:eastAsia="Calibri" w:hAnsi="Calibri"/>
                <w:sz w:val="19"/>
                <w:szCs w:val="19"/>
              </w:rPr>
              <w:t xml:space="preserve"> </w:t>
            </w:r>
          </w:p>
        </w:tc>
      </w:tr>
    </w:tbl>
    <w:tbl>
      <w:tblPr>
        <w:tblW w:type="dxa" w:w="9360"/>
        <w:tblBorders>
          <w:top w:val="single" w:color="E2E2E2" w:sz="4"/>
          <w:left w:val="single" w:color="E2E2E2" w:sz="4"/>
          <w:bottom w:val="single" w:color="E2E2E2" w:sz="4"/>
          <w:right w:val="single" w:color="E2E2E2" w:sz="4"/>
          <w:insideH w:val="single" w:color="auto" w:sz="4"/>
          <w:insideV w:val="single" w:color="auto" w:sz="4"/>
        </w:tblBorders>
      </w:tblPr>
      <w:tblGrid>
        <w:gridCol w:w="9360"/>
      </w:tblGrid>
      <w:tr>
        <w:tc>
          <w:tcPr>
            <w:tcW w:type="dxa" w:w="9360"/>
            <w:tcMar>
              <w:top w:type="dxa" w:w="140"/>
              <w:left w:type="dxa" w:w="200"/>
              <w:bottom w:type="dxa" w:w="100"/>
              <w:right w:type="dxa" w:w="200"/>
            </w:tcMar>
          </w:tcPr>
          <w:p>
            <w:pPr>
              <w:spacing w:after="70"/>
            </w:pPr>
            <w:r>
              <w:rPr>
                <w:rFonts w:ascii="Calibri" w:cs="Calibri" w:eastAsia="Calibri" w:hAnsi="Calibri"/>
                <w:b/>
                <w:bCs/>
                <w:color w:val="A87B00"/>
                <w:sz w:val="19"/>
                <w:szCs w:val="19"/>
              </w:rPr>
              <w:t xml:space="preserve">Garantía mínima — qué se garantiza aunque el caso de uso falle</w:t>
            </w:r>
          </w:p>
          <w:p>
            <w:pPr>
              <w:pBdr>
                <w:bottom w:val="single" w:color="E2E2E2" w:sz="4" w:space="4"/>
              </w:pBdr>
              <w:spacing w:after="130"/>
            </w:pPr>
            <w:r>
              <w:rPr>
                <w:rFonts w:ascii="Calibri" w:cs="Calibri" w:eastAsia="Calibri" w:hAnsi="Calibri"/>
                <w:sz w:val="19"/>
                <w:szCs w:val="19"/>
              </w:rPr>
              <w:t xml:space="preserve"> </w:t>
            </w:r>
          </w:p>
          <w:p>
            <w:pPr>
              <w:pBdr>
                <w:bottom w:val="single" w:color="E2E2E2" w:sz="4" w:space="4"/>
              </w:pBdr>
              <w:spacing w:after="130"/>
            </w:pPr>
            <w:r>
              <w:rPr>
                <w:rFonts w:ascii="Calibri" w:cs="Calibri" w:eastAsia="Calibri" w:hAnsi="Calibri"/>
                <w:sz w:val="19"/>
                <w:szCs w:val="19"/>
              </w:rPr>
              <w:t xml:space="preserve"> </w:t>
            </w:r>
          </w:p>
        </w:tc>
      </w:tr>
    </w:tbl>
    <w:p>
      <w:pPr>
        <w:spacing w:after="200"/>
      </w:pPr>
    </w:p>
    <w:p>
      <w:pPr>
        <w:pBdr>
          <w:bottom w:val="single" w:color="FFCC29" w:sz="8" w:space="6"/>
        </w:pBdr>
        <w:spacing w:after="160" w:before="420"/>
      </w:pPr>
      <w:r>
        <w:rPr>
          <w:rFonts w:ascii="Cambria" w:cs="Cambria" w:eastAsia="Cambria" w:hAnsi="Cambria"/>
          <w:b/>
          <w:bCs/>
          <w:color w:val="A87B00"/>
          <w:sz w:val="30"/>
          <w:szCs w:val="30"/>
        </w:rPr>
        <w:t xml:space="preserve">3. </w:t>
      </w:r>
      <w:r>
        <w:rPr>
          <w:rFonts w:ascii="Cambria" w:cs="Cambria" w:eastAsia="Cambria" w:hAnsi="Cambria"/>
          <w:b/>
          <w:bCs/>
          <w:color w:val="1A1A1A"/>
          <w:sz w:val="30"/>
          <w:szCs w:val="30"/>
        </w:rPr>
        <w:t xml:space="preserve">Interesados e intereses</w:t>
      </w:r>
    </w:p>
    <w:p>
      <w:pPr>
        <w:spacing w:after="160"/>
        <w:jc w:val="both"/>
      </w:pPr>
      <w:r>
        <w:rPr>
          <w:rFonts w:ascii="Calibri" w:cs="Calibri" w:eastAsia="Calibri" w:hAnsi="Calibri"/>
          <w:sz w:val="21"/>
          <w:szCs w:val="21"/>
        </w:rPr>
        <w:t xml:space="preserve">Cada interés debe traducirse en algo verificable dentro del caso de uso. Si un interés no aterriza en ningún paso, extensión o condición de la garantía, o está de más, o el caso de uso está incompleto.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80"/>
        <w:gridCol w:w="2980"/>
      </w:tblGrid>
      <w:tr>
        <w:trPr>
          <w:tblHeader/>
        </w:trPr>
        <w:tc>
          <w:tcPr>
            <w:tcW w:type="dxa" w:w="240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Interesado</w:t>
            </w:r>
          </w:p>
        </w:tc>
        <w:tc>
          <w:tcPr>
            <w:tcW w:type="dxa" w:w="39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Interés concreto</w:t>
            </w:r>
          </w:p>
        </w:tc>
        <w:tc>
          <w:tcPr>
            <w:tcW w:type="dxa" w:w="29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Dónde aterriza (paso / extensión / garantía)</w:t>
            </w:r>
          </w:p>
        </w:tc>
      </w:tr>
      <w:tr>
        <w:tc>
          <w:tcPr>
            <w:tcW w:type="dxa" w:w="24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2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24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2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24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2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24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2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24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29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bl>
    <w:p>
      <w:pPr>
        <w:spacing w:after="200"/>
      </w:pPr>
    </w:p>
    <w:p>
      <w:pPr>
        <w:pBdr>
          <w:bottom w:val="single" w:color="FFCC29" w:sz="8" w:space="6"/>
        </w:pBdr>
        <w:spacing w:after="160" w:before="420"/>
      </w:pPr>
      <w:r>
        <w:rPr>
          <w:rFonts w:ascii="Cambria" w:cs="Cambria" w:eastAsia="Cambria" w:hAnsi="Cambria"/>
          <w:b/>
          <w:bCs/>
          <w:color w:val="A87B00"/>
          <w:sz w:val="30"/>
          <w:szCs w:val="30"/>
        </w:rPr>
        <w:t xml:space="preserve">4. </w:t>
      </w:r>
      <w:r>
        <w:rPr>
          <w:rFonts w:ascii="Cambria" w:cs="Cambria" w:eastAsia="Cambria" w:hAnsi="Cambria"/>
          <w:b/>
          <w:bCs/>
          <w:color w:val="1A1A1A"/>
          <w:sz w:val="30"/>
          <w:szCs w:val="30"/>
        </w:rPr>
        <w:t xml:space="preserve">Escenario principal de éxito</w:t>
      </w:r>
    </w:p>
    <w:p>
      <w:pPr>
        <w:spacing w:after="160"/>
        <w:jc w:val="both"/>
      </w:pPr>
      <w:r>
        <w:rPr>
          <w:rFonts w:ascii="Calibri" w:cs="Calibri" w:eastAsia="Calibri" w:hAnsi="Calibri"/>
          <w:sz w:val="21"/>
          <w:szCs w:val="21"/>
        </w:rPr>
        <w:t xml:space="preserve">Entre 3 y 9 pasos, en presente y voz activa, alternando actor y sistema. </w:t>
      </w:r>
      <w:r>
        <w:rPr>
          <w:rFonts w:ascii="Calibri" w:cs="Calibri" w:eastAsia="Calibri" w:hAnsi="Calibri"/>
          <w:b/>
          <w:bCs/>
          <w:color w:val="1A1A1A"/>
          <w:sz w:val="21"/>
          <w:szCs w:val="21"/>
        </w:rPr>
        <w:t xml:space="preserve">Cada paso lleva sujeto explícito</w:t>
      </w:r>
      <w:r>
        <w:rPr>
          <w:rFonts w:ascii="Calibri" w:cs="Calibri" w:eastAsia="Calibri" w:hAnsi="Calibri"/>
          <w:sz w:val="21"/>
          <w:szCs w:val="21"/>
        </w:rPr>
        <w:t xml:space="preserve"> ("el ciudadano…", "el sistema…"). Sin condicionales y sin detalle de interfaz. Escriban primero el último paso, después el primero, y rellenen el medio.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Paso</w:t>
            </w:r>
          </w:p>
        </w:tc>
        <w:tc>
          <w:tcPr>
            <w:tcW w:type="dxa" w:w="836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Quién hace qué</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836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bl>
    <w:p>
      <w:pPr>
        <w:spacing w:after="200"/>
      </w:pPr>
    </w:p>
    <w:p>
      <w:pPr>
        <w:pBdr>
          <w:bottom w:val="single" w:color="FFCC29" w:sz="8" w:space="6"/>
        </w:pBdr>
        <w:spacing w:after="160" w:before="420"/>
      </w:pPr>
      <w:r>
        <w:rPr>
          <w:rFonts w:ascii="Cambria" w:cs="Cambria" w:eastAsia="Cambria" w:hAnsi="Cambria"/>
          <w:b/>
          <w:bCs/>
          <w:color w:val="A87B00"/>
          <w:sz w:val="30"/>
          <w:szCs w:val="30"/>
        </w:rPr>
        <w:t xml:space="preserve">5. </w:t>
      </w:r>
      <w:r>
        <w:rPr>
          <w:rFonts w:ascii="Cambria" w:cs="Cambria" w:eastAsia="Cambria" w:hAnsi="Cambria"/>
          <w:b/>
          <w:bCs/>
          <w:color w:val="1A1A1A"/>
          <w:sz w:val="30"/>
          <w:szCs w:val="30"/>
        </w:rPr>
        <w:t xml:space="preserve">Extensiones</w:t>
      </w:r>
    </w:p>
    <w:p>
      <w:pPr>
        <w:spacing w:after="160"/>
        <w:jc w:val="both"/>
      </w:pPr>
      <w:r>
        <w:rPr>
          <w:rFonts w:ascii="Calibri" w:cs="Calibri" w:eastAsia="Calibri" w:hAnsi="Calibri"/>
          <w:sz w:val="21"/>
          <w:szCs w:val="21"/>
        </w:rPr>
        <w:t xml:space="preserve">Recorran el escenario paso por paso preguntando "¿qué puede salir distinto aquí?". Numeren con el paso más una letra (3a, 5a, 6a…), y declaren siempre cómo sigue el flujo: "retoma en el paso 4" o "el caso de uso termina 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80"/>
        <w:gridCol w:w="5180"/>
      </w:tblGrid>
      <w:tr>
        <w:trPr>
          <w:tblHeader/>
        </w:trPr>
        <w:tc>
          <w:tcPr>
            <w:tcW w:type="dxa" w:w="100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Paso</w:t>
            </w:r>
          </w:p>
        </w:tc>
        <w:tc>
          <w:tcPr>
            <w:tcW w:type="dxa" w:w="31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Condición</w:t>
            </w:r>
          </w:p>
        </w:tc>
        <w:tc>
          <w:tcPr>
            <w:tcW w:type="dxa" w:w="51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Qué pasa</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80"/>
        <w:gridCol w:w="5180"/>
      </w:tblGrid>
      <w:tr>
        <w:trPr>
          <w:tblHeader/>
        </w:trPr>
        <w:tc>
          <w:tcPr>
            <w:tcW w:type="dxa" w:w="100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Paso</w:t>
            </w:r>
          </w:p>
        </w:tc>
        <w:tc>
          <w:tcPr>
            <w:tcW w:type="dxa" w:w="31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Condición</w:t>
            </w:r>
          </w:p>
        </w:tc>
        <w:tc>
          <w:tcPr>
            <w:tcW w:type="dxa" w:w="51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Qué pasa</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100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51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bl>
    <w:p>
      <w:pPr>
        <w:spacing w:after="200"/>
      </w:pPr>
    </w:p>
    <w:p>
      <w:pPr>
        <w:pBdr>
          <w:bottom w:val="single" w:color="FFCC29" w:sz="8" w:space="6"/>
        </w:pBdr>
        <w:spacing w:after="160" w:before="420"/>
      </w:pPr>
      <w:r>
        <w:rPr>
          <w:rFonts w:ascii="Cambria" w:cs="Cambria" w:eastAsia="Cambria" w:hAnsi="Cambria"/>
          <w:b/>
          <w:bCs/>
          <w:color w:val="A87B00"/>
          <w:sz w:val="30"/>
          <w:szCs w:val="30"/>
        </w:rPr>
        <w:t xml:space="preserve">6. </w:t>
      </w:r>
      <w:r>
        <w:rPr>
          <w:rFonts w:ascii="Cambria" w:cs="Cambria" w:eastAsia="Cambria" w:hAnsi="Cambria"/>
          <w:b/>
          <w:bCs/>
          <w:color w:val="1A1A1A"/>
          <w:sz w:val="30"/>
          <w:szCs w:val="30"/>
        </w:rPr>
        <w:t xml:space="preserve">Escenarios de aceptación asociados</w:t>
      </w:r>
    </w:p>
    <w:p>
      <w:pPr>
        <w:spacing w:after="160"/>
        <w:jc w:val="both"/>
      </w:pPr>
      <w:r>
        <w:rPr>
          <w:rFonts w:ascii="Calibri" w:cs="Calibri" w:eastAsia="Calibri" w:hAnsi="Calibri"/>
          <w:sz w:val="21"/>
          <w:szCs w:val="21"/>
        </w:rPr>
        <w:t xml:space="preserve">Como mínimo, un escenario Gherkin del camino feliz y uno por cada extensión con consecuencia legal o de integridad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Escenario (archivo .feature)</w:t>
            </w:r>
          </w:p>
        </w:tc>
        <w:tc>
          <w:tcPr>
            <w:tcW w:type="dxa" w:w="3680"/>
            <w:shd w:fill="1A1A1A" w:color="auto" w:val="clear"/>
            <w:tcMar>
              <w:top w:type="dxa" w:w="90"/>
              <w:left w:type="dxa" w:w="120"/>
              <w:bottom w:type="dxa" w:w="90"/>
              <w:right w:type="dxa" w:w="80"/>
            </w:tcMar>
            <w:vAlign w:val="center"/>
          </w:tcPr>
          <w:p>
            <w:r>
              <w:rPr>
                <w:rFonts w:ascii="Calibri" w:cs="Calibri" w:eastAsia="Calibri" w:hAnsi="Calibri"/>
                <w:b/>
                <w:bCs/>
                <w:color w:val="FFFFFF"/>
                <w:sz w:val="19"/>
                <w:szCs w:val="19"/>
              </w:rPr>
              <w:t xml:space="preserve">Paso o extensión que cubre</w:t>
            </w:r>
          </w:p>
        </w:tc>
      </w:tr>
      <w:tr>
        <w:tc>
          <w:tcPr>
            <w:tcW w:type="dxa" w:w="5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5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5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r>
        <w:tc>
          <w:tcPr>
            <w:tcW w:type="dxa" w:w="5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c>
          <w:tcPr>
            <w:tcW w:type="dxa" w:w="3680"/>
            <w:tcMar>
              <w:top w:type="dxa" w:w="80"/>
              <w:left w:type="dxa" w:w="120"/>
              <w:bottom w:type="dxa" w:w="80"/>
              <w:right w:type="dxa" w:w="80"/>
            </w:tcMar>
          </w:tcPr>
          <w:p>
            <w:r>
              <w:rPr>
                <w:rFonts w:ascii="Calibri" w:cs="Calibri" w:eastAsia="Calibri" w:hAnsi="Calibri"/>
                <w:sz w:val="19"/>
                <w:szCs w:val="19"/>
              </w:rPr>
              <w:t xml:space="preserve"> </w:t>
            </w:r>
          </w:p>
          <w:p>
            <w:r>
              <w:rPr>
                <w:rFonts w:ascii="Calibri" w:cs="Calibri" w:eastAsia="Calibri" w:hAnsi="Calibri"/>
                <w:sz w:val="19"/>
                <w:szCs w:val="19"/>
              </w:rPr>
              <w:t xml:space="preserve"> </w:t>
            </w:r>
          </w:p>
        </w:tc>
      </w:tr>
    </w:tbl>
    <w:p>
      <w:pPr>
        <w:spacing w:after="200"/>
      </w:pPr>
    </w:p>
    <w:p>
      <w:pPr>
        <w:spacing w:after="160"/>
      </w:pPr>
      <w:r>
        <w:rPr>
          <w:rFonts w:ascii="Calibri" w:cs="Calibri" w:eastAsia="Calibri" w:hAnsi="Calibri"/>
          <w:i/>
          <w:iCs/>
          <w:color w:val="5F5F5F"/>
          <w:sz w:val="19"/>
          <w:szCs w:val="19"/>
        </w:rPr>
        <w:t xml:space="preserve">Este caso de uso se sube al repositorio del equipo en 03-especificacion/casos-de-uso/, por pull request — con al menos un commit propio de cada integrante y revisión cruzada antes de fusionar. En la Sesión 5 este mismo documento es el objeto de la inspección formal.</w:t>
      </w:r>
    </w:p>
    <w:sectPr>
      <w:headerReference w:type="default" r:id="rId7"/>
      <w:footerReference w:type="default" r:id="rId8"/>
      <w:pgSz w:w="12240" w:h="15840" w:orient="portrait"/>
      <w:pgMar w:top="144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4" w:space="6"/>
      </w:pBdr>
      <w:tabs>
        <w:tab w:val="right" w:pos="9026"/>
      </w:tabs>
    </w:pPr>
    <w:r>
      <w:rPr>
        <w:rFonts w:ascii="Calibri" w:cs="Calibri" w:eastAsia="Calibri" w:hAnsi="Calibri"/>
        <w:color w:val="5F5F5F"/>
        <w:sz w:val="16"/>
        <w:szCs w:val="16"/>
      </w:rPr>
      <w:t xml:space="preserve">UPTC · Facultad de Ingeniería</w:t>
    </w:r>
    <w:r>
      <w:rPr>
        <w:rFonts w:ascii="Calibri" w:cs="Calibri" w:eastAsia="Calibri" w:hAnsi="Calibri"/>
        <w:color w:val="5F5F5F"/>
        <w:sz w:val="16"/>
        <w:szCs w:val="16"/>
      </w:rPr>
      <w:t xml:space="preserve">	Caso de uso "fully dressed" (Cockburn)   ·   Página </w:t>
    </w:r>
    <w:r>
      <w:rPr>
        <w:rFonts w:ascii="Calibri" w:cs="Calibri" w:eastAsia="Calibri" w:hAnsi="Calibri"/>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191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19150" cy="381000"/>
                  </a:xfrm>
                  <a:prstGeom prst="rect">
                    <a:avLst/>
                  </a:prstGeom>
                </pic:spPr>
              </pic:pic>
            </a:graphicData>
          </a:graphic>
        </wp:inline>
      </w:drawing>
    </w:r>
  </w:p>
  <w:p>
    <w:pPr>
      <w:pBdr>
        <w:bottom w:val="single" w:color="FFCC29" w:sz="10" w:space="4"/>
      </w:pBdr>
      <w:spacing w:after="200"/>
    </w:pPr>
    <w:r>
      <w:rPr>
        <w:rFonts w:ascii="Cambria" w:cs="Cambria" w:eastAsia="Cambria" w:hAnsi="Cambria"/>
        <w:b/>
        <w:bCs/>
        <w:color w:val="5F5F5F"/>
        <w:sz w:val="15"/>
        <w:szCs w:val="15"/>
      </w:rPr>
      <w:t xml:space="preserve">INGENIERÍA DE REQUISITOS</w:t>
    </w:r>
    <w:r>
      <w:rPr>
        <w:rFonts w:ascii="Cambria" w:cs="Cambria" w:eastAsia="Cambria" w:hAnsi="Cambria"/>
        <w:i/>
        <w:iCs/>
        <w:color w:val="5F5F5F"/>
        <w:sz w:val="15"/>
        <w:szCs w:val="15"/>
      </w:rPr>
      <w:t xml:space="preserve">   ·   Unidad 3 · Sesión 3 · Plantilla para diligenciar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22e6e6b817107eb04572a93b204b68290c97f3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2026-09-14T03:50:21.269Z</dcterms:created>
  <dcterms:modified xsi:type="dcterms:W3CDTF">2026-09-14T03:50:21.270Z</dcterms:modified>
</cp:coreProperties>
</file>

<file path=docProps/custom.xml><?xml version="1.0" encoding="utf-8"?>
<Properties xmlns="http://schemas.openxmlformats.org/officeDocument/2006/custom-properties" xmlns:vt="http://schemas.openxmlformats.org/officeDocument/2006/docPropsVTypes"/>
</file>