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9A995" w14:textId="77777777" w:rsidR="00256464" w:rsidRDefault="00000000">
      <w:pPr>
        <w:ind w:leftChars="-85" w:left="-178" w:firstLineChars="58" w:firstLine="209"/>
        <w:jc w:val="center"/>
        <w:rPr>
          <w:rFonts w:eastAsia="微软雅黑"/>
          <w:b/>
          <w:color w:val="003366"/>
          <w:sz w:val="28"/>
          <w:szCs w:val="28"/>
        </w:rPr>
      </w:pPr>
      <w:bookmarkStart w:id="0" w:name="_Toc42102363"/>
      <w:r>
        <w:rPr>
          <w:rFonts w:eastAsia="微软雅黑"/>
          <w:b/>
          <w:color w:val="000000" w:themeColor="text1"/>
          <w:sz w:val="36"/>
          <w:szCs w:val="36"/>
        </w:rPr>
        <w:t>山东第一医科大学第一附属医院</w:t>
      </w:r>
      <w:r>
        <w:rPr>
          <w:rFonts w:eastAsia="微软雅黑" w:hint="eastAsia"/>
          <w:b/>
          <w:sz w:val="36"/>
          <w:szCs w:val="36"/>
        </w:rPr>
        <w:t>病理科</w:t>
      </w:r>
    </w:p>
    <w:p w14:paraId="160B5D2C" w14:textId="77777777" w:rsidR="00256464" w:rsidRDefault="00000000">
      <w:pPr>
        <w:ind w:leftChars="-85" w:left="-178" w:firstLineChars="58" w:firstLine="162"/>
        <w:jc w:val="center"/>
        <w:rPr>
          <w:rFonts w:eastAsia="微软雅黑"/>
          <w:b/>
          <w:color w:val="003366"/>
          <w:sz w:val="30"/>
          <w:szCs w:val="30"/>
        </w:rPr>
      </w:pPr>
      <w:r>
        <w:rPr>
          <w:rFonts w:eastAsia="微软雅黑" w:hint="eastAsia"/>
          <w:b/>
          <w:color w:val="003366"/>
          <w:sz w:val="28"/>
          <w:szCs w:val="28"/>
        </w:rPr>
        <w:t xml:space="preserve">                    </w:t>
      </w:r>
      <w:r>
        <w:rPr>
          <w:rFonts w:eastAsia="微软雅黑"/>
          <w:b/>
          <w:color w:val="003366"/>
          <w:sz w:val="28"/>
          <w:szCs w:val="28"/>
        </w:rPr>
        <w:t xml:space="preserve">         </w:t>
      </w:r>
      <w:r>
        <w:rPr>
          <w:rFonts w:eastAsia="微软雅黑" w:hint="eastAsia"/>
          <w:b/>
          <w:color w:val="003366"/>
          <w:sz w:val="28"/>
          <w:szCs w:val="28"/>
        </w:rPr>
        <w:t>基因检测报告单</w:t>
      </w:r>
      <w:r>
        <w:rPr>
          <w:rFonts w:eastAsia="微软雅黑"/>
          <w:b/>
          <w:color w:val="003366"/>
          <w:sz w:val="30"/>
          <w:szCs w:val="30"/>
        </w:rPr>
        <w:t xml:space="preserve">     </w:t>
      </w:r>
      <w:r>
        <w:rPr>
          <w:rFonts w:eastAsia="微软雅黑" w:hint="eastAsia"/>
          <w:b/>
          <w:color w:val="003366"/>
          <w:sz w:val="30"/>
          <w:szCs w:val="30"/>
        </w:rPr>
        <w:t xml:space="preserve">   </w:t>
      </w:r>
      <w:r>
        <w:rPr>
          <w:rFonts w:eastAsia="微软雅黑"/>
          <w:b/>
          <w:color w:val="003366"/>
          <w:sz w:val="30"/>
          <w:szCs w:val="30"/>
        </w:rPr>
        <w:t xml:space="preserve">      </w:t>
      </w:r>
      <w:r>
        <w:rPr>
          <w:rFonts w:eastAsia="微软雅黑" w:hint="eastAsia"/>
          <w:b/>
          <w:sz w:val="24"/>
        </w:rPr>
        <w:t>标本编号</w:t>
      </w:r>
      <w:r>
        <w:rPr>
          <w:rFonts w:eastAsia="微软雅黑"/>
          <w:bCs/>
          <w:color w:val="000000" w:themeColor="text1"/>
          <w:sz w:val="24"/>
        </w:rPr>
        <w:t>26051937</w:t>
      </w:r>
    </w:p>
    <w:tbl>
      <w:tblPr>
        <w:tblpPr w:leftFromText="180" w:rightFromText="180" w:vertAnchor="page" w:horzAnchor="page" w:tblpX="555" w:tblpY="2763"/>
        <w:tblOverlap w:val="never"/>
        <w:tblW w:w="10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7"/>
        <w:gridCol w:w="1779"/>
        <w:gridCol w:w="217"/>
        <w:gridCol w:w="1013"/>
        <w:gridCol w:w="733"/>
        <w:gridCol w:w="1045"/>
        <w:gridCol w:w="681"/>
        <w:gridCol w:w="534"/>
        <w:gridCol w:w="1389"/>
        <w:gridCol w:w="1773"/>
      </w:tblGrid>
      <w:tr w:rsidR="00256464" w14:paraId="0138E5E5" w14:textId="77777777" w:rsidTr="00CD0E6C">
        <w:trPr>
          <w:trHeight w:val="848"/>
        </w:trPr>
        <w:tc>
          <w:tcPr>
            <w:tcW w:w="1407" w:type="dxa"/>
            <w:tcBorders>
              <w:top w:val="single" w:sz="4" w:space="0" w:color="auto"/>
              <w:left w:val="single" w:sz="4" w:space="0" w:color="auto"/>
              <w:bottom w:val="single" w:sz="4" w:space="0" w:color="auto"/>
              <w:right w:val="single" w:sz="4" w:space="0" w:color="auto"/>
            </w:tcBorders>
            <w:vAlign w:val="center"/>
          </w:tcPr>
          <w:p w14:paraId="4D02229F" w14:textId="77777777" w:rsidR="00256464" w:rsidRDefault="00000000">
            <w:pPr>
              <w:rPr>
                <w:rFonts w:eastAsia="微软雅黑"/>
                <w:b/>
                <w:sz w:val="24"/>
              </w:rPr>
            </w:pPr>
            <w:r>
              <w:rPr>
                <w:rFonts w:eastAsia="微软雅黑" w:hint="eastAsia"/>
                <w:b/>
                <w:sz w:val="24"/>
              </w:rPr>
              <w:t>姓</w:t>
            </w:r>
            <w:r>
              <w:rPr>
                <w:rFonts w:eastAsia="微软雅黑" w:hint="eastAsia"/>
                <w:b/>
                <w:sz w:val="24"/>
              </w:rPr>
              <w:t xml:space="preserve">  </w:t>
            </w:r>
            <w:r>
              <w:rPr>
                <w:rFonts w:eastAsia="微软雅黑" w:hint="eastAsia"/>
                <w:b/>
                <w:sz w:val="24"/>
              </w:rPr>
              <w:t>名</w:t>
            </w:r>
          </w:p>
        </w:tc>
        <w:tc>
          <w:tcPr>
            <w:tcW w:w="1779" w:type="dxa"/>
            <w:tcBorders>
              <w:top w:val="single" w:sz="4" w:space="0" w:color="auto"/>
              <w:left w:val="single" w:sz="4" w:space="0" w:color="auto"/>
              <w:bottom w:val="single" w:sz="4" w:space="0" w:color="auto"/>
              <w:right w:val="single" w:sz="4" w:space="0" w:color="auto"/>
            </w:tcBorders>
            <w:vAlign w:val="center"/>
          </w:tcPr>
          <w:p w14:paraId="65F70C18" w14:textId="77777777" w:rsidR="00256464" w:rsidRDefault="00256464">
            <w:pPr>
              <w:rPr>
                <w:rFonts w:eastAsia="微软雅黑"/>
                <w:color w:val="000000" w:themeColor="text1"/>
                <w:sz w:val="24"/>
              </w:rPr>
            </w:pPr>
          </w:p>
        </w:tc>
        <w:tc>
          <w:tcPr>
            <w:tcW w:w="1230" w:type="dxa"/>
            <w:gridSpan w:val="2"/>
            <w:tcBorders>
              <w:top w:val="single" w:sz="4" w:space="0" w:color="auto"/>
              <w:left w:val="single" w:sz="4" w:space="0" w:color="auto"/>
              <w:bottom w:val="single" w:sz="4" w:space="0" w:color="auto"/>
              <w:right w:val="single" w:sz="4" w:space="0" w:color="auto"/>
            </w:tcBorders>
            <w:vAlign w:val="center"/>
          </w:tcPr>
          <w:p w14:paraId="5197E8DB" w14:textId="77777777" w:rsidR="00256464" w:rsidRDefault="00000000">
            <w:pPr>
              <w:rPr>
                <w:rFonts w:eastAsia="微软雅黑"/>
                <w:b/>
                <w:color w:val="000000" w:themeColor="text1"/>
                <w:sz w:val="24"/>
              </w:rPr>
            </w:pPr>
            <w:r>
              <w:rPr>
                <w:rFonts w:eastAsia="微软雅黑" w:hint="eastAsia"/>
                <w:b/>
                <w:color w:val="000000" w:themeColor="text1"/>
                <w:sz w:val="24"/>
              </w:rPr>
              <w:t>性</w:t>
            </w:r>
            <w:r>
              <w:rPr>
                <w:rFonts w:eastAsia="微软雅黑" w:hint="eastAsia"/>
                <w:b/>
                <w:color w:val="000000" w:themeColor="text1"/>
                <w:sz w:val="24"/>
              </w:rPr>
              <w:t xml:space="preserve">  </w:t>
            </w:r>
            <w:r>
              <w:rPr>
                <w:rFonts w:eastAsia="微软雅黑" w:hint="eastAsia"/>
                <w:b/>
                <w:color w:val="000000" w:themeColor="text1"/>
                <w:sz w:val="24"/>
              </w:rPr>
              <w:t>别</w:t>
            </w:r>
          </w:p>
        </w:tc>
        <w:tc>
          <w:tcPr>
            <w:tcW w:w="733" w:type="dxa"/>
            <w:tcBorders>
              <w:top w:val="single" w:sz="4" w:space="0" w:color="auto"/>
              <w:left w:val="single" w:sz="4" w:space="0" w:color="auto"/>
              <w:bottom w:val="single" w:sz="4" w:space="0" w:color="auto"/>
              <w:right w:val="single" w:sz="4" w:space="0" w:color="auto"/>
            </w:tcBorders>
            <w:vAlign w:val="center"/>
          </w:tcPr>
          <w:p w14:paraId="4BCD083A" w14:textId="77777777" w:rsidR="00256464" w:rsidRDefault="00256464">
            <w:pPr>
              <w:rPr>
                <w:rFonts w:eastAsia="微软雅黑"/>
                <w:color w:val="000000" w:themeColor="text1"/>
                <w:sz w:val="24"/>
              </w:rPr>
            </w:pPr>
          </w:p>
        </w:tc>
        <w:tc>
          <w:tcPr>
            <w:tcW w:w="1043" w:type="dxa"/>
            <w:tcBorders>
              <w:top w:val="single" w:sz="4" w:space="0" w:color="auto"/>
              <w:left w:val="single" w:sz="4" w:space="0" w:color="auto"/>
              <w:bottom w:val="single" w:sz="4" w:space="0" w:color="auto"/>
              <w:right w:val="single" w:sz="4" w:space="0" w:color="auto"/>
            </w:tcBorders>
            <w:vAlign w:val="center"/>
          </w:tcPr>
          <w:p w14:paraId="13C17DC7" w14:textId="77777777" w:rsidR="00256464" w:rsidRDefault="00000000">
            <w:pPr>
              <w:rPr>
                <w:rFonts w:eastAsia="微软雅黑"/>
                <w:b/>
                <w:color w:val="000000" w:themeColor="text1"/>
                <w:sz w:val="24"/>
              </w:rPr>
            </w:pPr>
            <w:r>
              <w:rPr>
                <w:rFonts w:eastAsia="微软雅黑" w:hint="eastAsia"/>
                <w:b/>
                <w:color w:val="000000" w:themeColor="text1"/>
                <w:sz w:val="24"/>
              </w:rPr>
              <w:t>年</w:t>
            </w:r>
            <w:r>
              <w:rPr>
                <w:rFonts w:eastAsia="微软雅黑" w:hint="eastAsia"/>
                <w:b/>
                <w:color w:val="000000" w:themeColor="text1"/>
                <w:sz w:val="24"/>
              </w:rPr>
              <w:t xml:space="preserve">  </w:t>
            </w:r>
            <w:r>
              <w:rPr>
                <w:rFonts w:eastAsia="微软雅黑" w:hint="eastAsia"/>
                <w:b/>
                <w:color w:val="000000" w:themeColor="text1"/>
                <w:sz w:val="24"/>
              </w:rPr>
              <w:t>龄</w:t>
            </w:r>
          </w:p>
        </w:tc>
        <w:tc>
          <w:tcPr>
            <w:tcW w:w="1215" w:type="dxa"/>
            <w:gridSpan w:val="2"/>
            <w:tcBorders>
              <w:top w:val="single" w:sz="4" w:space="0" w:color="auto"/>
              <w:left w:val="single" w:sz="4" w:space="0" w:color="auto"/>
              <w:bottom w:val="single" w:sz="4" w:space="0" w:color="auto"/>
              <w:right w:val="single" w:sz="4" w:space="0" w:color="auto"/>
            </w:tcBorders>
            <w:vAlign w:val="center"/>
          </w:tcPr>
          <w:p w14:paraId="0102F391" w14:textId="77777777" w:rsidR="00256464" w:rsidRDefault="00256464">
            <w:pPr>
              <w:rPr>
                <w:rFonts w:eastAsia="微软雅黑"/>
                <w:color w:val="000000" w:themeColor="text1"/>
                <w:sz w:val="24"/>
              </w:rPr>
            </w:pPr>
          </w:p>
        </w:tc>
        <w:tc>
          <w:tcPr>
            <w:tcW w:w="1389" w:type="dxa"/>
            <w:tcBorders>
              <w:top w:val="single" w:sz="4" w:space="0" w:color="auto"/>
              <w:left w:val="single" w:sz="4" w:space="0" w:color="auto"/>
              <w:bottom w:val="single" w:sz="4" w:space="0" w:color="auto"/>
              <w:right w:val="single" w:sz="4" w:space="0" w:color="auto"/>
            </w:tcBorders>
            <w:vAlign w:val="center"/>
          </w:tcPr>
          <w:p w14:paraId="6946C4F6" w14:textId="77777777" w:rsidR="00256464" w:rsidRDefault="00000000">
            <w:pPr>
              <w:rPr>
                <w:rFonts w:eastAsia="微软雅黑"/>
                <w:color w:val="000000" w:themeColor="text1"/>
                <w:sz w:val="24"/>
              </w:rPr>
            </w:pPr>
            <w:r>
              <w:rPr>
                <w:rFonts w:eastAsia="微软雅黑" w:hint="eastAsia"/>
                <w:b/>
                <w:color w:val="000000" w:themeColor="text1"/>
                <w:sz w:val="24"/>
              </w:rPr>
              <w:t>病理号</w:t>
            </w:r>
          </w:p>
        </w:tc>
        <w:tc>
          <w:tcPr>
            <w:tcW w:w="1771" w:type="dxa"/>
            <w:tcBorders>
              <w:top w:val="single" w:sz="4" w:space="0" w:color="auto"/>
              <w:left w:val="single" w:sz="4" w:space="0" w:color="auto"/>
              <w:bottom w:val="single" w:sz="4" w:space="0" w:color="auto"/>
              <w:right w:val="single" w:sz="4" w:space="0" w:color="auto"/>
            </w:tcBorders>
            <w:vAlign w:val="center"/>
          </w:tcPr>
          <w:p w14:paraId="5AFEEF8D" w14:textId="77777777" w:rsidR="00256464" w:rsidRDefault="00256464">
            <w:pPr>
              <w:rPr>
                <w:rFonts w:eastAsia="微软雅黑"/>
                <w:color w:val="000000" w:themeColor="text1"/>
                <w:sz w:val="24"/>
              </w:rPr>
            </w:pPr>
          </w:p>
        </w:tc>
      </w:tr>
      <w:tr w:rsidR="00256464" w14:paraId="540B4F74" w14:textId="77777777" w:rsidTr="00CD0E6C">
        <w:trPr>
          <w:trHeight w:val="848"/>
        </w:trPr>
        <w:tc>
          <w:tcPr>
            <w:tcW w:w="1407" w:type="dxa"/>
            <w:tcBorders>
              <w:top w:val="single" w:sz="4" w:space="0" w:color="auto"/>
              <w:left w:val="single" w:sz="4" w:space="0" w:color="auto"/>
              <w:bottom w:val="single" w:sz="4" w:space="0" w:color="auto"/>
              <w:right w:val="single" w:sz="4" w:space="0" w:color="auto"/>
            </w:tcBorders>
          </w:tcPr>
          <w:p w14:paraId="7ED8245B" w14:textId="77777777" w:rsidR="00256464" w:rsidRDefault="00000000">
            <w:pPr>
              <w:rPr>
                <w:rFonts w:eastAsia="微软雅黑"/>
                <w:b/>
                <w:sz w:val="24"/>
              </w:rPr>
            </w:pPr>
            <w:r>
              <w:rPr>
                <w:rFonts w:eastAsia="微软雅黑" w:hint="eastAsia"/>
                <w:b/>
                <w:sz w:val="24"/>
              </w:rPr>
              <w:t>送检科室</w:t>
            </w:r>
          </w:p>
        </w:tc>
        <w:tc>
          <w:tcPr>
            <w:tcW w:w="1779" w:type="dxa"/>
            <w:tcBorders>
              <w:top w:val="single" w:sz="4" w:space="0" w:color="auto"/>
              <w:left w:val="single" w:sz="4" w:space="0" w:color="auto"/>
              <w:bottom w:val="single" w:sz="4" w:space="0" w:color="auto"/>
              <w:right w:val="single" w:sz="4" w:space="0" w:color="auto"/>
            </w:tcBorders>
          </w:tcPr>
          <w:p w14:paraId="44F7B0AB" w14:textId="77777777" w:rsidR="00256464" w:rsidRDefault="00256464">
            <w:pPr>
              <w:rPr>
                <w:rFonts w:eastAsia="微软雅黑"/>
                <w:color w:val="000000" w:themeColor="text1"/>
                <w:sz w:val="24"/>
              </w:rPr>
            </w:pPr>
          </w:p>
        </w:tc>
        <w:tc>
          <w:tcPr>
            <w:tcW w:w="1230" w:type="dxa"/>
            <w:gridSpan w:val="2"/>
            <w:tcBorders>
              <w:top w:val="single" w:sz="4" w:space="0" w:color="auto"/>
              <w:left w:val="single" w:sz="4" w:space="0" w:color="auto"/>
              <w:bottom w:val="single" w:sz="4" w:space="0" w:color="auto"/>
              <w:right w:val="single" w:sz="4" w:space="0" w:color="auto"/>
            </w:tcBorders>
          </w:tcPr>
          <w:p w14:paraId="6D416E01" w14:textId="77777777" w:rsidR="00256464" w:rsidRDefault="00000000">
            <w:pPr>
              <w:rPr>
                <w:rFonts w:eastAsia="微软雅黑"/>
                <w:b/>
                <w:color w:val="000000" w:themeColor="text1"/>
                <w:sz w:val="24"/>
              </w:rPr>
            </w:pPr>
            <w:r>
              <w:rPr>
                <w:rFonts w:eastAsia="微软雅黑" w:hint="eastAsia"/>
                <w:b/>
                <w:color w:val="000000" w:themeColor="text1"/>
                <w:sz w:val="24"/>
              </w:rPr>
              <w:t>送检医师</w:t>
            </w:r>
          </w:p>
        </w:tc>
        <w:tc>
          <w:tcPr>
            <w:tcW w:w="1776" w:type="dxa"/>
            <w:gridSpan w:val="2"/>
            <w:tcBorders>
              <w:top w:val="single" w:sz="4" w:space="0" w:color="auto"/>
              <w:left w:val="single" w:sz="4" w:space="0" w:color="auto"/>
              <w:bottom w:val="single" w:sz="4" w:space="0" w:color="auto"/>
              <w:right w:val="single" w:sz="4" w:space="0" w:color="auto"/>
            </w:tcBorders>
          </w:tcPr>
          <w:p w14:paraId="02260D0F" w14:textId="77777777" w:rsidR="00256464" w:rsidRDefault="00256464">
            <w:pPr>
              <w:jc w:val="center"/>
              <w:rPr>
                <w:rFonts w:eastAsia="微软雅黑"/>
                <w:color w:val="000000" w:themeColor="text1"/>
                <w:sz w:val="24"/>
              </w:rPr>
            </w:pPr>
          </w:p>
        </w:tc>
        <w:tc>
          <w:tcPr>
            <w:tcW w:w="1215" w:type="dxa"/>
            <w:gridSpan w:val="2"/>
            <w:tcBorders>
              <w:top w:val="single" w:sz="4" w:space="0" w:color="auto"/>
              <w:left w:val="single" w:sz="4" w:space="0" w:color="auto"/>
              <w:bottom w:val="single" w:sz="4" w:space="0" w:color="auto"/>
              <w:right w:val="single" w:sz="4" w:space="0" w:color="auto"/>
            </w:tcBorders>
          </w:tcPr>
          <w:p w14:paraId="08CFB31F" w14:textId="77777777" w:rsidR="00256464" w:rsidRDefault="00000000">
            <w:pPr>
              <w:rPr>
                <w:rFonts w:eastAsia="微软雅黑"/>
                <w:color w:val="000000" w:themeColor="text1"/>
                <w:sz w:val="24"/>
              </w:rPr>
            </w:pPr>
            <w:r>
              <w:rPr>
                <w:rFonts w:eastAsia="微软雅黑" w:hint="eastAsia"/>
                <w:b/>
                <w:color w:val="000000" w:themeColor="text1"/>
                <w:sz w:val="24"/>
              </w:rPr>
              <w:t>标本类型</w:t>
            </w:r>
          </w:p>
        </w:tc>
        <w:tc>
          <w:tcPr>
            <w:tcW w:w="3161" w:type="dxa"/>
            <w:gridSpan w:val="2"/>
            <w:tcBorders>
              <w:top w:val="single" w:sz="4" w:space="0" w:color="auto"/>
              <w:left w:val="single" w:sz="4" w:space="0" w:color="auto"/>
              <w:bottom w:val="single" w:sz="4" w:space="0" w:color="auto"/>
              <w:right w:val="single" w:sz="4" w:space="0" w:color="auto"/>
            </w:tcBorders>
            <w:vAlign w:val="center"/>
          </w:tcPr>
          <w:p w14:paraId="2317685C" w14:textId="77777777" w:rsidR="00256464" w:rsidRDefault="00256464">
            <w:pPr>
              <w:rPr>
                <w:rFonts w:eastAsia="微软雅黑"/>
                <w:color w:val="000000" w:themeColor="text1"/>
                <w:sz w:val="24"/>
              </w:rPr>
            </w:pPr>
          </w:p>
        </w:tc>
      </w:tr>
      <w:tr w:rsidR="00256464" w14:paraId="032BAA34" w14:textId="77777777" w:rsidTr="00CD0E6C">
        <w:trPr>
          <w:trHeight w:val="848"/>
        </w:trPr>
        <w:tc>
          <w:tcPr>
            <w:tcW w:w="1407" w:type="dxa"/>
            <w:tcBorders>
              <w:top w:val="single" w:sz="4" w:space="0" w:color="auto"/>
              <w:left w:val="single" w:sz="4" w:space="0" w:color="auto"/>
              <w:bottom w:val="single" w:sz="4" w:space="0" w:color="auto"/>
              <w:right w:val="single" w:sz="4" w:space="0" w:color="auto"/>
            </w:tcBorders>
          </w:tcPr>
          <w:p w14:paraId="50F3EF04" w14:textId="77777777" w:rsidR="00256464" w:rsidRDefault="00000000">
            <w:pPr>
              <w:rPr>
                <w:rFonts w:eastAsia="微软雅黑"/>
                <w:b/>
                <w:sz w:val="24"/>
              </w:rPr>
            </w:pPr>
            <w:r>
              <w:rPr>
                <w:rFonts w:eastAsia="微软雅黑" w:hint="eastAsia"/>
                <w:b/>
                <w:sz w:val="24"/>
              </w:rPr>
              <w:t>检测项目</w:t>
            </w:r>
          </w:p>
        </w:tc>
        <w:tc>
          <w:tcPr>
            <w:tcW w:w="4787" w:type="dxa"/>
            <w:gridSpan w:val="5"/>
            <w:tcBorders>
              <w:top w:val="single" w:sz="4" w:space="0" w:color="auto"/>
              <w:left w:val="single" w:sz="4" w:space="0" w:color="auto"/>
              <w:bottom w:val="single" w:sz="4" w:space="0" w:color="auto"/>
              <w:right w:val="single" w:sz="4" w:space="0" w:color="auto"/>
            </w:tcBorders>
          </w:tcPr>
          <w:p w14:paraId="392554C1" w14:textId="77777777" w:rsidR="00256464" w:rsidRDefault="00000000">
            <w:pPr>
              <w:rPr>
                <w:rFonts w:eastAsia="微软雅黑" w:cs="微软雅黑"/>
                <w:kern w:val="0"/>
                <w:szCs w:val="21"/>
              </w:rPr>
            </w:pPr>
            <w:r>
              <w:rPr>
                <w:rFonts w:eastAsia="微软雅黑" w:cs="微软雅黑" w:hint="eastAsia"/>
                <w:kern w:val="0"/>
                <w:sz w:val="32"/>
                <w:szCs w:val="32"/>
              </w:rPr>
              <w:t>CP200</w:t>
            </w:r>
          </w:p>
        </w:tc>
        <w:tc>
          <w:tcPr>
            <w:tcW w:w="1215" w:type="dxa"/>
            <w:gridSpan w:val="2"/>
            <w:tcBorders>
              <w:top w:val="single" w:sz="4" w:space="0" w:color="auto"/>
              <w:left w:val="single" w:sz="4" w:space="0" w:color="auto"/>
              <w:bottom w:val="single" w:sz="4" w:space="0" w:color="auto"/>
              <w:right w:val="single" w:sz="4" w:space="0" w:color="auto"/>
            </w:tcBorders>
          </w:tcPr>
          <w:p w14:paraId="683143F5" w14:textId="77777777" w:rsidR="00256464" w:rsidRDefault="00000000">
            <w:pPr>
              <w:rPr>
                <w:rFonts w:eastAsia="微软雅黑"/>
                <w:b/>
                <w:sz w:val="24"/>
              </w:rPr>
            </w:pPr>
            <w:r>
              <w:rPr>
                <w:rFonts w:eastAsia="微软雅黑" w:hint="eastAsia"/>
                <w:b/>
                <w:sz w:val="24"/>
              </w:rPr>
              <w:t>检测方法</w:t>
            </w:r>
          </w:p>
        </w:tc>
        <w:tc>
          <w:tcPr>
            <w:tcW w:w="3161" w:type="dxa"/>
            <w:gridSpan w:val="2"/>
            <w:tcBorders>
              <w:top w:val="single" w:sz="4" w:space="0" w:color="auto"/>
              <w:left w:val="single" w:sz="4" w:space="0" w:color="auto"/>
              <w:bottom w:val="single" w:sz="4" w:space="0" w:color="auto"/>
              <w:right w:val="single" w:sz="4" w:space="0" w:color="auto"/>
            </w:tcBorders>
          </w:tcPr>
          <w:p w14:paraId="4508F1A9" w14:textId="77777777" w:rsidR="00256464" w:rsidRDefault="00256464">
            <w:pPr>
              <w:rPr>
                <w:rFonts w:eastAsia="微软雅黑" w:cs="微软雅黑"/>
                <w:kern w:val="0"/>
                <w:sz w:val="24"/>
              </w:rPr>
            </w:pPr>
          </w:p>
        </w:tc>
      </w:tr>
      <w:tr w:rsidR="00256464" w14:paraId="1D2FCA63" w14:textId="77777777" w:rsidTr="00CD0E6C">
        <w:trPr>
          <w:trHeight w:val="848"/>
        </w:trPr>
        <w:tc>
          <w:tcPr>
            <w:tcW w:w="1407" w:type="dxa"/>
            <w:tcBorders>
              <w:top w:val="single" w:sz="4" w:space="0" w:color="auto"/>
              <w:left w:val="single" w:sz="4" w:space="0" w:color="auto"/>
              <w:bottom w:val="single" w:sz="4" w:space="0" w:color="auto"/>
              <w:right w:val="single" w:sz="4" w:space="0" w:color="auto"/>
            </w:tcBorders>
          </w:tcPr>
          <w:p w14:paraId="3D2D3D25" w14:textId="77777777" w:rsidR="00256464" w:rsidRDefault="00000000">
            <w:pPr>
              <w:rPr>
                <w:rFonts w:eastAsia="微软雅黑"/>
                <w:b/>
                <w:sz w:val="28"/>
                <w:szCs w:val="28"/>
              </w:rPr>
            </w:pPr>
            <w:r>
              <w:rPr>
                <w:rFonts w:eastAsia="微软雅黑" w:hint="eastAsia"/>
                <w:b/>
                <w:sz w:val="24"/>
              </w:rPr>
              <w:t>检测位点</w:t>
            </w:r>
          </w:p>
        </w:tc>
        <w:tc>
          <w:tcPr>
            <w:tcW w:w="9164" w:type="dxa"/>
            <w:gridSpan w:val="9"/>
            <w:tcBorders>
              <w:top w:val="single" w:sz="4" w:space="0" w:color="auto"/>
              <w:left w:val="single" w:sz="4" w:space="0" w:color="auto"/>
              <w:bottom w:val="single" w:sz="4" w:space="0" w:color="auto"/>
              <w:right w:val="single" w:sz="4" w:space="0" w:color="auto"/>
            </w:tcBorders>
          </w:tcPr>
          <w:p w14:paraId="0B8F8D63" w14:textId="77777777" w:rsidR="00256464" w:rsidRDefault="00256464">
            <w:pPr>
              <w:rPr>
                <w:rFonts w:eastAsia="微软雅黑"/>
                <w:b/>
                <w:sz w:val="28"/>
                <w:szCs w:val="28"/>
              </w:rPr>
            </w:pPr>
          </w:p>
        </w:tc>
      </w:tr>
      <w:tr w:rsidR="00256464" w14:paraId="24C0854D" w14:textId="77777777" w:rsidTr="00CD0E6C">
        <w:trPr>
          <w:cantSplit/>
          <w:trHeight w:val="4173"/>
        </w:trPr>
        <w:tc>
          <w:tcPr>
            <w:tcW w:w="10571" w:type="dxa"/>
            <w:gridSpan w:val="10"/>
            <w:tcBorders>
              <w:top w:val="single" w:sz="4" w:space="0" w:color="auto"/>
              <w:left w:val="single" w:sz="4" w:space="0" w:color="auto"/>
              <w:bottom w:val="single" w:sz="4" w:space="0" w:color="auto"/>
              <w:right w:val="single" w:sz="4" w:space="0" w:color="auto"/>
            </w:tcBorders>
          </w:tcPr>
          <w:p w14:paraId="4D73ED03" w14:textId="77777777" w:rsidR="00256464" w:rsidRDefault="00000000">
            <w:pPr>
              <w:spacing w:line="360" w:lineRule="auto"/>
              <w:rPr>
                <w:rFonts w:eastAsia="微软雅黑"/>
                <w:b/>
                <w:sz w:val="24"/>
              </w:rPr>
            </w:pPr>
            <w:r>
              <w:rPr>
                <w:rFonts w:eastAsia="微软雅黑" w:hint="eastAsia"/>
                <w:b/>
                <w:sz w:val="24"/>
              </w:rPr>
              <w:t>检测结果</w:t>
            </w:r>
            <w:r>
              <w:rPr>
                <w:rFonts w:eastAsia="微软雅黑" w:hint="eastAsia"/>
                <w:b/>
                <w:sz w:val="24"/>
              </w:rPr>
              <w:t>:</w:t>
            </w:r>
          </w:p>
          <w:p w14:paraId="73587D01" w14:textId="77777777" w:rsidR="00256464" w:rsidRDefault="00256464">
            <w:pPr>
              <w:spacing w:line="120" w:lineRule="auto"/>
              <w:ind w:leftChars="100" w:left="210"/>
              <w:rPr>
                <w:rFonts w:eastAsia="微软雅黑"/>
                <w:sz w:val="18"/>
                <w:szCs w:val="18"/>
              </w:rPr>
            </w:pPr>
          </w:p>
        </w:tc>
      </w:tr>
      <w:tr w:rsidR="00256464" w14:paraId="49896771" w14:textId="77777777" w:rsidTr="00CD0E6C">
        <w:trPr>
          <w:trHeight w:val="3097"/>
        </w:trPr>
        <w:tc>
          <w:tcPr>
            <w:tcW w:w="10571" w:type="dxa"/>
            <w:gridSpan w:val="10"/>
            <w:tcBorders>
              <w:top w:val="single" w:sz="4" w:space="0" w:color="auto"/>
              <w:left w:val="single" w:sz="4" w:space="0" w:color="auto"/>
              <w:bottom w:val="single" w:sz="4" w:space="0" w:color="auto"/>
              <w:right w:val="single" w:sz="4" w:space="0" w:color="auto"/>
            </w:tcBorders>
          </w:tcPr>
          <w:p w14:paraId="08C6B138" w14:textId="77777777" w:rsidR="00256464" w:rsidRDefault="00256464">
            <w:pPr>
              <w:spacing w:line="500" w:lineRule="exact"/>
              <w:jc w:val="left"/>
              <w:rPr>
                <w:rFonts w:eastAsia="微软雅黑"/>
                <w:bCs/>
                <w:szCs w:val="21"/>
              </w:rPr>
            </w:pPr>
          </w:p>
        </w:tc>
      </w:tr>
      <w:tr w:rsidR="00256464" w14:paraId="0C4D8E10" w14:textId="77777777" w:rsidTr="00CD0E6C">
        <w:trPr>
          <w:trHeight w:val="773"/>
        </w:trPr>
        <w:tc>
          <w:tcPr>
            <w:tcW w:w="3403" w:type="dxa"/>
            <w:gridSpan w:val="3"/>
            <w:tcBorders>
              <w:top w:val="single" w:sz="4" w:space="0" w:color="auto"/>
              <w:left w:val="nil"/>
              <w:bottom w:val="single" w:sz="4" w:space="0" w:color="auto"/>
              <w:right w:val="nil"/>
            </w:tcBorders>
          </w:tcPr>
          <w:p w14:paraId="3752396F" w14:textId="77777777" w:rsidR="00256464" w:rsidRDefault="00000000">
            <w:pPr>
              <w:rPr>
                <w:rFonts w:eastAsia="微软雅黑"/>
                <w:b/>
                <w:sz w:val="24"/>
              </w:rPr>
            </w:pPr>
            <w:r>
              <w:rPr>
                <w:noProof/>
                <w:sz w:val="28"/>
              </w:rPr>
              <mc:AlternateContent>
                <mc:Choice Requires="wps">
                  <w:drawing>
                    <wp:anchor distT="0" distB="0" distL="114300" distR="114300" simplePos="0" relativeHeight="251675648" behindDoc="0" locked="0" layoutInCell="1" allowOverlap="1" wp14:anchorId="5FF1DEF3" wp14:editId="5D02FC53">
                      <wp:simplePos x="0" y="0"/>
                      <wp:positionH relativeFrom="column">
                        <wp:posOffset>-99695</wp:posOffset>
                      </wp:positionH>
                      <wp:positionV relativeFrom="paragraph">
                        <wp:posOffset>469900</wp:posOffset>
                      </wp:positionV>
                      <wp:extent cx="2684780" cy="381635"/>
                      <wp:effectExtent l="4445" t="5080" r="15875" b="13335"/>
                      <wp:wrapNone/>
                      <wp:docPr id="2" name="文本框 2"/>
                      <wp:cNvGraphicFramePr/>
                      <a:graphic xmlns:a="http://schemas.openxmlformats.org/drawingml/2006/main">
                        <a:graphicData uri="http://schemas.microsoft.com/office/word/2010/wordprocessingShape">
                          <wps:wsp>
                            <wps:cNvSpPr txBox="1"/>
                            <wps:spPr>
                              <a:xfrm>
                                <a:off x="1575435" y="9533255"/>
                                <a:ext cx="2684780" cy="381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5678F8" w14:textId="77777777" w:rsidR="00256464"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注：本报告仅对进标本负责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FF1DEF3" id="_x0000_t202" coordsize="21600,21600" o:spt="202" path="m,l,21600r21600,l21600,xe">
                      <v:stroke joinstyle="miter"/>
                      <v:path gradientshapeok="t" o:connecttype="rect"/>
                    </v:shapetype>
                    <v:shape id="文本框 2" o:spid="_x0000_s1026" type="#_x0000_t202" style="position:absolute;left:0;text-align:left;margin-left:-7.85pt;margin-top:37pt;width:211.4pt;height:30.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" fillcolor="white [3201]" strokeweight=".5pt">
                      <v:textbox>
                        <w:txbxContent>
                          <w:p w14:paraId="145678F8" w14:textId="77777777" w:rsidR="00256464"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注：本报告仅对进标本负责</w:t>
                            </w:r>
                          </w:p>
                        </w:txbxContent>
                      </v:textbox>
                    </v:shape>
                  </w:pict>
                </mc:Fallback>
              </mc:AlternateContent>
            </w:r>
            <w:r>
              <w:rPr>
                <w:rFonts w:eastAsia="微软雅黑" w:hint="eastAsia"/>
                <w:b/>
                <w:sz w:val="24"/>
              </w:rPr>
              <w:t>实验技师：</w:t>
            </w:r>
          </w:p>
        </w:tc>
        <w:tc>
          <w:tcPr>
            <w:tcW w:w="3472" w:type="dxa"/>
            <w:gridSpan w:val="4"/>
            <w:tcBorders>
              <w:top w:val="single" w:sz="4" w:space="0" w:color="auto"/>
              <w:left w:val="nil"/>
              <w:bottom w:val="single" w:sz="4" w:space="0" w:color="auto"/>
              <w:right w:val="nil"/>
            </w:tcBorders>
          </w:tcPr>
          <w:p w14:paraId="687239ED" w14:textId="77777777" w:rsidR="00256464" w:rsidRDefault="00000000">
            <w:pPr>
              <w:rPr>
                <w:rFonts w:eastAsia="微软雅黑"/>
                <w:b/>
                <w:sz w:val="24"/>
              </w:rPr>
            </w:pPr>
            <w:r>
              <w:rPr>
                <w:rFonts w:eastAsia="微软雅黑" w:hint="eastAsia"/>
                <w:b/>
                <w:sz w:val="24"/>
              </w:rPr>
              <w:t>报告医师：</w:t>
            </w:r>
          </w:p>
        </w:tc>
        <w:tc>
          <w:tcPr>
            <w:tcW w:w="3695" w:type="dxa"/>
            <w:gridSpan w:val="3"/>
            <w:tcBorders>
              <w:top w:val="single" w:sz="4" w:space="0" w:color="auto"/>
              <w:left w:val="nil"/>
              <w:bottom w:val="single" w:sz="4" w:space="0" w:color="auto"/>
              <w:right w:val="nil"/>
            </w:tcBorders>
          </w:tcPr>
          <w:p w14:paraId="01253ACD" w14:textId="77777777" w:rsidR="00256464" w:rsidRDefault="00000000">
            <w:pPr>
              <w:rPr>
                <w:rFonts w:eastAsia="微软雅黑"/>
                <w:b/>
                <w:sz w:val="24"/>
              </w:rPr>
            </w:pPr>
            <w:r>
              <w:rPr>
                <w:rFonts w:eastAsia="微软雅黑" w:hint="eastAsia"/>
                <w:b/>
                <w:sz w:val="24"/>
              </w:rPr>
              <w:t>报告日期：</w:t>
            </w:r>
          </w:p>
        </w:tc>
      </w:tr>
    </w:tbl>
    <w:p w14:paraId="164FA926" w14:textId="77777777" w:rsidR="00256464" w:rsidRDefault="00000000">
      <w:pPr>
        <w:wordWrap w:val="0"/>
        <w:jc w:val="right"/>
        <w:rPr>
          <w:rFonts w:ascii="思源黑体 CN Bold" w:eastAsia="思源黑体 CN Bold" w:hAnsi="思源黑体 CN Bold" w:hint="eastAsia"/>
          <w:b/>
          <w:bCs/>
          <w:color w:val="FFFFFF" w:themeColor="background1"/>
          <w:sz w:val="28"/>
          <w:szCs w:val="28"/>
        </w:rPr>
      </w:pPr>
      <w:r>
        <w:rPr>
          <w:rFonts w:ascii="思源黑体 CN Bold" w:eastAsia="思源黑体 CN Bold" w:hAnsi="思源黑体 CN Bold" w:hint="eastAsia"/>
          <w:b/>
          <w:bCs/>
          <w:color w:val="FFFFFF" w:themeColor="background1"/>
          <w:sz w:val="28"/>
          <w:szCs w:val="2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6464" w14:paraId="097245A4" w14:textId="77777777">
        <w:tc>
          <w:tcPr>
            <w:tcW w:w="4673" w:type="dxa"/>
          </w:tcPr>
          <w:p w14:paraId="0918D1AA"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696D325" wp14:editId="732F07D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8302118" w14:textId="77777777" w:rsidR="00256464" w:rsidRDefault="00000000">
            <w:pPr>
              <w:ind w:firstLineChars="100" w:firstLine="300"/>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E4D5F75" wp14:editId="2953F1EF">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65pt;margin-top:3.45pt;height:25.3pt;width:92pt;mso-position-horizontal-relative:margin;z-index:-251657216;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bookmarkEnd w:id="0"/>
    </w:tbl>
    <w:p w14:paraId="7FE64AFA" w14:textId="77777777" w:rsidR="00256464" w:rsidRDefault="00256464">
      <w:pPr>
        <w:spacing w:line="240" w:lineRule="exact"/>
        <w:rPr>
          <w:rFonts w:ascii="思源黑体 CN Light" w:eastAsia="思源黑体 CN Light" w:hAnsi="思源黑体 CN Light" w:hint="eastAsia"/>
          <w:b/>
          <w:bCs/>
          <w:color w:val="1E7648"/>
          <w:sz w:val="24"/>
          <w:szCs w:val="24"/>
        </w:rPr>
      </w:pPr>
    </w:p>
    <w:p w14:paraId="40D74953" w14:textId="77777777" w:rsidR="00256464" w:rsidRDefault="00256464">
      <w:pPr>
        <w:spacing w:line="240" w:lineRule="exact"/>
        <w:rPr>
          <w:rFonts w:ascii="思源黑体 CN Normal" w:eastAsia="思源黑体 CN Normal" w:hAnsi="思源黑体 CN Normal" w:hint="eastAsia"/>
          <w:color w:val="000000" w:themeColor="text1"/>
          <w:sz w:val="17"/>
          <w:szCs w:val="17"/>
        </w:rPr>
      </w:pPr>
    </w:p>
    <w:p w14:paraId="1E24D7FC"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56464" w14:paraId="3DBB4EE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67EA86E" w14:textId="77777777" w:rsidR="00256464"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4103B2F"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256464" w14:paraId="2949B19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CE7258" w14:textId="77777777" w:rsidR="00256464" w:rsidRDefault="0000000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C057AEC"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Illumina/贝瑞基因测序平台、ADx-SEQ200 Plus测序仪、赛陆测序仪</w:t>
            </w:r>
          </w:p>
        </w:tc>
      </w:tr>
      <w:tr w:rsidR="00256464" w14:paraId="2FB679A4"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2E9918" w14:textId="77777777" w:rsidR="00256464"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5B3D9C8"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256464" w14:paraId="16D6FCFE"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66553F6" w14:textId="77777777" w:rsidR="00256464" w:rsidRDefault="0000000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852AD80" w14:textId="77777777" w:rsidR="00256464" w:rsidRDefault="0000000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50B4488E" w14:textId="77777777" w:rsidR="00256464" w:rsidRDefault="00000000">
      <w:pPr>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256464" w14:paraId="46A2B6E2" w14:textId="77777777" w:rsidTr="0025646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2F5056D7" w14:textId="77777777" w:rsidR="00256464"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3820351F" w14:textId="77777777" w:rsidR="00256464" w:rsidRDefault="00000000">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56464" w14:paraId="5532C351" w14:textId="77777777" w:rsidTr="00256464">
        <w:trPr>
          <w:trHeight w:val="454"/>
        </w:trPr>
        <w:tc>
          <w:tcPr>
            <w:tcW w:w="3505" w:type="dxa"/>
          </w:tcPr>
          <w:p w14:paraId="6B4EE706" w14:textId="77777777" w:rsidR="00256464" w:rsidRDefault="00000000">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D01B2BC" w14:textId="77777777" w:rsidR="00256464" w:rsidRDefault="0000000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检出5个变异，其中具有临床意义的变异有2个，肿瘤发生发展相关变异有0个。具有临床意义的变异有EGFR p.(S752_I759delinsEG), TP53 p.(R280T)。</w:t>
            </w:r>
          </w:p>
        </w:tc>
      </w:tr>
      <w:tr w:rsidR="00256464" w14:paraId="36EF3831" w14:textId="77777777" w:rsidTr="00256464">
        <w:trPr>
          <w:trHeight w:val="454"/>
        </w:trPr>
        <w:tc>
          <w:tcPr>
            <w:tcW w:w="3505" w:type="dxa"/>
          </w:tcPr>
          <w:p w14:paraId="177BDF48" w14:textId="77777777" w:rsidR="00256464" w:rsidRDefault="00000000">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0631935E" w14:textId="77777777" w:rsidR="00256464" w:rsidRDefault="0000000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tc>
      </w:tr>
      <w:tr w:rsidR="00256464" w14:paraId="37A059AB" w14:textId="77777777" w:rsidTr="00256464">
        <w:trPr>
          <w:trHeight w:val="454"/>
        </w:trPr>
        <w:tc>
          <w:tcPr>
            <w:tcW w:w="3505" w:type="dxa"/>
          </w:tcPr>
          <w:p w14:paraId="124B8EBD" w14:textId="77777777" w:rsidR="00256464" w:rsidRDefault="00000000">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77AFA174" w14:textId="77777777" w:rsidR="00256464" w:rsidRDefault="0000000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TP53 p.(R280T)（疗效正相关）；</w:t>
            </w:r>
          </w:p>
          <w:p w14:paraId="27D1D335" w14:textId="77777777" w:rsidR="00256464" w:rsidRDefault="0000000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p.(S752_I759delinsEG)（疗效负相关）。</w:t>
            </w:r>
          </w:p>
        </w:tc>
      </w:tr>
    </w:tbl>
    <w:p w14:paraId="1D9CBE8E"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47015D" w14:textId="77777777" w:rsidR="00256464" w:rsidRDefault="00000000">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C0C13F8" w14:textId="77777777" w:rsidR="00256464" w:rsidRDefault="00000000">
      <w:pPr>
        <w:pStyle w:val="af5"/>
        <w:numPr>
          <w:ilvl w:val="0"/>
          <w:numId w:val="1"/>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3666DA00"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2C601BA"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Hlk39059790"/>
      <w:bookmarkStart w:id="2" w:name="_Toc41565900"/>
      <w:bookmarkStart w:id="3" w:name="_Toc41567090"/>
      <w:bookmarkStart w:id="4" w:name="_Toc41566816"/>
      <w:bookmarkStart w:id="5" w:name="_Toc42102366"/>
      <w:bookmarkStart w:id="6" w:name="_Toc41567058"/>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256464" w14:paraId="0D8A8B65" w14:textId="77777777" w:rsidTr="00256464">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213CFA3D" w14:textId="77777777" w:rsidR="00256464" w:rsidRDefault="00000000">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3B58BC72" w14:textId="77777777" w:rsidR="00256464" w:rsidRDefault="00000000">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5642236D" w14:textId="77777777" w:rsidR="00256464" w:rsidRDefault="00000000">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4255E769" w14:textId="77777777" w:rsidR="00256464" w:rsidRDefault="00000000">
            <w:pPr>
              <w:spacing w:line="360" w:lineRule="exact"/>
              <w:jc w:val="center"/>
              <w:rPr>
                <w:rFonts w:ascii="思源黑体 CN Normal" w:eastAsia="思源黑体 CN Normal" w:hAnsi="思源黑体 CN Normal" w:cs="思源黑体 CN Light" w:hint="eastAsia"/>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749B86AD" w14:textId="77777777" w:rsidR="00256464" w:rsidRDefault="00000000">
            <w:pPr>
              <w:adjustRightInd w:val="0"/>
              <w:snapToGrid w:val="0"/>
              <w:spacing w:line="360" w:lineRule="exact"/>
              <w:jc w:val="center"/>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256464" w14:paraId="06053BDB" w14:textId="77777777" w:rsidTr="00256464">
        <w:trPr>
          <w:trHeight w:val="397"/>
        </w:trPr>
        <w:tc>
          <w:tcPr>
            <w:tcW w:w="1555" w:type="dxa"/>
          </w:tcPr>
          <w:p w14:paraId="17124E94" w14:textId="77777777" w:rsidR="00256464" w:rsidRDefault="000000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bCs/>
                <w:i/>
                <w:sz w:val="17"/>
                <w:szCs w:val="17"/>
              </w:rPr>
              <w:t>EGFR</w:t>
            </w:r>
          </w:p>
        </w:tc>
        <w:tc>
          <w:tcPr>
            <w:tcW w:w="2976" w:type="dxa"/>
          </w:tcPr>
          <w:p w14:paraId="345D2FAD"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exon19 c.2254_2276delinsGAAGG p.(S752_I759delinsEG)</w:t>
            </w:r>
          </w:p>
          <w:p w14:paraId="75FAC441"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NM_005228.5</w:t>
            </w:r>
          </w:p>
        </w:tc>
        <w:tc>
          <w:tcPr>
            <w:tcW w:w="1276" w:type="dxa"/>
          </w:tcPr>
          <w:p w14:paraId="3047EB99" w14:textId="77777777" w:rsidR="00256464" w:rsidRDefault="000000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21.65</w:t>
            </w:r>
            <w:r>
              <w:rPr>
                <w:rFonts w:ascii="思源黑体 CN Normal" w:eastAsia="思源黑体 CN Normal" w:hAnsi="思源黑体 CN Normal"/>
                <w:color w:val="000000" w:themeColor="text1"/>
                <w:kern w:val="0"/>
                <w:sz w:val="17"/>
                <w:szCs w:val="17"/>
              </w:rPr>
              <w:t>%</w:t>
            </w:r>
          </w:p>
        </w:tc>
        <w:tc>
          <w:tcPr>
            <w:tcW w:w="709" w:type="dxa"/>
          </w:tcPr>
          <w:p w14:paraId="52261B55" w14:textId="77777777" w:rsidR="00256464" w:rsidRDefault="0000000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1AF3620D" w14:textId="77777777" w:rsidR="00256464" w:rsidRDefault="00000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阿法替尼（敏感，A级）</w:t>
            </w:r>
            <w:r>
              <w:rPr>
                <w:rFonts w:ascii="思源黑体 CN Normal" w:eastAsia="思源黑体 CN Normal" w:hAnsi="思源黑体 CN Normal"/>
                <w:iCs/>
                <w:sz w:val="17"/>
                <w:szCs w:val="17"/>
              </w:rPr>
              <w:br/>
              <w:t>阿美替尼（敏感，A级）</w:t>
            </w:r>
            <w:r>
              <w:rPr>
                <w:rFonts w:ascii="思源黑体 CN Normal" w:eastAsia="思源黑体 CN Normal" w:hAnsi="思源黑体 CN Normal"/>
                <w:iCs/>
                <w:sz w:val="17"/>
                <w:szCs w:val="17"/>
              </w:rPr>
              <w:br/>
              <w:t>埃克替尼（敏感，A级）</w:t>
            </w:r>
            <w:r>
              <w:rPr>
                <w:rFonts w:ascii="思源黑体 CN Normal" w:eastAsia="思源黑体 CN Normal" w:hAnsi="思源黑体 CN Normal"/>
                <w:iCs/>
                <w:sz w:val="17"/>
                <w:szCs w:val="17"/>
              </w:rPr>
              <w:br/>
              <w:t>埃万妥单抗+卡铂+培美曲塞（敏感，A级）</w:t>
            </w:r>
            <w:r>
              <w:rPr>
                <w:rFonts w:ascii="思源黑体 CN Normal" w:eastAsia="思源黑体 CN Normal" w:hAnsi="思源黑体 CN Normal"/>
                <w:iCs/>
                <w:sz w:val="17"/>
                <w:szCs w:val="17"/>
              </w:rPr>
              <w:br/>
              <w:t>埃万妥单抗+兰泽替尼（敏感，A级）</w:t>
            </w:r>
            <w:r>
              <w:rPr>
                <w:rFonts w:ascii="思源黑体 CN Normal" w:eastAsia="思源黑体 CN Normal" w:hAnsi="思源黑体 CN Normal"/>
                <w:iCs/>
                <w:sz w:val="17"/>
                <w:szCs w:val="17"/>
              </w:rPr>
              <w:br/>
              <w:t>奥希替尼（敏感，A级）</w:t>
            </w:r>
            <w:r>
              <w:rPr>
                <w:rFonts w:ascii="思源黑体 CN Normal" w:eastAsia="思源黑体 CN Normal" w:hAnsi="思源黑体 CN Normal"/>
                <w:iCs/>
                <w:sz w:val="17"/>
                <w:szCs w:val="17"/>
              </w:rPr>
              <w:br/>
              <w:t>奥希替尼+培美曲塞+卡铂（敏感，A级）</w:t>
            </w:r>
            <w:r>
              <w:rPr>
                <w:rFonts w:ascii="思源黑体 CN Normal" w:eastAsia="思源黑体 CN Normal" w:hAnsi="思源黑体 CN Normal"/>
                <w:iCs/>
                <w:sz w:val="17"/>
                <w:szCs w:val="17"/>
              </w:rPr>
              <w:br/>
              <w:t>奥希替尼+培美曲塞+顺铂（敏感，A级）</w:t>
            </w:r>
            <w:r>
              <w:rPr>
                <w:rFonts w:ascii="思源黑体 CN Normal" w:eastAsia="思源黑体 CN Normal" w:hAnsi="思源黑体 CN Normal"/>
                <w:iCs/>
                <w:sz w:val="17"/>
                <w:szCs w:val="17"/>
              </w:rPr>
              <w:br/>
              <w:t>贝福替尼（敏感，A级）</w:t>
            </w:r>
            <w:r>
              <w:rPr>
                <w:rFonts w:ascii="思源黑体 CN Normal" w:eastAsia="思源黑体 CN Normal" w:hAnsi="思源黑体 CN Normal"/>
                <w:iCs/>
                <w:sz w:val="17"/>
                <w:szCs w:val="17"/>
              </w:rPr>
              <w:br/>
              <w:t>达可替尼（敏感，A级）</w:t>
            </w:r>
            <w:r>
              <w:rPr>
                <w:rFonts w:ascii="思源黑体 CN Normal" w:eastAsia="思源黑体 CN Normal" w:hAnsi="思源黑体 CN Normal"/>
                <w:iCs/>
                <w:sz w:val="17"/>
                <w:szCs w:val="17"/>
              </w:rPr>
              <w:br/>
              <w:t>德达博妥单抗（敏感，A级）</w:t>
            </w:r>
            <w:r>
              <w:rPr>
                <w:rFonts w:ascii="思源黑体 CN Normal" w:eastAsia="思源黑体 CN Normal" w:hAnsi="思源黑体 CN Normal"/>
                <w:iCs/>
                <w:sz w:val="17"/>
                <w:szCs w:val="17"/>
              </w:rPr>
              <w:br/>
              <w:t>厄洛替尼（敏感，A级）</w:t>
            </w:r>
            <w:r>
              <w:rPr>
                <w:rFonts w:ascii="思源黑体 CN Normal" w:eastAsia="思源黑体 CN Normal" w:hAnsi="思源黑体 CN Normal"/>
                <w:iCs/>
                <w:sz w:val="17"/>
                <w:szCs w:val="17"/>
              </w:rPr>
              <w:br/>
              <w:t>厄洛替尼+贝伐珠单抗（敏感，A级）</w:t>
            </w:r>
            <w:r>
              <w:rPr>
                <w:rFonts w:ascii="思源黑体 CN Normal" w:eastAsia="思源黑体 CN Normal" w:hAnsi="思源黑体 CN Normal"/>
                <w:iCs/>
                <w:sz w:val="17"/>
                <w:szCs w:val="17"/>
              </w:rPr>
              <w:br/>
              <w:t>厄洛替尼+化疗（敏感，A级）</w:t>
            </w:r>
            <w:r>
              <w:rPr>
                <w:rFonts w:ascii="思源黑体 CN Normal" w:eastAsia="思源黑体 CN Normal" w:hAnsi="思源黑体 CN Normal"/>
                <w:iCs/>
                <w:sz w:val="17"/>
                <w:szCs w:val="17"/>
              </w:rPr>
              <w:br/>
              <w:t>厄洛替尼+雷莫西尤单抗（敏感，A级）</w:t>
            </w:r>
            <w:r>
              <w:rPr>
                <w:rFonts w:ascii="思源黑体 CN Normal" w:eastAsia="思源黑体 CN Normal" w:hAnsi="思源黑体 CN Normal"/>
                <w:iCs/>
                <w:sz w:val="17"/>
                <w:szCs w:val="17"/>
              </w:rPr>
              <w:br/>
              <w:t>伏美替尼（敏感，A级）</w:t>
            </w:r>
            <w:r>
              <w:rPr>
                <w:rFonts w:ascii="思源黑体 CN Normal" w:eastAsia="思源黑体 CN Normal" w:hAnsi="思源黑体 CN Normal"/>
                <w:iCs/>
                <w:sz w:val="17"/>
                <w:szCs w:val="17"/>
              </w:rPr>
              <w:br/>
              <w:t>吉非替尼（敏感，A级）</w:t>
            </w:r>
            <w:r>
              <w:rPr>
                <w:rFonts w:ascii="思源黑体 CN Normal" w:eastAsia="思源黑体 CN Normal" w:hAnsi="思源黑体 CN Normal"/>
                <w:iCs/>
                <w:sz w:val="17"/>
                <w:szCs w:val="17"/>
              </w:rPr>
              <w:br/>
              <w:t>吉非替尼+化疗（敏感，A级）</w:t>
            </w:r>
            <w:r>
              <w:rPr>
                <w:rFonts w:ascii="思源黑体 CN Normal" w:eastAsia="思源黑体 CN Normal" w:hAnsi="思源黑体 CN Normal"/>
                <w:iCs/>
                <w:sz w:val="17"/>
                <w:szCs w:val="17"/>
              </w:rPr>
              <w:br/>
              <w:t>兰泽替尼（敏感，A级）</w:t>
            </w:r>
            <w:r>
              <w:rPr>
                <w:rFonts w:ascii="思源黑体 CN Normal" w:eastAsia="思源黑体 CN Normal" w:hAnsi="思源黑体 CN Normal"/>
                <w:iCs/>
                <w:sz w:val="17"/>
                <w:szCs w:val="17"/>
              </w:rPr>
              <w:br/>
              <w:t>利厄替尼（敏感，A级）</w:t>
            </w:r>
            <w:r>
              <w:rPr>
                <w:rFonts w:ascii="思源黑体 CN Normal" w:eastAsia="思源黑体 CN Normal" w:hAnsi="思源黑体 CN Normal"/>
                <w:iCs/>
                <w:sz w:val="17"/>
                <w:szCs w:val="17"/>
              </w:rPr>
              <w:br/>
              <w:t>芦康沙妥珠单抗（敏感，A级）</w:t>
            </w:r>
            <w:r>
              <w:rPr>
                <w:rFonts w:ascii="思源黑体 CN Normal" w:eastAsia="思源黑体 CN Normal" w:hAnsi="思源黑体 CN Normal"/>
                <w:iCs/>
                <w:sz w:val="17"/>
                <w:szCs w:val="17"/>
              </w:rPr>
              <w:br/>
              <w:t>瑞厄替尼（敏感，A级）</w:t>
            </w:r>
            <w:r>
              <w:rPr>
                <w:rFonts w:ascii="思源黑体 CN Normal" w:eastAsia="思源黑体 CN Normal" w:hAnsi="思源黑体 CN Normal"/>
                <w:iCs/>
                <w:sz w:val="17"/>
                <w:szCs w:val="17"/>
              </w:rPr>
              <w:br/>
              <w:t>瑞齐替尼（敏感，A级）</w:t>
            </w:r>
            <w:r>
              <w:rPr>
                <w:rFonts w:ascii="思源黑体 CN Normal" w:eastAsia="思源黑体 CN Normal" w:hAnsi="思源黑体 CN Normal"/>
                <w:iCs/>
                <w:sz w:val="17"/>
                <w:szCs w:val="17"/>
              </w:rPr>
              <w:br/>
              <w:t>信迪利单抗+贝伐珠单抗+培美曲塞+顺铂（敏感，A级）</w:t>
            </w:r>
            <w:r>
              <w:rPr>
                <w:rFonts w:ascii="思源黑体 CN Normal" w:eastAsia="思源黑体 CN Normal" w:hAnsi="思源黑体 CN Normal"/>
                <w:iCs/>
                <w:sz w:val="17"/>
                <w:szCs w:val="17"/>
              </w:rPr>
              <w:br/>
              <w:t>依沃西单抗+培美曲塞+卡铂（敏感，A级）</w:t>
            </w:r>
            <w:r>
              <w:rPr>
                <w:rFonts w:ascii="思源黑体 CN Normal" w:eastAsia="思源黑体 CN Normal" w:hAnsi="思源黑体 CN Normal"/>
                <w:iCs/>
                <w:sz w:val="17"/>
                <w:szCs w:val="17"/>
              </w:rPr>
              <w:br/>
              <w:t>佐利替尼（敏感，A级）</w:t>
            </w:r>
            <w:r>
              <w:rPr>
                <w:rFonts w:ascii="思源黑体 CN Normal" w:eastAsia="思源黑体 CN Normal" w:hAnsi="思源黑体 CN Normal"/>
                <w:iCs/>
                <w:sz w:val="17"/>
                <w:szCs w:val="17"/>
              </w:rPr>
              <w:br/>
              <w:t>阿替利珠单抗+贝伐珠单抗+紫杉醇+卡铂（敏感，B级）</w:t>
            </w:r>
            <w:r>
              <w:rPr>
                <w:rFonts w:ascii="思源黑体 CN Normal" w:eastAsia="思源黑体 CN Normal" w:hAnsi="思源黑体 CN Normal"/>
                <w:iCs/>
                <w:sz w:val="17"/>
                <w:szCs w:val="17"/>
              </w:rPr>
              <w:br/>
              <w:t>吉非替尼+阿帕替尼（敏感，B级）</w:t>
            </w:r>
            <w:r>
              <w:rPr>
                <w:rFonts w:ascii="思源黑体 CN Normal" w:eastAsia="思源黑体 CN Normal" w:hAnsi="思源黑体 CN Normal"/>
                <w:iCs/>
                <w:sz w:val="17"/>
                <w:szCs w:val="17"/>
              </w:rPr>
              <w:br/>
              <w:t>吉非替尼+安罗替尼（敏感，B级）</w:t>
            </w:r>
            <w:r>
              <w:rPr>
                <w:rFonts w:ascii="思源黑体 CN Normal" w:eastAsia="思源黑体 CN Normal" w:hAnsi="思源黑体 CN Normal"/>
                <w:iCs/>
                <w:sz w:val="17"/>
                <w:szCs w:val="17"/>
              </w:rPr>
              <w:br/>
              <w:t>美凡厄替尼（敏感，B级）</w:t>
            </w:r>
            <w:r>
              <w:rPr>
                <w:rFonts w:ascii="思源黑体 CN Normal" w:eastAsia="思源黑体 CN Normal" w:hAnsi="思源黑体 CN Normal"/>
                <w:iCs/>
                <w:sz w:val="17"/>
                <w:szCs w:val="17"/>
              </w:rPr>
              <w:br/>
              <w:t>阿美替尼+安罗替尼（敏感，C级）</w:t>
            </w:r>
            <w:r>
              <w:rPr>
                <w:rFonts w:ascii="思源黑体 CN Normal" w:eastAsia="思源黑体 CN Normal" w:hAnsi="思源黑体 CN Normal"/>
                <w:iCs/>
                <w:sz w:val="17"/>
                <w:szCs w:val="17"/>
              </w:rPr>
              <w:br/>
              <w:t>安罗替尼+埃克替尼（敏感，C级）</w:t>
            </w:r>
            <w:r>
              <w:rPr>
                <w:rFonts w:ascii="思源黑体 CN Normal" w:eastAsia="思源黑体 CN Normal" w:hAnsi="思源黑体 CN Normal"/>
                <w:iCs/>
                <w:sz w:val="17"/>
                <w:szCs w:val="17"/>
              </w:rPr>
              <w:br/>
              <w:t>安罗替尼+厄洛替尼（敏感，C级）</w:t>
            </w:r>
            <w:r>
              <w:rPr>
                <w:rFonts w:ascii="思源黑体 CN Normal" w:eastAsia="思源黑体 CN Normal" w:hAnsi="思源黑体 CN Normal"/>
                <w:iCs/>
                <w:sz w:val="17"/>
                <w:szCs w:val="17"/>
              </w:rPr>
              <w:br/>
              <w:t>贝福替尼+埃克替尼（敏感，C级）</w:t>
            </w:r>
            <w:r>
              <w:rPr>
                <w:rFonts w:ascii="思源黑体 CN Normal" w:eastAsia="思源黑体 CN Normal" w:hAnsi="思源黑体 CN Normal"/>
                <w:iCs/>
                <w:sz w:val="17"/>
                <w:szCs w:val="17"/>
              </w:rPr>
              <w:br/>
              <w:t>FHND9041（敏感，C级）</w:t>
            </w:r>
            <w:r>
              <w:rPr>
                <w:rFonts w:ascii="思源黑体 CN Normal" w:eastAsia="思源黑体 CN Normal" w:hAnsi="思源黑体 CN Normal"/>
                <w:iCs/>
                <w:sz w:val="17"/>
                <w:szCs w:val="17"/>
              </w:rPr>
              <w:br/>
              <w:t>伏美替尼+埃克替尼（敏感，C级）</w:t>
            </w:r>
            <w:r>
              <w:rPr>
                <w:rFonts w:ascii="思源黑体 CN Normal" w:eastAsia="思源黑体 CN Normal" w:hAnsi="思源黑体 CN Normal"/>
                <w:iCs/>
                <w:sz w:val="17"/>
                <w:szCs w:val="17"/>
              </w:rPr>
              <w:br/>
              <w:t>LY3295668+奥希替尼（敏感，C级）</w:t>
            </w:r>
            <w:r>
              <w:rPr>
                <w:rFonts w:ascii="思源黑体 CN Normal" w:eastAsia="思源黑体 CN Normal" w:hAnsi="思源黑体 CN Normal"/>
                <w:iCs/>
                <w:sz w:val="17"/>
                <w:szCs w:val="17"/>
              </w:rPr>
              <w:br/>
              <w:t>纳扎替尼（敏感，C级）</w:t>
            </w:r>
            <w:r>
              <w:rPr>
                <w:rFonts w:ascii="思源黑体 CN Normal" w:eastAsia="思源黑体 CN Normal" w:hAnsi="思源黑体 CN Normal"/>
                <w:iCs/>
                <w:sz w:val="17"/>
                <w:szCs w:val="17"/>
              </w:rPr>
              <w:br/>
              <w:t>Patritumab Deruxtecan（敏感，C级）</w:t>
            </w:r>
            <w:r>
              <w:rPr>
                <w:rFonts w:ascii="思源黑体 CN Normal" w:eastAsia="思源黑体 CN Normal" w:hAnsi="思源黑体 CN Normal"/>
                <w:iCs/>
                <w:sz w:val="17"/>
                <w:szCs w:val="17"/>
              </w:rPr>
              <w:br/>
            </w:r>
            <w:r>
              <w:rPr>
                <w:rFonts w:ascii="思源黑体 CN Normal" w:eastAsia="思源黑体 CN Normal" w:hAnsi="思源黑体 CN Normal"/>
                <w:iCs/>
                <w:sz w:val="17"/>
                <w:szCs w:val="17"/>
              </w:rPr>
              <w:lastRenderedPageBreak/>
              <w:t>SHR-A2009（敏感，C级）</w:t>
            </w:r>
            <w:r>
              <w:rPr>
                <w:rFonts w:ascii="思源黑体 CN Normal" w:eastAsia="思源黑体 CN Normal" w:hAnsi="思源黑体 CN Normal"/>
                <w:iCs/>
                <w:sz w:val="17"/>
                <w:szCs w:val="17"/>
              </w:rPr>
              <w:br/>
              <w:t>TY-9591（敏感，C级）</w:t>
            </w:r>
            <w:r>
              <w:rPr>
                <w:rFonts w:ascii="思源黑体 CN Normal" w:eastAsia="思源黑体 CN Normal" w:hAnsi="思源黑体 CN Normal"/>
                <w:iCs/>
                <w:sz w:val="17"/>
                <w:szCs w:val="17"/>
              </w:rPr>
              <w:br/>
              <w:t>BDTX-1535（敏感，D级）</w:t>
            </w:r>
            <w:r>
              <w:rPr>
                <w:rFonts w:ascii="思源黑体 CN Normal" w:eastAsia="思源黑体 CN Normal" w:hAnsi="思源黑体 CN Normal"/>
                <w:iCs/>
                <w:sz w:val="17"/>
                <w:szCs w:val="17"/>
              </w:rPr>
              <w:br/>
              <w:t>BLU-701（敏感，D级）</w:t>
            </w:r>
            <w:r>
              <w:rPr>
                <w:rFonts w:ascii="思源黑体 CN Normal" w:eastAsia="思源黑体 CN Normal" w:hAnsi="思源黑体 CN Normal"/>
                <w:iCs/>
                <w:sz w:val="17"/>
                <w:szCs w:val="17"/>
              </w:rPr>
              <w:br/>
              <w:t>CH7233163（敏感，D级）</w:t>
            </w:r>
            <w:r>
              <w:rPr>
                <w:rFonts w:ascii="思源黑体 CN Normal" w:eastAsia="思源黑体 CN Normal" w:hAnsi="思源黑体 CN Normal"/>
                <w:iCs/>
                <w:sz w:val="17"/>
                <w:szCs w:val="17"/>
              </w:rPr>
              <w:br/>
              <w:t>CLN-081（敏感，D级）</w:t>
            </w:r>
            <w:r>
              <w:rPr>
                <w:rFonts w:ascii="思源黑体 CN Normal" w:eastAsia="思源黑体 CN Normal" w:hAnsi="思源黑体 CN Normal"/>
                <w:iCs/>
                <w:sz w:val="17"/>
                <w:szCs w:val="17"/>
              </w:rPr>
              <w:br/>
              <w:t>JIN-A02（敏感，D级）</w:t>
            </w:r>
            <w:r>
              <w:rPr>
                <w:rFonts w:ascii="思源黑体 CN Normal" w:eastAsia="思源黑体 CN Normal" w:hAnsi="思源黑体 CN Normal"/>
                <w:iCs/>
                <w:sz w:val="17"/>
                <w:szCs w:val="17"/>
              </w:rPr>
              <w:br/>
              <w:t>OBX02-011（敏感，D级）</w:t>
            </w:r>
          </w:p>
        </w:tc>
      </w:tr>
      <w:tr w:rsidR="00256464" w14:paraId="3A210120" w14:textId="77777777" w:rsidTr="00256464">
        <w:trPr>
          <w:trHeight w:val="397"/>
        </w:trPr>
        <w:tc>
          <w:tcPr>
            <w:tcW w:w="1555" w:type="dxa"/>
          </w:tcPr>
          <w:p w14:paraId="11D5FDB4" w14:textId="77777777" w:rsidR="00256464" w:rsidRDefault="00000000">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bCs/>
                <w:i/>
                <w:sz w:val="17"/>
                <w:szCs w:val="17"/>
              </w:rPr>
              <w:lastRenderedPageBreak/>
              <w:t>TP53</w:t>
            </w:r>
          </w:p>
        </w:tc>
        <w:tc>
          <w:tcPr>
            <w:tcW w:w="2976" w:type="dxa"/>
          </w:tcPr>
          <w:p w14:paraId="59729E42"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exon8 c.839G&gt;C p.(R280T)</w:t>
            </w:r>
          </w:p>
          <w:p w14:paraId="1D2E28D7"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NM_000546.6</w:t>
            </w:r>
          </w:p>
        </w:tc>
        <w:tc>
          <w:tcPr>
            <w:tcW w:w="1276" w:type="dxa"/>
          </w:tcPr>
          <w:p w14:paraId="0EE171F0" w14:textId="77777777" w:rsidR="00256464" w:rsidRDefault="000000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3.33%</w:t>
            </w:r>
          </w:p>
        </w:tc>
        <w:tc>
          <w:tcPr>
            <w:tcW w:w="709" w:type="dxa"/>
          </w:tcPr>
          <w:p w14:paraId="79DCAFA5" w14:textId="77777777" w:rsidR="00256464" w:rsidRDefault="0000000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II类</w:t>
            </w:r>
          </w:p>
        </w:tc>
        <w:tc>
          <w:tcPr>
            <w:tcW w:w="3816" w:type="dxa"/>
          </w:tcPr>
          <w:p w14:paraId="224B3445" w14:textId="77777777" w:rsidR="00256464" w:rsidRDefault="00000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Adavosertib+卡铂+紫杉醇（敏感，C级）</w:t>
            </w:r>
            <w:r>
              <w:rPr>
                <w:rFonts w:ascii="思源黑体 CN Normal" w:eastAsia="思源黑体 CN Normal" w:hAnsi="思源黑体 CN Normal"/>
                <w:iCs/>
                <w:sz w:val="17"/>
                <w:szCs w:val="17"/>
              </w:rPr>
              <w:br/>
              <w:t>APR-246+阿扎胞苷（敏感，C级）</w:t>
            </w:r>
            <w:r>
              <w:rPr>
                <w:rFonts w:ascii="思源黑体 CN Normal" w:eastAsia="思源黑体 CN Normal" w:hAnsi="思源黑体 CN Normal"/>
                <w:iCs/>
                <w:sz w:val="17"/>
                <w:szCs w:val="17"/>
              </w:rPr>
              <w:br/>
              <w:t>卡铂+Adavosertib（敏感，C级）</w:t>
            </w:r>
            <w:r>
              <w:rPr>
                <w:rFonts w:ascii="思源黑体 CN Normal" w:eastAsia="思源黑体 CN Normal" w:hAnsi="思源黑体 CN Normal"/>
                <w:iCs/>
                <w:sz w:val="17"/>
                <w:szCs w:val="17"/>
              </w:rPr>
              <w:br/>
              <w:t>培唑帕尼+伏立诺他（敏感，C级）</w:t>
            </w:r>
            <w:r>
              <w:rPr>
                <w:rFonts w:ascii="思源黑体 CN Normal" w:eastAsia="思源黑体 CN Normal" w:hAnsi="思源黑体 CN Normal"/>
                <w:iCs/>
                <w:sz w:val="17"/>
                <w:szCs w:val="17"/>
              </w:rPr>
              <w:br/>
              <w:t>EGFR-TKIs（耐药，C级）</w:t>
            </w:r>
            <w:r>
              <w:rPr>
                <w:rFonts w:ascii="思源黑体 CN Normal" w:eastAsia="思源黑体 CN Normal" w:hAnsi="思源黑体 CN Normal"/>
                <w:iCs/>
                <w:sz w:val="17"/>
                <w:szCs w:val="17"/>
              </w:rPr>
              <w:br/>
              <w:t>Adavosertib（敏感，D级）</w:t>
            </w:r>
            <w:r>
              <w:rPr>
                <w:rFonts w:ascii="思源黑体 CN Normal" w:eastAsia="思源黑体 CN Normal" w:hAnsi="思源黑体 CN Normal"/>
                <w:iCs/>
                <w:sz w:val="17"/>
                <w:szCs w:val="17"/>
              </w:rPr>
              <w:br/>
              <w:t>埃克替尼+培美曲塞为基础化疗（敏感，D级）</w:t>
            </w:r>
            <w:r>
              <w:rPr>
                <w:rFonts w:ascii="思源黑体 CN Normal" w:eastAsia="思源黑体 CN Normal" w:hAnsi="思源黑体 CN Normal"/>
                <w:iCs/>
                <w:sz w:val="17"/>
                <w:szCs w:val="17"/>
              </w:rPr>
              <w:br/>
              <w:t>奥希替尼+培美曲塞为基础化疗（敏感，D级）</w:t>
            </w:r>
            <w:r>
              <w:rPr>
                <w:rFonts w:ascii="思源黑体 CN Normal" w:eastAsia="思源黑体 CN Normal" w:hAnsi="思源黑体 CN Normal"/>
                <w:iCs/>
                <w:sz w:val="17"/>
                <w:szCs w:val="17"/>
              </w:rPr>
              <w:br/>
              <w:t>厄洛替尼+培美曲塞为基础化疗（敏感，D级）</w:t>
            </w:r>
            <w:r>
              <w:rPr>
                <w:rFonts w:ascii="思源黑体 CN Normal" w:eastAsia="思源黑体 CN Normal" w:hAnsi="思源黑体 CN Normal"/>
                <w:iCs/>
                <w:sz w:val="17"/>
                <w:szCs w:val="17"/>
              </w:rPr>
              <w:br/>
              <w:t>吉非替尼+培美曲塞为基础化疗（敏感，D级）</w:t>
            </w:r>
          </w:p>
        </w:tc>
      </w:tr>
      <w:tr w:rsidR="00256464" w14:paraId="092C6A21" w14:textId="77777777" w:rsidTr="00256464">
        <w:trPr>
          <w:trHeight w:val="397"/>
        </w:trPr>
        <w:tc>
          <w:tcPr>
            <w:tcW w:w="1555" w:type="dxa"/>
          </w:tcPr>
          <w:p w14:paraId="1F34FC19" w14:textId="77777777" w:rsidR="00256464" w:rsidRDefault="00000000">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EB80BE5"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05AD2E9B" w14:textId="77777777" w:rsidR="00256464" w:rsidRDefault="00000000">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5FE19EB0" w14:textId="77777777" w:rsidR="00256464" w:rsidRDefault="0000000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D91B07C" w14:textId="77777777" w:rsidR="00256464" w:rsidRDefault="00000000">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07F028D1" w14:textId="77777777" w:rsidR="00256464" w:rsidRDefault="00000000">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35A8F94"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442D656"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3259C92"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04F48C7F"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34BE9691"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256464" w14:paraId="7C4279B4" w14:textId="77777777" w:rsidTr="00256464">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0EA2F585" w14:textId="77777777" w:rsidR="00256464" w:rsidRDefault="00000000">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1CB1B5AD" w14:textId="77777777" w:rsidR="00256464" w:rsidRDefault="00000000">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689376D3" w14:textId="77777777" w:rsidR="00256464" w:rsidRDefault="00000000">
            <w:pPr>
              <w:jc w:val="center"/>
              <w:rPr>
                <w:rFonts w:ascii="思源黑体 CN Bold" w:eastAsia="思源黑体 CN Bold" w:hAnsi="思源黑体 CN Bold" w:hint="eastAsia"/>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56464" w14:paraId="530DE46A" w14:textId="77777777" w:rsidTr="00256464">
        <w:trPr>
          <w:trHeight w:val="397"/>
        </w:trPr>
        <w:tc>
          <w:tcPr>
            <w:tcW w:w="10342" w:type="dxa"/>
            <w:gridSpan w:val="3"/>
          </w:tcPr>
          <w:p w14:paraId="1D43F4AA" w14:textId="77777777" w:rsidR="00256464" w:rsidRDefault="00000000">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bl>
    <w:p w14:paraId="57009B5C"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D5504FE"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1AD65AE"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256464" w14:paraId="127998AE" w14:textId="77777777" w:rsidTr="002564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0422A326" w14:textId="77777777" w:rsidR="00256464" w:rsidRDefault="00000000">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3FD9A19A" w14:textId="77777777" w:rsidR="00256464" w:rsidRDefault="00000000">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1B195EA6" w14:textId="77777777" w:rsidR="00256464" w:rsidRDefault="00000000">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3750C7A5" w14:textId="77777777" w:rsidR="00256464" w:rsidRDefault="00000000">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3107C767" w14:textId="77777777" w:rsidR="00256464" w:rsidRDefault="00000000">
            <w:pPr>
              <w:spacing w:line="240" w:lineRule="exact"/>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256464" w14:paraId="2C80D5B2" w14:textId="77777777" w:rsidTr="00256464">
        <w:trPr>
          <w:trHeight w:val="340"/>
        </w:trPr>
        <w:tc>
          <w:tcPr>
            <w:tcW w:w="1134" w:type="dxa"/>
          </w:tcPr>
          <w:p w14:paraId="5DE31204"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DPYD</w:t>
            </w:r>
          </w:p>
        </w:tc>
        <w:tc>
          <w:tcPr>
            <w:tcW w:w="1276" w:type="dxa"/>
          </w:tcPr>
          <w:p w14:paraId="6B37163E"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rs3918290</w:t>
            </w:r>
          </w:p>
        </w:tc>
        <w:tc>
          <w:tcPr>
            <w:tcW w:w="1276" w:type="dxa"/>
          </w:tcPr>
          <w:p w14:paraId="3B5D2CDA"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C/C</w:t>
            </w:r>
          </w:p>
        </w:tc>
        <w:tc>
          <w:tcPr>
            <w:tcW w:w="5245" w:type="dxa"/>
          </w:tcPr>
          <w:p w14:paraId="008E896E"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氟尿嘧啶、卡培他滨、替加氟药物毒性较低</w:t>
            </w:r>
          </w:p>
        </w:tc>
        <w:tc>
          <w:tcPr>
            <w:tcW w:w="1411" w:type="dxa"/>
          </w:tcPr>
          <w:p w14:paraId="773AF974"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1A</w:t>
            </w:r>
          </w:p>
        </w:tc>
      </w:tr>
      <w:tr w:rsidR="00256464" w14:paraId="76398EF0" w14:textId="77777777" w:rsidTr="00256464">
        <w:trPr>
          <w:trHeight w:val="340"/>
        </w:trPr>
        <w:tc>
          <w:tcPr>
            <w:tcW w:w="1134" w:type="dxa"/>
          </w:tcPr>
          <w:p w14:paraId="6592EB19"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DPYD</w:t>
            </w:r>
          </w:p>
        </w:tc>
        <w:tc>
          <w:tcPr>
            <w:tcW w:w="1276" w:type="dxa"/>
          </w:tcPr>
          <w:p w14:paraId="50520B54"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rs55886062</w:t>
            </w:r>
          </w:p>
        </w:tc>
        <w:tc>
          <w:tcPr>
            <w:tcW w:w="1276" w:type="dxa"/>
          </w:tcPr>
          <w:p w14:paraId="768968E8"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A/A</w:t>
            </w:r>
          </w:p>
        </w:tc>
        <w:tc>
          <w:tcPr>
            <w:tcW w:w="5245" w:type="dxa"/>
          </w:tcPr>
          <w:p w14:paraId="108A92DB"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卡培他滨、氟尿嘧啶、替加氟药物毒性较低</w:t>
            </w:r>
          </w:p>
        </w:tc>
        <w:tc>
          <w:tcPr>
            <w:tcW w:w="1411" w:type="dxa"/>
          </w:tcPr>
          <w:p w14:paraId="2F3097BA"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1A</w:t>
            </w:r>
          </w:p>
        </w:tc>
      </w:tr>
      <w:tr w:rsidR="00256464" w14:paraId="36086EA0" w14:textId="77777777" w:rsidTr="00256464">
        <w:trPr>
          <w:trHeight w:val="340"/>
        </w:trPr>
        <w:tc>
          <w:tcPr>
            <w:tcW w:w="1134" w:type="dxa"/>
          </w:tcPr>
          <w:p w14:paraId="192D7B43"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DPYD</w:t>
            </w:r>
          </w:p>
        </w:tc>
        <w:tc>
          <w:tcPr>
            <w:tcW w:w="1276" w:type="dxa"/>
          </w:tcPr>
          <w:p w14:paraId="00DE6660"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rs67376798</w:t>
            </w:r>
          </w:p>
        </w:tc>
        <w:tc>
          <w:tcPr>
            <w:tcW w:w="1276" w:type="dxa"/>
          </w:tcPr>
          <w:p w14:paraId="6F0A2AB8"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T/T</w:t>
            </w:r>
          </w:p>
        </w:tc>
        <w:tc>
          <w:tcPr>
            <w:tcW w:w="5245" w:type="dxa"/>
          </w:tcPr>
          <w:p w14:paraId="7415B75F"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卡培他滨、氟尿嘧啶、替加氟药物毒性较低</w:t>
            </w:r>
          </w:p>
        </w:tc>
        <w:tc>
          <w:tcPr>
            <w:tcW w:w="1411" w:type="dxa"/>
          </w:tcPr>
          <w:p w14:paraId="0028BDDD"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1A</w:t>
            </w:r>
          </w:p>
        </w:tc>
      </w:tr>
      <w:tr w:rsidR="00256464" w14:paraId="1A80B352" w14:textId="77777777" w:rsidTr="00256464">
        <w:trPr>
          <w:trHeight w:val="340"/>
        </w:trPr>
        <w:tc>
          <w:tcPr>
            <w:tcW w:w="1134" w:type="dxa"/>
          </w:tcPr>
          <w:p w14:paraId="7C88B176"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DPYD</w:t>
            </w:r>
          </w:p>
        </w:tc>
        <w:tc>
          <w:tcPr>
            <w:tcW w:w="1276" w:type="dxa"/>
          </w:tcPr>
          <w:p w14:paraId="230CF315"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rs75017182</w:t>
            </w:r>
          </w:p>
        </w:tc>
        <w:tc>
          <w:tcPr>
            <w:tcW w:w="1276" w:type="dxa"/>
          </w:tcPr>
          <w:p w14:paraId="42D61FCE"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G/G</w:t>
            </w:r>
          </w:p>
        </w:tc>
        <w:tc>
          <w:tcPr>
            <w:tcW w:w="5245" w:type="dxa"/>
          </w:tcPr>
          <w:p w14:paraId="2B8EFE00"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氟尿嘧啶、卡培他滨药物毒性较低</w:t>
            </w:r>
          </w:p>
        </w:tc>
        <w:tc>
          <w:tcPr>
            <w:tcW w:w="1411" w:type="dxa"/>
          </w:tcPr>
          <w:p w14:paraId="27B30983"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1A</w:t>
            </w:r>
          </w:p>
        </w:tc>
      </w:tr>
      <w:tr w:rsidR="00256464" w14:paraId="472AB2E3" w14:textId="77777777" w:rsidTr="00256464">
        <w:trPr>
          <w:trHeight w:val="340"/>
        </w:trPr>
        <w:tc>
          <w:tcPr>
            <w:tcW w:w="1134" w:type="dxa"/>
          </w:tcPr>
          <w:p w14:paraId="566C0444"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ERCC1</w:t>
            </w:r>
          </w:p>
        </w:tc>
        <w:tc>
          <w:tcPr>
            <w:tcW w:w="1276" w:type="dxa"/>
          </w:tcPr>
          <w:p w14:paraId="08EC7661"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rs11615</w:t>
            </w:r>
          </w:p>
        </w:tc>
        <w:tc>
          <w:tcPr>
            <w:tcW w:w="1276" w:type="dxa"/>
          </w:tcPr>
          <w:p w14:paraId="72861A43"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G/G</w:t>
            </w:r>
          </w:p>
        </w:tc>
        <w:tc>
          <w:tcPr>
            <w:tcW w:w="5245" w:type="dxa"/>
          </w:tcPr>
          <w:p w14:paraId="1DAA70EE"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顺铂+吉西他滨药物疗效较差</w:t>
            </w:r>
          </w:p>
          <w:p w14:paraId="2EBB2637"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铂类药物毒性较低</w:t>
            </w:r>
          </w:p>
        </w:tc>
        <w:tc>
          <w:tcPr>
            <w:tcW w:w="1411" w:type="dxa"/>
          </w:tcPr>
          <w:p w14:paraId="5CB5D7F5"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3</w:t>
            </w:r>
          </w:p>
        </w:tc>
      </w:tr>
      <w:tr w:rsidR="00256464" w14:paraId="6F396CE5" w14:textId="77777777" w:rsidTr="00256464">
        <w:trPr>
          <w:trHeight w:val="340"/>
        </w:trPr>
        <w:tc>
          <w:tcPr>
            <w:tcW w:w="1134" w:type="dxa"/>
          </w:tcPr>
          <w:p w14:paraId="4C1D82FC"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GSTP1</w:t>
            </w:r>
          </w:p>
        </w:tc>
        <w:tc>
          <w:tcPr>
            <w:tcW w:w="1276" w:type="dxa"/>
          </w:tcPr>
          <w:p w14:paraId="2336D331"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rs1695</w:t>
            </w:r>
          </w:p>
        </w:tc>
        <w:tc>
          <w:tcPr>
            <w:tcW w:w="1276" w:type="dxa"/>
          </w:tcPr>
          <w:p w14:paraId="0950C9E2"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A/A</w:t>
            </w:r>
          </w:p>
        </w:tc>
        <w:tc>
          <w:tcPr>
            <w:tcW w:w="5245" w:type="dxa"/>
          </w:tcPr>
          <w:p w14:paraId="7B5D96B9"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铂类药物疗效较差</w:t>
            </w:r>
          </w:p>
          <w:p w14:paraId="506C3D2E"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铂类药物毒性较高</w:t>
            </w:r>
          </w:p>
        </w:tc>
        <w:tc>
          <w:tcPr>
            <w:tcW w:w="1411" w:type="dxa"/>
          </w:tcPr>
          <w:p w14:paraId="6373DEDB"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3</w:t>
            </w:r>
          </w:p>
        </w:tc>
      </w:tr>
      <w:tr w:rsidR="00256464" w14:paraId="25ED2B43" w14:textId="77777777" w:rsidTr="00256464">
        <w:trPr>
          <w:trHeight w:val="340"/>
        </w:trPr>
        <w:tc>
          <w:tcPr>
            <w:tcW w:w="1134" w:type="dxa"/>
          </w:tcPr>
          <w:p w14:paraId="09137845"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UGT1A1</w:t>
            </w:r>
          </w:p>
        </w:tc>
        <w:tc>
          <w:tcPr>
            <w:tcW w:w="1276" w:type="dxa"/>
          </w:tcPr>
          <w:p w14:paraId="4AF991E8"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rs10929302</w:t>
            </w:r>
          </w:p>
        </w:tc>
        <w:tc>
          <w:tcPr>
            <w:tcW w:w="1276" w:type="dxa"/>
          </w:tcPr>
          <w:p w14:paraId="635F5CE0"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G/G</w:t>
            </w:r>
          </w:p>
        </w:tc>
        <w:tc>
          <w:tcPr>
            <w:tcW w:w="5245" w:type="dxa"/>
          </w:tcPr>
          <w:p w14:paraId="5C7AF748"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伊立替康药物毒性较低</w:t>
            </w:r>
          </w:p>
        </w:tc>
        <w:tc>
          <w:tcPr>
            <w:tcW w:w="1411" w:type="dxa"/>
          </w:tcPr>
          <w:p w14:paraId="746D734C"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2A</w:t>
            </w:r>
          </w:p>
        </w:tc>
      </w:tr>
      <w:tr w:rsidR="00256464" w14:paraId="3BB7FA77" w14:textId="77777777" w:rsidTr="00256464">
        <w:trPr>
          <w:trHeight w:val="340"/>
        </w:trPr>
        <w:tc>
          <w:tcPr>
            <w:tcW w:w="1134" w:type="dxa"/>
          </w:tcPr>
          <w:p w14:paraId="16A17E89"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UGT1A1</w:t>
            </w:r>
          </w:p>
        </w:tc>
        <w:tc>
          <w:tcPr>
            <w:tcW w:w="1276" w:type="dxa"/>
          </w:tcPr>
          <w:p w14:paraId="4C801567"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rs4148323</w:t>
            </w:r>
          </w:p>
        </w:tc>
        <w:tc>
          <w:tcPr>
            <w:tcW w:w="1276" w:type="dxa"/>
          </w:tcPr>
          <w:p w14:paraId="68C1DCC5"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G/A</w:t>
            </w:r>
          </w:p>
        </w:tc>
        <w:tc>
          <w:tcPr>
            <w:tcW w:w="5245" w:type="dxa"/>
          </w:tcPr>
          <w:p w14:paraId="703F4EED"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伊立替康药物毒性较高</w:t>
            </w:r>
          </w:p>
        </w:tc>
        <w:tc>
          <w:tcPr>
            <w:tcW w:w="1411" w:type="dxa"/>
          </w:tcPr>
          <w:p w14:paraId="47C3C060"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1B</w:t>
            </w:r>
          </w:p>
        </w:tc>
      </w:tr>
      <w:tr w:rsidR="00256464" w14:paraId="30C3E17C" w14:textId="77777777" w:rsidTr="00256464">
        <w:trPr>
          <w:trHeight w:val="340"/>
        </w:trPr>
        <w:tc>
          <w:tcPr>
            <w:tcW w:w="1134" w:type="dxa"/>
          </w:tcPr>
          <w:p w14:paraId="1C108E09" w14:textId="77777777" w:rsidR="00256464" w:rsidRDefault="00000000">
            <w:pPr>
              <w:adjustRightInd w:val="0"/>
              <w:snapToGrid w:val="0"/>
              <w:jc w:val="center"/>
              <w:rPr>
                <w:rFonts w:ascii="思源黑体 CN Normal" w:eastAsia="思源黑体 CN Normal" w:hAnsi="思源黑体 CN Normal" w:cs="思源黑体 CN Normal" w:hint="eastAsia"/>
                <w:bCs/>
                <w:i/>
                <w:iCs/>
                <w:color w:val="000000"/>
                <w:kern w:val="0"/>
                <w:sz w:val="17"/>
                <w:szCs w:val="17"/>
              </w:rPr>
            </w:pPr>
            <w:r>
              <w:rPr>
                <w:rFonts w:ascii="思源黑体 CN Normal" w:eastAsia="思源黑体 CN Normal" w:hAnsi="思源黑体 CN Normal" w:cs="Times New Roman"/>
                <w:bCs/>
                <w:i/>
                <w:kern w:val="0"/>
                <w:sz w:val="17"/>
                <w:szCs w:val="17"/>
                <w:lang w:bidi="ar"/>
              </w:rPr>
              <w:t>UGT1A1</w:t>
            </w:r>
          </w:p>
        </w:tc>
        <w:tc>
          <w:tcPr>
            <w:tcW w:w="1276" w:type="dxa"/>
          </w:tcPr>
          <w:p w14:paraId="4225AAD6"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rs8175347</w:t>
            </w:r>
          </w:p>
        </w:tc>
        <w:tc>
          <w:tcPr>
            <w:tcW w:w="1276" w:type="dxa"/>
          </w:tcPr>
          <w:p w14:paraId="3A17BD18"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kern w:val="0"/>
                <w:sz w:val="17"/>
                <w:szCs w:val="17"/>
              </w:rPr>
              <w:t>(TA)6/(TA)6</w:t>
            </w:r>
          </w:p>
        </w:tc>
        <w:tc>
          <w:tcPr>
            <w:tcW w:w="5245" w:type="dxa"/>
          </w:tcPr>
          <w:p w14:paraId="3BBE0408" w14:textId="77777777" w:rsidR="00256464" w:rsidRDefault="0000000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伊立替康药物毒性较低</w:t>
            </w:r>
          </w:p>
        </w:tc>
        <w:tc>
          <w:tcPr>
            <w:tcW w:w="1411" w:type="dxa"/>
          </w:tcPr>
          <w:p w14:paraId="03AD773C" w14:textId="77777777" w:rsidR="00256464" w:rsidRDefault="00000000">
            <w:pPr>
              <w:adjustRightInd w:val="0"/>
              <w:snapToGrid w:val="0"/>
              <w:jc w:val="center"/>
              <w:rPr>
                <w:rFonts w:ascii="思源黑体 CN Normal" w:eastAsia="思源黑体 CN Normal" w:hAnsi="思源黑体 CN Normal" w:cs="思源黑体 CN Normal" w:hint="eastAsia"/>
                <w:color w:val="000000"/>
                <w:kern w:val="0"/>
                <w:sz w:val="17"/>
                <w:szCs w:val="17"/>
              </w:rPr>
            </w:pPr>
            <w:r>
              <w:rPr>
                <w:rFonts w:ascii="思源黑体 CN Normal" w:eastAsia="思源黑体 CN Normal" w:hAnsi="思源黑体 CN Normal" w:cs="Times New Roman (正文 CS 字体)"/>
                <w:iCs/>
                <w:spacing w:val="6"/>
                <w:kern w:val="0"/>
                <w:sz w:val="17"/>
                <w:szCs w:val="17"/>
              </w:rPr>
              <w:t>1A</w:t>
            </w:r>
          </w:p>
        </w:tc>
      </w:tr>
    </w:tbl>
    <w:p w14:paraId="65AE1DB9"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3B72D94" w14:textId="77777777" w:rsidR="00256464" w:rsidRDefault="00000000">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55C6BC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59F38B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84F7749"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B9FE4D6"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01AE438" w14:textId="77777777" w:rsidR="00256464" w:rsidRDefault="0000000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2B2298F" w14:textId="77777777" w:rsidR="00256464" w:rsidRDefault="00000000">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17F13E79" w14:textId="77777777" w:rsidR="00256464" w:rsidRDefault="0000000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1CF67489"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56464" w14:paraId="786037BF"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5E177AC" w14:textId="77777777" w:rsidR="00256464" w:rsidRDefault="00256464">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5B8DB66" w14:textId="77777777" w:rsidR="00256464" w:rsidRDefault="00256464">
            <w:pPr>
              <w:rPr>
                <w:rFonts w:ascii="微软雅黑" w:eastAsia="微软雅黑" w:hAnsi="微软雅黑" w:cs="思源黑体 CN Light" w:hint="eastAsia"/>
                <w:sz w:val="18"/>
                <w:szCs w:val="18"/>
              </w:rPr>
            </w:pPr>
          </w:p>
          <w:p w14:paraId="3FC5B0B2" w14:textId="77777777" w:rsidR="00256464" w:rsidRDefault="00256464">
            <w:pPr>
              <w:rPr>
                <w:rFonts w:ascii="微软雅黑" w:eastAsia="微软雅黑" w:hAnsi="微软雅黑" w:cs="思源黑体 CN Light" w:hint="eastAsia"/>
                <w:sz w:val="18"/>
                <w:szCs w:val="18"/>
              </w:rPr>
            </w:pPr>
          </w:p>
          <w:p w14:paraId="1E1871EF" w14:textId="77777777" w:rsidR="00256464" w:rsidRDefault="00256464">
            <w:pPr>
              <w:rPr>
                <w:rFonts w:ascii="微软雅黑" w:eastAsia="微软雅黑" w:hAnsi="微软雅黑" w:cs="思源黑体 CN Light" w:hint="eastAsia"/>
                <w:sz w:val="18"/>
                <w:szCs w:val="18"/>
              </w:rPr>
            </w:pPr>
          </w:p>
          <w:p w14:paraId="2AD7AC6D" w14:textId="77777777" w:rsidR="00256464" w:rsidRDefault="00256464">
            <w:pPr>
              <w:rPr>
                <w:rFonts w:ascii="微软雅黑" w:eastAsia="微软雅黑" w:hAnsi="微软雅黑" w:cs="思源黑体 CN Light" w:hint="eastAsia"/>
                <w:sz w:val="18"/>
                <w:szCs w:val="18"/>
              </w:rPr>
            </w:pPr>
          </w:p>
          <w:p w14:paraId="2EFE99D4" w14:textId="77777777" w:rsidR="00256464" w:rsidRDefault="00256464">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256464" w14:paraId="1999BF68" w14:textId="77777777" w:rsidTr="00256464">
        <w:trPr>
          <w:cnfStyle w:val="100000000000" w:firstRow="1" w:lastRow="0" w:firstColumn="0" w:lastColumn="0" w:oddVBand="0" w:evenVBand="0" w:oddHBand="0" w:evenHBand="0" w:firstRowFirstColumn="0" w:firstRowLastColumn="0" w:lastRowFirstColumn="0" w:lastRowLastColumn="0"/>
          <w:trHeight w:val="510"/>
        </w:trPr>
        <w:tc>
          <w:tcPr>
            <w:tcW w:w="1542" w:type="dxa"/>
            <w:tcBorders>
              <w:right w:val="single" w:sz="4" w:space="0" w:color="FFFFFF"/>
            </w:tcBorders>
          </w:tcPr>
          <w:p w14:paraId="1E47A382" w14:textId="77777777" w:rsidR="00256464" w:rsidRDefault="00000000">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Borders>
              <w:right w:val="single" w:sz="4" w:space="0" w:color="FFFFFF"/>
            </w:tcBorders>
          </w:tcPr>
          <w:p w14:paraId="3D58754A" w14:textId="77777777" w:rsidR="00256464" w:rsidRDefault="00000000">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Borders>
              <w:right w:val="single" w:sz="4" w:space="0" w:color="FFFFFF"/>
            </w:tcBorders>
          </w:tcPr>
          <w:p w14:paraId="0598612B" w14:textId="77777777" w:rsidR="00256464" w:rsidRDefault="000000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right w:val="single" w:sz="4" w:space="0" w:color="FFFFFF"/>
            </w:tcBorders>
          </w:tcPr>
          <w:p w14:paraId="41D45476" w14:textId="77777777" w:rsidR="00256464" w:rsidRDefault="000000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09B9024B" w14:textId="77777777" w:rsidR="00256464" w:rsidRDefault="00000000">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256464" w14:paraId="57072EF1" w14:textId="77777777" w:rsidTr="00256464">
        <w:trPr>
          <w:trHeight w:val="340"/>
        </w:trPr>
        <w:tc>
          <w:tcPr>
            <w:tcW w:w="1542" w:type="dxa"/>
          </w:tcPr>
          <w:p w14:paraId="3A50A930"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AKT1</w:t>
            </w:r>
          </w:p>
        </w:tc>
        <w:tc>
          <w:tcPr>
            <w:tcW w:w="2729" w:type="dxa"/>
          </w:tcPr>
          <w:p w14:paraId="437756F3"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w:t>
            </w:r>
          </w:p>
        </w:tc>
        <w:tc>
          <w:tcPr>
            <w:tcW w:w="2451" w:type="dxa"/>
          </w:tcPr>
          <w:p w14:paraId="544F912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B81509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AFD0073"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59F67BC9" w14:textId="77777777" w:rsidTr="00256464">
        <w:trPr>
          <w:trHeight w:val="340"/>
        </w:trPr>
        <w:tc>
          <w:tcPr>
            <w:tcW w:w="1542" w:type="dxa"/>
          </w:tcPr>
          <w:p w14:paraId="49A0B46F"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ALK</w:t>
            </w:r>
          </w:p>
        </w:tc>
        <w:tc>
          <w:tcPr>
            <w:tcW w:w="2729" w:type="dxa"/>
          </w:tcPr>
          <w:p w14:paraId="3536DAD8"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w:t>
            </w:r>
          </w:p>
        </w:tc>
        <w:tc>
          <w:tcPr>
            <w:tcW w:w="2451" w:type="dxa"/>
          </w:tcPr>
          <w:p w14:paraId="1476661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1D38319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0FD42E0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069F6AB5" w14:textId="77777777" w:rsidTr="00256464">
        <w:trPr>
          <w:trHeight w:val="340"/>
        </w:trPr>
        <w:tc>
          <w:tcPr>
            <w:tcW w:w="1542" w:type="dxa"/>
          </w:tcPr>
          <w:p w14:paraId="5FF7C587"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BRAF</w:t>
            </w:r>
          </w:p>
        </w:tc>
        <w:tc>
          <w:tcPr>
            <w:tcW w:w="2729" w:type="dxa"/>
          </w:tcPr>
          <w:p w14:paraId="3F61C16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黑色素瘤、甲状腺癌、结直肠癌、卵巢癌、前列腺癌、胰腺癌、输卵管癌、腹膜癌、胃癌、胃食管腺癌、胆管癌、尿路上皮癌、胃肠道间质瘤、小肠腺癌、肾癌、胰神经内分泌肿瘤、血管母细胞瘤、子宫内膜癌、实体瘤</w:t>
            </w:r>
          </w:p>
        </w:tc>
        <w:tc>
          <w:tcPr>
            <w:tcW w:w="2451" w:type="dxa"/>
          </w:tcPr>
          <w:p w14:paraId="2444915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7587733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685B036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60A13D0" w14:textId="77777777" w:rsidTr="00256464">
        <w:trPr>
          <w:trHeight w:val="340"/>
        </w:trPr>
        <w:tc>
          <w:tcPr>
            <w:tcW w:w="1542" w:type="dxa"/>
          </w:tcPr>
          <w:p w14:paraId="2CCD49C4"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BRCA1</w:t>
            </w:r>
          </w:p>
        </w:tc>
        <w:tc>
          <w:tcPr>
            <w:tcW w:w="2729" w:type="dxa"/>
          </w:tcPr>
          <w:p w14:paraId="5A93BDE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乳腺癌、卵巢癌、前列腺癌、胰腺癌、输卵管癌、腹膜癌</w:t>
            </w:r>
          </w:p>
        </w:tc>
        <w:tc>
          <w:tcPr>
            <w:tcW w:w="2451" w:type="dxa"/>
          </w:tcPr>
          <w:p w14:paraId="70E8BDE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2BCB0EB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800E97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70D1A942" w14:textId="77777777" w:rsidTr="00256464">
        <w:trPr>
          <w:trHeight w:val="340"/>
        </w:trPr>
        <w:tc>
          <w:tcPr>
            <w:tcW w:w="1542" w:type="dxa"/>
          </w:tcPr>
          <w:p w14:paraId="0BA6DD45"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BRCA2</w:t>
            </w:r>
          </w:p>
        </w:tc>
        <w:tc>
          <w:tcPr>
            <w:tcW w:w="2729" w:type="dxa"/>
          </w:tcPr>
          <w:p w14:paraId="1B83573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乳腺癌、卵巢癌、前列腺癌、胰腺癌、输卵管癌、腹膜癌</w:t>
            </w:r>
          </w:p>
        </w:tc>
        <w:tc>
          <w:tcPr>
            <w:tcW w:w="2451" w:type="dxa"/>
          </w:tcPr>
          <w:p w14:paraId="18B5A6D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BCE08A8"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A2ECF3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CCA6085" w14:textId="77777777" w:rsidTr="00256464">
        <w:trPr>
          <w:trHeight w:val="340"/>
        </w:trPr>
        <w:tc>
          <w:tcPr>
            <w:tcW w:w="1542" w:type="dxa"/>
          </w:tcPr>
          <w:p w14:paraId="36572F1B"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EGFR</w:t>
            </w:r>
          </w:p>
        </w:tc>
        <w:tc>
          <w:tcPr>
            <w:tcW w:w="2729" w:type="dxa"/>
          </w:tcPr>
          <w:p w14:paraId="49B6E87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w:t>
            </w:r>
          </w:p>
        </w:tc>
        <w:tc>
          <w:tcPr>
            <w:tcW w:w="2451" w:type="dxa"/>
          </w:tcPr>
          <w:p w14:paraId="0900E5E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p.(S752_I759delinsEG)</w:t>
            </w:r>
          </w:p>
        </w:tc>
        <w:tc>
          <w:tcPr>
            <w:tcW w:w="1961" w:type="dxa"/>
          </w:tcPr>
          <w:p w14:paraId="0280FCD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21.65</w:t>
            </w:r>
            <w:r>
              <w:rPr>
                <w:rFonts w:ascii="思源黑体 CN Normal" w:eastAsia="思源黑体 CN Normal" w:hAnsi="思源黑体 CN Normal" w:cs="思源黑体 CN Light"/>
                <w:color w:val="000000" w:themeColor="text1"/>
                <w:kern w:val="0"/>
                <w:sz w:val="17"/>
                <w:szCs w:val="17"/>
              </w:rPr>
              <w:t>%</w:t>
            </w:r>
          </w:p>
        </w:tc>
        <w:tc>
          <w:tcPr>
            <w:tcW w:w="1659" w:type="dxa"/>
          </w:tcPr>
          <w:p w14:paraId="29701B0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tc>
      </w:tr>
      <w:tr w:rsidR="00256464" w14:paraId="5293FBDF" w14:textId="77777777" w:rsidTr="00256464">
        <w:trPr>
          <w:trHeight w:val="340"/>
        </w:trPr>
        <w:tc>
          <w:tcPr>
            <w:tcW w:w="1542" w:type="dxa"/>
          </w:tcPr>
          <w:p w14:paraId="0AE5B1E6"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ERBB2</w:t>
            </w:r>
          </w:p>
        </w:tc>
        <w:tc>
          <w:tcPr>
            <w:tcW w:w="2729" w:type="dxa"/>
          </w:tcPr>
          <w:p w14:paraId="28E6876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肺癌、乳腺癌、结直肠癌、胰腺癌、胃癌、胃食管腺癌、胆管癌</w:t>
            </w:r>
          </w:p>
        </w:tc>
        <w:tc>
          <w:tcPr>
            <w:tcW w:w="2451" w:type="dxa"/>
          </w:tcPr>
          <w:p w14:paraId="2EE4E21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1DC17EB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3280D53"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7F86460" w14:textId="77777777" w:rsidTr="00256464">
        <w:trPr>
          <w:trHeight w:val="340"/>
        </w:trPr>
        <w:tc>
          <w:tcPr>
            <w:tcW w:w="1542" w:type="dxa"/>
          </w:tcPr>
          <w:p w14:paraId="1232883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ESR1</w:t>
            </w:r>
          </w:p>
        </w:tc>
        <w:tc>
          <w:tcPr>
            <w:tcW w:w="2729" w:type="dxa"/>
          </w:tcPr>
          <w:p w14:paraId="37A120B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w:t>
            </w:r>
          </w:p>
        </w:tc>
        <w:tc>
          <w:tcPr>
            <w:tcW w:w="2451" w:type="dxa"/>
          </w:tcPr>
          <w:p w14:paraId="3B6FF74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516F060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B466E0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ED8AB4F" w14:textId="77777777" w:rsidTr="00256464">
        <w:trPr>
          <w:trHeight w:val="340"/>
        </w:trPr>
        <w:tc>
          <w:tcPr>
            <w:tcW w:w="1542" w:type="dxa"/>
          </w:tcPr>
          <w:p w14:paraId="1F2FA28D"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FGFR1</w:t>
            </w:r>
          </w:p>
        </w:tc>
        <w:tc>
          <w:tcPr>
            <w:tcW w:w="2729" w:type="dxa"/>
          </w:tcPr>
          <w:p w14:paraId="017BAF6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胰腺癌</w:t>
            </w:r>
          </w:p>
        </w:tc>
        <w:tc>
          <w:tcPr>
            <w:tcW w:w="2451" w:type="dxa"/>
          </w:tcPr>
          <w:p w14:paraId="0103B98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6F1977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D4B5A6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E6E120E" w14:textId="77777777" w:rsidTr="00256464">
        <w:trPr>
          <w:trHeight w:val="340"/>
        </w:trPr>
        <w:tc>
          <w:tcPr>
            <w:tcW w:w="1542" w:type="dxa"/>
          </w:tcPr>
          <w:p w14:paraId="6930E0EB"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FGFR2</w:t>
            </w:r>
          </w:p>
        </w:tc>
        <w:tc>
          <w:tcPr>
            <w:tcW w:w="2729" w:type="dxa"/>
          </w:tcPr>
          <w:p w14:paraId="133194C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胰腺癌、胆管癌、尿路上皮癌</w:t>
            </w:r>
          </w:p>
        </w:tc>
        <w:tc>
          <w:tcPr>
            <w:tcW w:w="2451" w:type="dxa"/>
          </w:tcPr>
          <w:p w14:paraId="702658D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A2BC85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CB171F8"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26FD8BCB" w14:textId="77777777" w:rsidTr="00256464">
        <w:trPr>
          <w:trHeight w:val="340"/>
        </w:trPr>
        <w:tc>
          <w:tcPr>
            <w:tcW w:w="1542" w:type="dxa"/>
          </w:tcPr>
          <w:p w14:paraId="6FB7908E"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FGFR3</w:t>
            </w:r>
          </w:p>
        </w:tc>
        <w:tc>
          <w:tcPr>
            <w:tcW w:w="2729" w:type="dxa"/>
          </w:tcPr>
          <w:p w14:paraId="70317FE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胰腺癌、尿路上皮癌</w:t>
            </w:r>
          </w:p>
        </w:tc>
        <w:tc>
          <w:tcPr>
            <w:tcW w:w="2451" w:type="dxa"/>
          </w:tcPr>
          <w:p w14:paraId="3603FB4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51CCE96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3D23F1B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39604787" w14:textId="77777777" w:rsidTr="00256464">
        <w:trPr>
          <w:trHeight w:val="340"/>
        </w:trPr>
        <w:tc>
          <w:tcPr>
            <w:tcW w:w="1542" w:type="dxa"/>
          </w:tcPr>
          <w:p w14:paraId="67E8C40F"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IDH1</w:t>
            </w:r>
          </w:p>
        </w:tc>
        <w:tc>
          <w:tcPr>
            <w:tcW w:w="2729" w:type="dxa"/>
          </w:tcPr>
          <w:p w14:paraId="67B6611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胆管癌</w:t>
            </w:r>
          </w:p>
        </w:tc>
        <w:tc>
          <w:tcPr>
            <w:tcW w:w="2451" w:type="dxa"/>
          </w:tcPr>
          <w:p w14:paraId="5AB6BF69"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2FDA111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5BCF4393"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28AA05F6" w14:textId="77777777" w:rsidTr="00256464">
        <w:trPr>
          <w:trHeight w:val="340"/>
        </w:trPr>
        <w:tc>
          <w:tcPr>
            <w:tcW w:w="1542" w:type="dxa"/>
          </w:tcPr>
          <w:p w14:paraId="3DA4D9D0"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KIT</w:t>
            </w:r>
          </w:p>
        </w:tc>
        <w:tc>
          <w:tcPr>
            <w:tcW w:w="2729" w:type="dxa"/>
          </w:tcPr>
          <w:p w14:paraId="7844DD3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黑色素瘤、胃肠道间质瘤</w:t>
            </w:r>
          </w:p>
        </w:tc>
        <w:tc>
          <w:tcPr>
            <w:tcW w:w="2451" w:type="dxa"/>
          </w:tcPr>
          <w:p w14:paraId="04E8AE2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6D6ECA9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E5EDF5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22215AA1" w14:textId="77777777" w:rsidTr="00256464">
        <w:trPr>
          <w:trHeight w:val="340"/>
        </w:trPr>
        <w:tc>
          <w:tcPr>
            <w:tcW w:w="1542" w:type="dxa"/>
          </w:tcPr>
          <w:p w14:paraId="1DB3788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KRAS</w:t>
            </w:r>
          </w:p>
        </w:tc>
        <w:tc>
          <w:tcPr>
            <w:tcW w:w="2729" w:type="dxa"/>
          </w:tcPr>
          <w:p w14:paraId="092465F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肺癌、结直肠癌、卵巢癌、胰腺癌、胆管癌</w:t>
            </w:r>
          </w:p>
        </w:tc>
        <w:tc>
          <w:tcPr>
            <w:tcW w:w="2451" w:type="dxa"/>
          </w:tcPr>
          <w:p w14:paraId="54682C5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3B79D24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B8400D9"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6C70B612" w14:textId="77777777" w:rsidTr="00256464">
        <w:trPr>
          <w:trHeight w:val="340"/>
        </w:trPr>
        <w:tc>
          <w:tcPr>
            <w:tcW w:w="1542" w:type="dxa"/>
          </w:tcPr>
          <w:p w14:paraId="749E8523"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MET</w:t>
            </w:r>
          </w:p>
        </w:tc>
        <w:tc>
          <w:tcPr>
            <w:tcW w:w="2729" w:type="dxa"/>
          </w:tcPr>
          <w:p w14:paraId="006687D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w:t>
            </w:r>
          </w:p>
        </w:tc>
        <w:tc>
          <w:tcPr>
            <w:tcW w:w="2451" w:type="dxa"/>
          </w:tcPr>
          <w:p w14:paraId="78758A1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503F3F1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563459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3E6D2BA4" w14:textId="77777777" w:rsidTr="00256464">
        <w:trPr>
          <w:trHeight w:val="340"/>
        </w:trPr>
        <w:tc>
          <w:tcPr>
            <w:tcW w:w="1542" w:type="dxa"/>
          </w:tcPr>
          <w:p w14:paraId="3B05CE0B"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NRAS</w:t>
            </w:r>
          </w:p>
        </w:tc>
        <w:tc>
          <w:tcPr>
            <w:tcW w:w="2729" w:type="dxa"/>
          </w:tcPr>
          <w:p w14:paraId="68BE5F6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黑色素瘤、结直肠癌</w:t>
            </w:r>
          </w:p>
        </w:tc>
        <w:tc>
          <w:tcPr>
            <w:tcW w:w="2451" w:type="dxa"/>
          </w:tcPr>
          <w:p w14:paraId="6A5FB3D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7483E1E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027E32B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7BCD68AD" w14:textId="77777777" w:rsidTr="00256464">
        <w:trPr>
          <w:trHeight w:val="340"/>
        </w:trPr>
        <w:tc>
          <w:tcPr>
            <w:tcW w:w="1542" w:type="dxa"/>
          </w:tcPr>
          <w:p w14:paraId="7D300825"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NRG1</w:t>
            </w:r>
          </w:p>
        </w:tc>
        <w:tc>
          <w:tcPr>
            <w:tcW w:w="2729" w:type="dxa"/>
          </w:tcPr>
          <w:p w14:paraId="36B574E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胰腺癌、胆管癌</w:t>
            </w:r>
          </w:p>
        </w:tc>
        <w:tc>
          <w:tcPr>
            <w:tcW w:w="2451" w:type="dxa"/>
          </w:tcPr>
          <w:p w14:paraId="6A53306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1475329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6F21B94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7D718FC" w14:textId="77777777" w:rsidTr="00256464">
        <w:trPr>
          <w:trHeight w:val="340"/>
        </w:trPr>
        <w:tc>
          <w:tcPr>
            <w:tcW w:w="1542" w:type="dxa"/>
          </w:tcPr>
          <w:p w14:paraId="1235A22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NTRK1</w:t>
            </w:r>
          </w:p>
        </w:tc>
        <w:tc>
          <w:tcPr>
            <w:tcW w:w="2729" w:type="dxa"/>
          </w:tcPr>
          <w:p w14:paraId="2E9B261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51" w:type="dxa"/>
          </w:tcPr>
          <w:p w14:paraId="110FF08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2B8A63A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71DA88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58E5B530" w14:textId="77777777" w:rsidTr="00256464">
        <w:trPr>
          <w:trHeight w:val="340"/>
        </w:trPr>
        <w:tc>
          <w:tcPr>
            <w:tcW w:w="1542" w:type="dxa"/>
          </w:tcPr>
          <w:p w14:paraId="21E66293"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NTRK2</w:t>
            </w:r>
          </w:p>
        </w:tc>
        <w:tc>
          <w:tcPr>
            <w:tcW w:w="2729" w:type="dxa"/>
          </w:tcPr>
          <w:p w14:paraId="1E6071E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肺癌、乳腺癌、黑色素瘤、甲状腺癌、结直肠癌、卵巢癌、前列腺癌、胰腺癌、输卵管癌、腹膜癌、胃癌、胃食管腺癌、胆管癌、尿路上皮癌、胃肠道间质瘤、小肠腺癌、肾癌、胰神经内</w:t>
            </w:r>
            <w:r>
              <w:rPr>
                <w:rFonts w:ascii="思源黑体 CN Normal" w:eastAsia="思源黑体 CN Normal" w:hAnsi="思源黑体 CN Normal" w:cs="思源黑体 CN Light"/>
                <w:color w:val="000000" w:themeColor="text1"/>
                <w:kern w:val="0"/>
                <w:sz w:val="17"/>
                <w:szCs w:val="17"/>
              </w:rPr>
              <w:lastRenderedPageBreak/>
              <w:t>分泌肿瘤、血管母细胞瘤、子宫内膜癌、实体瘤</w:t>
            </w:r>
          </w:p>
        </w:tc>
        <w:tc>
          <w:tcPr>
            <w:tcW w:w="2451" w:type="dxa"/>
          </w:tcPr>
          <w:p w14:paraId="74FD7B5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未检测到</w:t>
            </w:r>
          </w:p>
        </w:tc>
        <w:tc>
          <w:tcPr>
            <w:tcW w:w="1961" w:type="dxa"/>
          </w:tcPr>
          <w:p w14:paraId="3B726239"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E2EEA7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1EF3B80" w14:textId="77777777" w:rsidTr="00256464">
        <w:trPr>
          <w:trHeight w:val="340"/>
        </w:trPr>
        <w:tc>
          <w:tcPr>
            <w:tcW w:w="1542" w:type="dxa"/>
          </w:tcPr>
          <w:p w14:paraId="7F64EA18"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NTRK3</w:t>
            </w:r>
          </w:p>
        </w:tc>
        <w:tc>
          <w:tcPr>
            <w:tcW w:w="2729" w:type="dxa"/>
          </w:tcPr>
          <w:p w14:paraId="5D759DF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51" w:type="dxa"/>
          </w:tcPr>
          <w:p w14:paraId="043AFC1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65E661B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523E7A8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B471AE3" w14:textId="77777777" w:rsidTr="00256464">
        <w:trPr>
          <w:trHeight w:val="340"/>
        </w:trPr>
        <w:tc>
          <w:tcPr>
            <w:tcW w:w="1542" w:type="dxa"/>
          </w:tcPr>
          <w:p w14:paraId="11CA68A8"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PALB2</w:t>
            </w:r>
          </w:p>
        </w:tc>
        <w:tc>
          <w:tcPr>
            <w:tcW w:w="2729" w:type="dxa"/>
          </w:tcPr>
          <w:p w14:paraId="1D1DAFA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胰腺癌</w:t>
            </w:r>
          </w:p>
        </w:tc>
        <w:tc>
          <w:tcPr>
            <w:tcW w:w="2451" w:type="dxa"/>
          </w:tcPr>
          <w:p w14:paraId="16E7689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46A5208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7DED96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3A6FD22D" w14:textId="77777777" w:rsidTr="00256464">
        <w:trPr>
          <w:trHeight w:val="340"/>
        </w:trPr>
        <w:tc>
          <w:tcPr>
            <w:tcW w:w="1542" w:type="dxa"/>
          </w:tcPr>
          <w:p w14:paraId="01DF4179"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PDGFRA</w:t>
            </w:r>
          </w:p>
        </w:tc>
        <w:tc>
          <w:tcPr>
            <w:tcW w:w="2729" w:type="dxa"/>
          </w:tcPr>
          <w:p w14:paraId="6CDF6B9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胃肠道间质瘤</w:t>
            </w:r>
          </w:p>
        </w:tc>
        <w:tc>
          <w:tcPr>
            <w:tcW w:w="2451" w:type="dxa"/>
          </w:tcPr>
          <w:p w14:paraId="523049C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218ACBF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64C0259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228A41D5" w14:textId="77777777" w:rsidTr="00256464">
        <w:trPr>
          <w:trHeight w:val="340"/>
        </w:trPr>
        <w:tc>
          <w:tcPr>
            <w:tcW w:w="1542" w:type="dxa"/>
          </w:tcPr>
          <w:p w14:paraId="6EDECF87"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PIK3CA</w:t>
            </w:r>
          </w:p>
        </w:tc>
        <w:tc>
          <w:tcPr>
            <w:tcW w:w="2729" w:type="dxa"/>
          </w:tcPr>
          <w:p w14:paraId="74CC5D4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乳腺癌、结直肠癌</w:t>
            </w:r>
          </w:p>
        </w:tc>
        <w:tc>
          <w:tcPr>
            <w:tcW w:w="2451" w:type="dxa"/>
          </w:tcPr>
          <w:p w14:paraId="5F2495D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199603F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2B2416C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706E6E8F" w14:textId="77777777" w:rsidTr="00256464">
        <w:trPr>
          <w:trHeight w:val="340"/>
        </w:trPr>
        <w:tc>
          <w:tcPr>
            <w:tcW w:w="1542" w:type="dxa"/>
          </w:tcPr>
          <w:p w14:paraId="2D0C600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POLD1</w:t>
            </w:r>
          </w:p>
        </w:tc>
        <w:tc>
          <w:tcPr>
            <w:tcW w:w="2729" w:type="dxa"/>
          </w:tcPr>
          <w:p w14:paraId="4ECD73C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结直肠癌、小肠腺癌</w:t>
            </w:r>
          </w:p>
        </w:tc>
        <w:tc>
          <w:tcPr>
            <w:tcW w:w="2451" w:type="dxa"/>
          </w:tcPr>
          <w:p w14:paraId="3ADF040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18A9D0D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5BCA0B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19CF0B07" w14:textId="77777777" w:rsidTr="00256464">
        <w:trPr>
          <w:trHeight w:val="340"/>
        </w:trPr>
        <w:tc>
          <w:tcPr>
            <w:tcW w:w="1542" w:type="dxa"/>
          </w:tcPr>
          <w:p w14:paraId="57945B3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POLE</w:t>
            </w:r>
          </w:p>
        </w:tc>
        <w:tc>
          <w:tcPr>
            <w:tcW w:w="2729" w:type="dxa"/>
          </w:tcPr>
          <w:p w14:paraId="717CED3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结直肠癌、小肠腺癌、子宫内膜癌</w:t>
            </w:r>
          </w:p>
        </w:tc>
        <w:tc>
          <w:tcPr>
            <w:tcW w:w="2451" w:type="dxa"/>
          </w:tcPr>
          <w:p w14:paraId="60A5C18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51FD606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0067665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6FBF7162" w14:textId="77777777" w:rsidTr="00256464">
        <w:trPr>
          <w:trHeight w:val="340"/>
        </w:trPr>
        <w:tc>
          <w:tcPr>
            <w:tcW w:w="1542" w:type="dxa"/>
          </w:tcPr>
          <w:p w14:paraId="36E6CE15"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PTEN</w:t>
            </w:r>
          </w:p>
        </w:tc>
        <w:tc>
          <w:tcPr>
            <w:tcW w:w="2729" w:type="dxa"/>
          </w:tcPr>
          <w:p w14:paraId="4F7CC8D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乳腺癌</w:t>
            </w:r>
          </w:p>
        </w:tc>
        <w:tc>
          <w:tcPr>
            <w:tcW w:w="2451" w:type="dxa"/>
          </w:tcPr>
          <w:p w14:paraId="01328C0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B335FF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4CF50B4D"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74BC0DAA" w14:textId="77777777" w:rsidTr="00256464">
        <w:trPr>
          <w:trHeight w:val="340"/>
        </w:trPr>
        <w:tc>
          <w:tcPr>
            <w:tcW w:w="1542" w:type="dxa"/>
          </w:tcPr>
          <w:p w14:paraId="1E6DAE0C"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RET</w:t>
            </w:r>
          </w:p>
        </w:tc>
        <w:tc>
          <w:tcPr>
            <w:tcW w:w="2729" w:type="dxa"/>
          </w:tcPr>
          <w:p w14:paraId="70BAB62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乳腺癌、黑色素瘤、甲状腺癌、结直肠癌、卵巢癌、前列腺癌、胰腺癌、输卵管癌、腹膜癌、胃癌、胃食管腺癌、胆管癌、尿路上皮癌、胃肠道间质瘤、小肠腺癌、肾癌、胰神经内分泌肿瘤、血管母细胞瘤、子宫内膜癌、实体瘤</w:t>
            </w:r>
          </w:p>
        </w:tc>
        <w:tc>
          <w:tcPr>
            <w:tcW w:w="2451" w:type="dxa"/>
          </w:tcPr>
          <w:p w14:paraId="45EA23E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426FF79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5C7AF95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15B58170" w14:textId="77777777" w:rsidTr="00256464">
        <w:trPr>
          <w:trHeight w:val="340"/>
        </w:trPr>
        <w:tc>
          <w:tcPr>
            <w:tcW w:w="1542" w:type="dxa"/>
          </w:tcPr>
          <w:p w14:paraId="6D652027"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ROS1</w:t>
            </w:r>
          </w:p>
        </w:tc>
        <w:tc>
          <w:tcPr>
            <w:tcW w:w="2729" w:type="dxa"/>
          </w:tcPr>
          <w:p w14:paraId="5B8F598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肺癌</w:t>
            </w:r>
          </w:p>
        </w:tc>
        <w:tc>
          <w:tcPr>
            <w:tcW w:w="2451" w:type="dxa"/>
          </w:tcPr>
          <w:p w14:paraId="25695B8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55E9A76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FC723CE"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0EF70528" w14:textId="77777777" w:rsidTr="00256464">
        <w:trPr>
          <w:trHeight w:val="340"/>
        </w:trPr>
        <w:tc>
          <w:tcPr>
            <w:tcW w:w="1542" w:type="dxa"/>
          </w:tcPr>
          <w:p w14:paraId="6F3352DE"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SMARCB1</w:t>
            </w:r>
          </w:p>
        </w:tc>
        <w:tc>
          <w:tcPr>
            <w:tcW w:w="2729" w:type="dxa"/>
          </w:tcPr>
          <w:p w14:paraId="1EFEFCCC"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肾癌</w:t>
            </w:r>
          </w:p>
        </w:tc>
        <w:tc>
          <w:tcPr>
            <w:tcW w:w="2451" w:type="dxa"/>
          </w:tcPr>
          <w:p w14:paraId="3734D22F"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0070382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6C2628C5"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43AE5E50" w14:textId="77777777" w:rsidTr="00256464">
        <w:trPr>
          <w:trHeight w:val="340"/>
        </w:trPr>
        <w:tc>
          <w:tcPr>
            <w:tcW w:w="1542" w:type="dxa"/>
          </w:tcPr>
          <w:p w14:paraId="358D8AA7"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TP53</w:t>
            </w:r>
          </w:p>
        </w:tc>
        <w:tc>
          <w:tcPr>
            <w:tcW w:w="2729" w:type="dxa"/>
          </w:tcPr>
          <w:p w14:paraId="120CE83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子宫内膜癌</w:t>
            </w:r>
          </w:p>
        </w:tc>
        <w:tc>
          <w:tcPr>
            <w:tcW w:w="2451" w:type="dxa"/>
          </w:tcPr>
          <w:p w14:paraId="1435144B"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p.(R280T)</w:t>
            </w:r>
          </w:p>
        </w:tc>
        <w:tc>
          <w:tcPr>
            <w:tcW w:w="1961" w:type="dxa"/>
          </w:tcPr>
          <w:p w14:paraId="53584F52"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3.33%</w:t>
            </w:r>
          </w:p>
        </w:tc>
        <w:tc>
          <w:tcPr>
            <w:tcW w:w="1659" w:type="dxa"/>
          </w:tcPr>
          <w:p w14:paraId="7DE7E0F7"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tc>
      </w:tr>
      <w:tr w:rsidR="00256464" w14:paraId="4923BA9D" w14:textId="77777777" w:rsidTr="00256464">
        <w:trPr>
          <w:trHeight w:val="340"/>
        </w:trPr>
        <w:tc>
          <w:tcPr>
            <w:tcW w:w="1542" w:type="dxa"/>
          </w:tcPr>
          <w:p w14:paraId="13650333" w14:textId="77777777" w:rsidR="00256464" w:rsidRDefault="00000000">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VHL</w:t>
            </w:r>
          </w:p>
        </w:tc>
        <w:tc>
          <w:tcPr>
            <w:tcW w:w="2729" w:type="dxa"/>
          </w:tcPr>
          <w:p w14:paraId="253870B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肾癌、胰神经内分泌瘤、血管母细胞瘤</w:t>
            </w:r>
          </w:p>
        </w:tc>
        <w:tc>
          <w:tcPr>
            <w:tcW w:w="2451" w:type="dxa"/>
          </w:tcPr>
          <w:p w14:paraId="0149681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1961" w:type="dxa"/>
          </w:tcPr>
          <w:p w14:paraId="7829F524"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1659" w:type="dxa"/>
          </w:tcPr>
          <w:p w14:paraId="7CAE6348"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r w:rsidR="00256464" w14:paraId="1398C921" w14:textId="77777777" w:rsidTr="00256464">
        <w:trPr>
          <w:trHeight w:val="340"/>
        </w:trPr>
        <w:tc>
          <w:tcPr>
            <w:tcW w:w="1542" w:type="dxa"/>
          </w:tcPr>
          <w:p w14:paraId="7ABB03CE" w14:textId="77777777" w:rsidR="00256464" w:rsidRDefault="00000000">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738DEFD1"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7361A0A"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SS</w:t>
            </w:r>
          </w:p>
        </w:tc>
        <w:tc>
          <w:tcPr>
            <w:tcW w:w="1961" w:type="dxa"/>
          </w:tcPr>
          <w:p w14:paraId="6191C7E0"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c>
          <w:tcPr>
            <w:tcW w:w="1659" w:type="dxa"/>
          </w:tcPr>
          <w:p w14:paraId="30ADB8D6" w14:textId="77777777" w:rsidR="00256464" w:rsidRDefault="0000000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tc>
      </w:tr>
    </w:tbl>
    <w:p w14:paraId="6768B33B"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6B0B9C6"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34D3A484" w14:textId="77777777" w:rsidR="00256464" w:rsidRDefault="00256464">
      <w:pPr>
        <w:widowControl/>
        <w:spacing w:line="20" w:lineRule="exact"/>
        <w:jc w:val="left"/>
      </w:pPr>
    </w:p>
    <w:p w14:paraId="365B2FA6"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256464" w14:paraId="210FBD3A"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33FC905" w14:textId="77777777" w:rsidR="00256464"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256464" w14:paraId="158667B0"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73DB2FEF" w14:textId="77777777" w:rsidR="00256464" w:rsidRDefault="00000000">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3ACAEA2C" w14:textId="77777777" w:rsidR="00256464" w:rsidRDefault="00000000">
            <w:pPr>
              <w:adjustRightInd w:val="0"/>
              <w:snapToGrid w:val="0"/>
              <w:ind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MSS（微卫星稳定）</w:t>
            </w:r>
          </w:p>
        </w:tc>
      </w:tr>
      <w:tr w:rsidR="00256464" w14:paraId="10E895E0"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60448C46" w14:textId="77777777" w:rsidR="00256464" w:rsidRDefault="00000000">
            <w:pPr>
              <w:adjustRightInd w:val="0"/>
              <w:snapToGrid w:val="0"/>
              <w:ind w:firstLineChars="50" w:firstLine="9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40C64241" w14:textId="77777777" w:rsidR="00256464" w:rsidRDefault="00000000">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45CA792F" w14:textId="77777777" w:rsidR="00256464"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97CC81"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256464" w14:paraId="4FE53906"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718D2ED4" w14:textId="77777777" w:rsidR="00256464" w:rsidRDefault="00256464">
            <w:pPr>
              <w:adjustRightInd w:val="0"/>
              <w:snapToGrid w:val="0"/>
              <w:spacing w:line="260" w:lineRule="exact"/>
              <w:jc w:val="center"/>
              <w:rPr>
                <w:rFonts w:ascii="思源黑体 CN Normal" w:eastAsia="思源黑体 CN Normal" w:hAnsi="思源黑体 CN Normal" w:hint="eastAsia"/>
                <w:sz w:val="18"/>
                <w:szCs w:val="18"/>
              </w:rPr>
            </w:pPr>
          </w:p>
          <w:p w14:paraId="504A5D2C" w14:textId="77777777" w:rsidR="00256464" w:rsidRDefault="00256464">
            <w:pPr>
              <w:adjustRightInd w:val="0"/>
              <w:snapToGrid w:val="0"/>
              <w:spacing w:line="260" w:lineRule="exact"/>
              <w:jc w:val="center"/>
              <w:rPr>
                <w:rFonts w:ascii="思源黑体 CN Normal" w:eastAsia="思源黑体 CN Normal" w:hAnsi="思源黑体 CN Normal" w:hint="eastAsia"/>
                <w:sz w:val="18"/>
                <w:szCs w:val="18"/>
              </w:rPr>
            </w:pPr>
          </w:p>
        </w:tc>
      </w:tr>
      <w:tr w:rsidR="00256464" w14:paraId="7910962A"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7C9856E" w14:textId="77777777" w:rsidR="00256464" w:rsidRDefault="00000000">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256464" w14:paraId="62AE3325"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0C5DB4DC"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1F0091C" w14:textId="77777777" w:rsidR="00256464" w:rsidRDefault="00000000">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709A1896" w14:textId="77777777" w:rsidR="00256464" w:rsidRDefault="00000000">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256464" w14:paraId="427A8A7B"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4FECFE90"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51EEB846"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val="restart"/>
            <w:tcBorders>
              <w:top w:val="single" w:sz="4" w:space="0" w:color="16A085"/>
              <w:left w:val="dashed" w:sz="4" w:space="0" w:color="BFBFBF"/>
              <w:right w:val="nil"/>
            </w:tcBorders>
            <w:vAlign w:val="center"/>
          </w:tcPr>
          <w:p w14:paraId="4E2026BA" w14:textId="77777777" w:rsidR="00256464" w:rsidRDefault="00000000">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56464" w14:paraId="3C40584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21F7383"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3B9F58D5"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6B1FC11D"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6821797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B87F84F"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7A4DB7FA"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1297E464"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3DC4B2F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73D995A"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41310AB4"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117482A5"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54DE98E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E1231A1"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06B20C"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2AE957EB"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0512737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A9BC6A7"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4520E97B"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1AA9F46B"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52EF4D7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FE40707"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59EE61DF"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292D890C"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2A5E5AD8"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17B288B"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2CCF2853"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224ACB1A"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42BAE53A"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0CFE55E"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29EF2E8"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66D98B1E"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7EE2E96A"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F8A80E"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C53ED96"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right w:val="nil"/>
            </w:tcBorders>
            <w:vAlign w:val="center"/>
          </w:tcPr>
          <w:p w14:paraId="1ACE7ECB"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6D2751A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2218623" w14:textId="77777777" w:rsidR="00256464" w:rsidRDefault="00000000">
            <w:pPr>
              <w:adjustRightInd w:val="0"/>
              <w:snapToGrid w:val="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3B23C5A8"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bottom w:val="dashed" w:sz="4" w:space="0" w:color="BFBFBF"/>
              <w:right w:val="nil"/>
            </w:tcBorders>
            <w:vAlign w:val="center"/>
          </w:tcPr>
          <w:p w14:paraId="666288CF" w14:textId="77777777" w:rsidR="00256464" w:rsidRDefault="00256464">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256464" w14:paraId="3E692DF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7549F1"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6A27233"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val="restart"/>
            <w:tcBorders>
              <w:top w:val="dashed" w:sz="4" w:space="0" w:color="BFBFBF"/>
              <w:left w:val="dashed" w:sz="4" w:space="0" w:color="BFBFBF"/>
              <w:bottom w:val="nil"/>
              <w:right w:val="nil"/>
            </w:tcBorders>
            <w:shd w:val="clear" w:color="auto" w:fill="ECECEC"/>
            <w:vAlign w:val="center"/>
          </w:tcPr>
          <w:p w14:paraId="0103EB98"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0E71CA43"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56464" w14:paraId="30B8AC23"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415B9A8"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0803E7E"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bottom w:val="nil"/>
              <w:right w:val="nil"/>
            </w:tcBorders>
            <w:vAlign w:val="center"/>
          </w:tcPr>
          <w:p w14:paraId="42EA4728" w14:textId="77777777" w:rsidR="00256464" w:rsidRDefault="0025646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56464" w14:paraId="3BAF566E"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7B0960E"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C795AAD"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bottom w:val="nil"/>
              <w:right w:val="nil"/>
            </w:tcBorders>
            <w:vAlign w:val="center"/>
          </w:tcPr>
          <w:p w14:paraId="26984C2E" w14:textId="77777777" w:rsidR="00256464" w:rsidRDefault="0025646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56464" w14:paraId="4B7DB184"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938C02"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6EFE98"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bottom w:val="dashed" w:sz="4" w:space="0" w:color="BFBFBF"/>
              <w:right w:val="nil"/>
            </w:tcBorders>
            <w:vAlign w:val="center"/>
          </w:tcPr>
          <w:p w14:paraId="0829ED35" w14:textId="77777777" w:rsidR="00256464" w:rsidRDefault="0025646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56464" w14:paraId="3DC9504B"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00FF5B0"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6F512784"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val="restart"/>
            <w:tcBorders>
              <w:top w:val="dashed" w:sz="4" w:space="0" w:color="BFBFBF"/>
              <w:left w:val="dashed" w:sz="4" w:space="0" w:color="BFBFBF"/>
              <w:right w:val="nil"/>
            </w:tcBorders>
            <w:vAlign w:val="center"/>
          </w:tcPr>
          <w:p w14:paraId="1765F734"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56464" w14:paraId="1EB5453A"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F1A353E"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5B799038"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vMerge/>
            <w:tcBorders>
              <w:left w:val="dashed" w:sz="4" w:space="0" w:color="BFBFBF"/>
              <w:bottom w:val="dashed" w:sz="4" w:space="0" w:color="BFBFBF"/>
              <w:right w:val="nil"/>
            </w:tcBorders>
            <w:vAlign w:val="center"/>
          </w:tcPr>
          <w:p w14:paraId="619EA88E" w14:textId="77777777" w:rsidR="00256464" w:rsidRDefault="00256464">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256464" w14:paraId="4D1E199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2D7C4B"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0601E5"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p.(R280T)</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0836DF6"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56464" w14:paraId="69891A3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6C85135"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1DE028A9"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vAlign w:val="center"/>
          </w:tcPr>
          <w:p w14:paraId="3B849D08"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56464" w14:paraId="7E1162C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C08A4C"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867448"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2527AC80" w14:textId="77777777" w:rsidR="00256464" w:rsidRDefault="00000000">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56464" w14:paraId="3A572911"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7C070936"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lastRenderedPageBreak/>
              <w:t>ARID1A</w:t>
            </w:r>
          </w:p>
        </w:tc>
        <w:tc>
          <w:tcPr>
            <w:tcW w:w="2089" w:type="dxa"/>
            <w:tcBorders>
              <w:top w:val="dashed" w:sz="4" w:space="0" w:color="BFBFBF"/>
              <w:left w:val="dashed" w:sz="4" w:space="0" w:color="BFBFBF"/>
              <w:bottom w:val="nil"/>
              <w:right w:val="dashed" w:sz="4" w:space="0" w:color="BFBFBF"/>
            </w:tcBorders>
            <w:vAlign w:val="center"/>
          </w:tcPr>
          <w:p w14:paraId="34F96151"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nil"/>
              <w:right w:val="nil"/>
            </w:tcBorders>
            <w:vAlign w:val="center"/>
          </w:tcPr>
          <w:p w14:paraId="5E172E46"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56464" w14:paraId="25F50501"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CF51C2"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8805E7C"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FB5A12C" w14:textId="77777777" w:rsidR="00256464" w:rsidRDefault="00000000">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256464" w14:paraId="6287836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3CDC01E"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4750270C"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vAlign w:val="center"/>
          </w:tcPr>
          <w:p w14:paraId="68F6E3A1" w14:textId="77777777" w:rsidR="00256464" w:rsidRDefault="000000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56464" w14:paraId="016B603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C83606"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CD3B7A"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66F931C" w14:textId="77777777" w:rsidR="00256464" w:rsidRDefault="000000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256464" w14:paraId="30397BA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F568C3A"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064E3EAE"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dashed" w:sz="4" w:space="0" w:color="BFBFBF"/>
              <w:right w:val="nil"/>
            </w:tcBorders>
            <w:vAlign w:val="center"/>
          </w:tcPr>
          <w:p w14:paraId="02C73B45" w14:textId="77777777" w:rsidR="00256464" w:rsidRDefault="00000000">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256464" w14:paraId="19606C98"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284A877C"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E3C7AE6"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01439965" w14:textId="77777777" w:rsidR="00256464" w:rsidRDefault="00000000">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332BFD7" w14:textId="77777777" w:rsidR="00256464" w:rsidRDefault="00000000">
      <w:pPr>
        <w:spacing w:afterLines="20" w:after="62" w:line="200" w:lineRule="exact"/>
        <w:rPr>
          <w:rFonts w:ascii="思源黑体 CN Normal" w:eastAsia="思源黑体 CN Normal" w:hAnsi="思源黑体 CN Normal" w:hint="eastAsia"/>
          <w:b/>
          <w:bCs/>
          <w:color w:val="595959"/>
          <w:sz w:val="16"/>
          <w:szCs w:val="16"/>
        </w:rPr>
      </w:pPr>
      <w:r>
        <w:rPr>
          <w:rFonts w:ascii="思源黑体 CN Normal" w:eastAsia="思源黑体 CN Normal" w:hAnsi="思源黑体 CN Normal" w:hint="eastAsia"/>
          <w:b/>
          <w:bCs/>
          <w:color w:val="595959"/>
          <w:sz w:val="16"/>
          <w:szCs w:val="16"/>
        </w:rPr>
        <w:t>注：</w:t>
      </w:r>
    </w:p>
    <w:p w14:paraId="6CF6580F"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256464" w14:paraId="43329425"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19D1B71" w14:textId="77777777" w:rsidR="00256464" w:rsidRDefault="00000000">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256464" w14:paraId="5AD4FB63"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66A1DF8" w14:textId="77777777" w:rsidR="00256464" w:rsidRDefault="00000000">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00C745C" w14:textId="77777777" w:rsidR="00256464" w:rsidRDefault="00000000">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68D8A8EA" w14:textId="77777777" w:rsidR="00256464" w:rsidRDefault="00000000">
            <w:pPr>
              <w:adjustRightInd w:val="0"/>
              <w:snapToGrid w:val="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检测意义</w:t>
            </w:r>
          </w:p>
        </w:tc>
      </w:tr>
      <w:tr w:rsidR="00256464" w14:paraId="0923C8ED"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37BCF1C3" w14:textId="77777777" w:rsidR="00256464" w:rsidRDefault="00000000">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669395C9"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p.(S752_I759delinsEG)</w:t>
            </w:r>
          </w:p>
        </w:tc>
        <w:tc>
          <w:tcPr>
            <w:tcW w:w="6676" w:type="dxa"/>
            <w:vMerge w:val="restart"/>
            <w:tcBorders>
              <w:top w:val="single" w:sz="4" w:space="0" w:color="16A085"/>
              <w:left w:val="dashed" w:sz="4" w:space="0" w:color="BFBFBF"/>
              <w:right w:val="nil"/>
            </w:tcBorders>
            <w:vAlign w:val="center"/>
          </w:tcPr>
          <w:p w14:paraId="46E638F4"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56464" w14:paraId="48ADEC00"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DFEF3C"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75E9A10B"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dashed" w:sz="4" w:space="0" w:color="BFBFBF"/>
              <w:right w:val="nil"/>
            </w:tcBorders>
            <w:vAlign w:val="center"/>
          </w:tcPr>
          <w:p w14:paraId="1ED41171"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17D9BD22"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3438E92"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15752"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val="restart"/>
            <w:tcBorders>
              <w:top w:val="dashed" w:sz="4" w:space="0" w:color="BFBFBF"/>
              <w:left w:val="dashed" w:sz="4" w:space="0" w:color="BFBFBF"/>
              <w:right w:val="nil"/>
            </w:tcBorders>
            <w:shd w:val="clear" w:color="auto" w:fill="ECECEC"/>
            <w:vAlign w:val="center"/>
          </w:tcPr>
          <w:p w14:paraId="513FCE4A"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256464" w14:paraId="73484B80"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9896F"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5A3720"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dashed" w:sz="4" w:space="0" w:color="BFBFBF"/>
              <w:right w:val="nil"/>
            </w:tcBorders>
            <w:vAlign w:val="center"/>
          </w:tcPr>
          <w:p w14:paraId="41018B42"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5917C46E"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7855640"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14AACB2"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val="restart"/>
            <w:tcBorders>
              <w:top w:val="dashed" w:sz="4" w:space="0" w:color="BFBFBF"/>
              <w:left w:val="dashed" w:sz="4" w:space="0" w:color="BFBFBF"/>
              <w:right w:val="nil"/>
            </w:tcBorders>
            <w:vAlign w:val="center"/>
          </w:tcPr>
          <w:p w14:paraId="78CFDB2A"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56464" w14:paraId="76081CC0"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FD798A2"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D07758B"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dashed" w:sz="4" w:space="0" w:color="BFBFBF"/>
              <w:right w:val="nil"/>
            </w:tcBorders>
            <w:vAlign w:val="center"/>
          </w:tcPr>
          <w:p w14:paraId="7234FE2E"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18A3874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43DD46"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8C9315"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9F35F80"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256464" w14:paraId="635BA3CC"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48A2143"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522AD916"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tcBorders>
              <w:top w:val="dashed" w:sz="4" w:space="0" w:color="BFBFBF"/>
              <w:left w:val="dashed" w:sz="4" w:space="0" w:color="BFBFBF"/>
              <w:bottom w:val="dashed" w:sz="4" w:space="0" w:color="BFBFBF"/>
              <w:right w:val="nil"/>
            </w:tcBorders>
            <w:vAlign w:val="center"/>
          </w:tcPr>
          <w:p w14:paraId="50D70159"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56464" w14:paraId="411D550F"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DA7BB99"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D4CB67"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val="restart"/>
            <w:tcBorders>
              <w:top w:val="dashed" w:sz="4" w:space="0" w:color="BFBFBF"/>
              <w:left w:val="dashed" w:sz="4" w:space="0" w:color="BFBFBF"/>
              <w:bottom w:val="nil"/>
              <w:right w:val="nil"/>
            </w:tcBorders>
            <w:shd w:val="clear" w:color="auto" w:fill="ECECEC"/>
            <w:vAlign w:val="center"/>
          </w:tcPr>
          <w:p w14:paraId="1C8BFAB3"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56464" w14:paraId="4F9EC40A"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54E47D"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CE4030"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nil"/>
              <w:right w:val="nil"/>
            </w:tcBorders>
            <w:shd w:val="clear" w:color="auto" w:fill="ECECEC"/>
            <w:vAlign w:val="center"/>
          </w:tcPr>
          <w:p w14:paraId="6F8154CA"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2AA04B0F"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D39AD0"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6D59D"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dashed" w:sz="4" w:space="0" w:color="BFBFBF"/>
              <w:right w:val="nil"/>
            </w:tcBorders>
            <w:shd w:val="clear" w:color="auto" w:fill="ECECEC"/>
            <w:vAlign w:val="center"/>
          </w:tcPr>
          <w:p w14:paraId="1A9D966B"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7A595BB7"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26C3D2A"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6D734F5E"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val="restart"/>
            <w:tcBorders>
              <w:top w:val="dashed" w:sz="4" w:space="0" w:color="BFBFBF"/>
              <w:left w:val="dashed" w:sz="4" w:space="0" w:color="BFBFBF"/>
              <w:right w:val="nil"/>
            </w:tcBorders>
            <w:vAlign w:val="center"/>
          </w:tcPr>
          <w:p w14:paraId="7BB8C48D"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56464" w14:paraId="2F1B4CC7"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1207D7B"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67AB737"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vMerge/>
            <w:tcBorders>
              <w:left w:val="dashed" w:sz="4" w:space="0" w:color="BFBFBF"/>
              <w:bottom w:val="dashed" w:sz="4" w:space="0" w:color="BFBFBF"/>
              <w:right w:val="nil"/>
            </w:tcBorders>
            <w:vAlign w:val="center"/>
          </w:tcPr>
          <w:p w14:paraId="0CD3A987" w14:textId="77777777" w:rsidR="00256464" w:rsidRDefault="00256464">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256464" w14:paraId="6AD24A11"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5D32A1"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36C1724"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4C092F4"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256464" w14:paraId="3046B944"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0706D8E" w14:textId="77777777" w:rsidR="00256464" w:rsidRDefault="000000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1427B256"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tcBorders>
              <w:top w:val="dashed" w:sz="4" w:space="0" w:color="BFBFBF"/>
              <w:left w:val="dashed" w:sz="4" w:space="0" w:color="BFBFBF"/>
              <w:bottom w:val="dashed" w:sz="4" w:space="0" w:color="BFBFBF"/>
              <w:right w:val="nil"/>
            </w:tcBorders>
            <w:vAlign w:val="center"/>
          </w:tcPr>
          <w:p w14:paraId="51F1473C"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256464" w14:paraId="350CBC36"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43E31D5" w14:textId="77777777" w:rsidR="00256464" w:rsidRDefault="00000000">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010A80D7" w14:textId="77777777" w:rsidR="00256464" w:rsidRDefault="00000000">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AFD5E06" w14:textId="77777777" w:rsidR="00256464" w:rsidRDefault="00000000">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449D3327" w14:textId="77777777" w:rsidR="00256464" w:rsidRDefault="00000000">
      <w:pPr>
        <w:spacing w:afterLines="20" w:after="62" w:line="200" w:lineRule="exact"/>
        <w:rPr>
          <w:rFonts w:ascii="思源黑体 CN Normal" w:eastAsia="思源黑体 CN Normal" w:hAnsi="思源黑体 CN Normal" w:hint="eastAsia"/>
          <w:b/>
          <w:bCs/>
          <w:color w:val="595959"/>
          <w:sz w:val="16"/>
          <w:szCs w:val="16"/>
        </w:rPr>
      </w:pPr>
      <w:r>
        <w:rPr>
          <w:rFonts w:ascii="思源黑体 CN Normal" w:eastAsia="思源黑体 CN Normal" w:hAnsi="思源黑体 CN Normal" w:hint="eastAsia"/>
          <w:b/>
          <w:bCs/>
          <w:color w:val="595959"/>
          <w:sz w:val="16"/>
          <w:szCs w:val="16"/>
        </w:rPr>
        <w:t>注：</w:t>
      </w:r>
    </w:p>
    <w:p w14:paraId="5DC044F5" w14:textId="77777777" w:rsidR="00256464" w:rsidRDefault="00000000">
      <w:pPr>
        <w:ind w:firstLineChars="200" w:firstLine="320"/>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34224ECF" w14:textId="77777777" w:rsidR="00256464" w:rsidRDefault="00000000">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256464" w14:paraId="32914F32" w14:textId="77777777" w:rsidTr="00256464">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33632F1"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14D15EC"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354EFECA"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56464" w14:paraId="1499B049" w14:textId="77777777" w:rsidTr="00256464">
        <w:trPr>
          <w:trHeight w:val="397"/>
        </w:trPr>
        <w:tc>
          <w:tcPr>
            <w:tcW w:w="2268" w:type="dxa"/>
          </w:tcPr>
          <w:p w14:paraId="0B97F367"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FAT1</w:t>
            </w:r>
          </w:p>
        </w:tc>
        <w:tc>
          <w:tcPr>
            <w:tcW w:w="6237" w:type="dxa"/>
          </w:tcPr>
          <w:p w14:paraId="5F617FC5"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exon2 c.2642G&gt;A p.(R881H)</w:t>
            </w:r>
          </w:p>
          <w:p w14:paraId="3A6FA21A"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NM_005245.4</w:t>
            </w:r>
          </w:p>
        </w:tc>
        <w:tc>
          <w:tcPr>
            <w:tcW w:w="1841" w:type="dxa"/>
          </w:tcPr>
          <w:p w14:paraId="67AA8ABF"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6.03%</w:t>
            </w:r>
          </w:p>
        </w:tc>
      </w:tr>
      <w:tr w:rsidR="00256464" w14:paraId="713AB268" w14:textId="77777777" w:rsidTr="00256464">
        <w:trPr>
          <w:trHeight w:val="397"/>
        </w:trPr>
        <w:tc>
          <w:tcPr>
            <w:tcW w:w="2268" w:type="dxa"/>
          </w:tcPr>
          <w:p w14:paraId="670C8D66"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KEAP1</w:t>
            </w:r>
          </w:p>
        </w:tc>
        <w:tc>
          <w:tcPr>
            <w:tcW w:w="6237" w:type="dxa"/>
          </w:tcPr>
          <w:p w14:paraId="67997AB0"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exon5 c.1653G&gt;A p.(K551=)</w:t>
            </w:r>
          </w:p>
          <w:p w14:paraId="06049CB7"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NM_203500.2</w:t>
            </w:r>
          </w:p>
        </w:tc>
        <w:tc>
          <w:tcPr>
            <w:tcW w:w="1841" w:type="dxa"/>
          </w:tcPr>
          <w:p w14:paraId="79FCC5BC"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49.64%</w:t>
            </w:r>
          </w:p>
        </w:tc>
      </w:tr>
      <w:tr w:rsidR="00256464" w14:paraId="3DFC47D0" w14:textId="77777777" w:rsidTr="00256464">
        <w:trPr>
          <w:trHeight w:val="397"/>
        </w:trPr>
        <w:tc>
          <w:tcPr>
            <w:tcW w:w="2268" w:type="dxa"/>
          </w:tcPr>
          <w:p w14:paraId="73DB3C62"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KMT2B</w:t>
            </w:r>
          </w:p>
        </w:tc>
        <w:tc>
          <w:tcPr>
            <w:tcW w:w="6237" w:type="dxa"/>
          </w:tcPr>
          <w:p w14:paraId="3CA87E80"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exon3 c.1457G&gt;A p.(R486Q)</w:t>
            </w:r>
          </w:p>
          <w:p w14:paraId="2709DAEE"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NM_014727.3</w:t>
            </w:r>
          </w:p>
        </w:tc>
        <w:tc>
          <w:tcPr>
            <w:tcW w:w="1841" w:type="dxa"/>
          </w:tcPr>
          <w:p w14:paraId="40209B8D"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52.78%</w:t>
            </w:r>
          </w:p>
        </w:tc>
      </w:tr>
    </w:tbl>
    <w:p w14:paraId="125BDD5E"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481AB7"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56464" w14:paraId="71346E9F" w14:textId="77777777">
        <w:tc>
          <w:tcPr>
            <w:tcW w:w="4253" w:type="dxa"/>
          </w:tcPr>
          <w:p w14:paraId="0E35C7D5"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4751CFE" wp14:editId="6BE5F47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03FF8B1"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FE08246" wp14:editId="12F299D0">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384BF2E" w14:textId="77777777" w:rsidR="00256464" w:rsidRDefault="00000000">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tbl>
      <w:tblPr>
        <w:tblStyle w:val="-12"/>
        <w:tblW w:w="0" w:type="auto"/>
        <w:tblLayout w:type="fixed"/>
        <w:tblLook w:val="04A0" w:firstRow="1" w:lastRow="0" w:firstColumn="1" w:lastColumn="0" w:noHBand="0" w:noVBand="1"/>
      </w:tblPr>
      <w:tblGrid>
        <w:gridCol w:w="1418"/>
        <w:gridCol w:w="8914"/>
      </w:tblGrid>
      <w:tr w:rsidR="00256464" w14:paraId="1CE2CA6D" w14:textId="77777777" w:rsidTr="0025646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A6ED1A" w14:textId="77777777" w:rsidR="00256464" w:rsidRDefault="0000000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EGFR</w:t>
            </w:r>
            <w:r>
              <w:rPr>
                <w:rFonts w:ascii="思源黑体 CN Bold" w:eastAsia="思源黑体 CN Bold" w:hAnsi="思源黑体 CN Bold"/>
                <w:color w:val="FFFFFF" w:themeColor="background1"/>
                <w:sz w:val="18"/>
                <w:szCs w:val="18"/>
              </w:rPr>
              <w:t xml:space="preserve"> exon19 c.2254_2276delinsGAAGG p.(S752_I759delinsEG)</w:t>
            </w:r>
          </w:p>
        </w:tc>
      </w:tr>
      <w:tr w:rsidR="00256464" w14:paraId="6D998783" w14:textId="77777777" w:rsidTr="00256464">
        <w:trPr>
          <w:trHeight w:val="397"/>
        </w:trPr>
        <w:tc>
          <w:tcPr>
            <w:tcW w:w="1418" w:type="dxa"/>
          </w:tcPr>
          <w:p w14:paraId="437C721E"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1832BD6C"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EGFR基因属于原癌基因，编码一种跨膜糖蛋白，是表皮生长因子受体家族中的一员，也属于受体酪氨酸激酶家族，可以激活RAS-RAF-MEK-ERK、PI3K-AKT-mTOR信号通路途径，导致细胞增殖和生长增加（PMID: 24312144）。EGFR基因突变和表达水平的升高与多种癌症相关，其中最常见于非小细胞肺癌（PMID: 26609494）。</w:t>
            </w:r>
          </w:p>
        </w:tc>
      </w:tr>
      <w:tr w:rsidR="00256464" w14:paraId="65A95A8A" w14:textId="77777777" w:rsidTr="00256464">
        <w:trPr>
          <w:trHeight w:val="397"/>
        </w:trPr>
        <w:tc>
          <w:tcPr>
            <w:tcW w:w="1418" w:type="dxa"/>
          </w:tcPr>
          <w:p w14:paraId="35F09E0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6AEB730B"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该变异为缺失插入突变，导致基因编码蛋白第752位到759位氨基酸缺失并插入谷氨酸和甘氨酸。该变异为蛋白长度改变的变异。该变异在1000G、ExAC、gnomAD、iJGVD数据库无记录；OncoKB数据库报道为Likely Oncogenic，Cancer Hotspots、COSMIC数据库无记录。该变异属于EGFR 19号外显子缺失突变，可提高细胞转化能力（PMID: 29533785）。</w:t>
            </w:r>
          </w:p>
        </w:tc>
      </w:tr>
      <w:tr w:rsidR="00256464" w14:paraId="011B1248" w14:textId="77777777" w:rsidTr="00256464">
        <w:trPr>
          <w:trHeight w:val="397"/>
        </w:trPr>
        <w:tc>
          <w:tcPr>
            <w:tcW w:w="1418" w:type="dxa"/>
          </w:tcPr>
          <w:p w14:paraId="2D034F8D"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730FB1E1"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阿法替尼：</w:t>
            </w:r>
            <w:r>
              <w:rPr>
                <w:rFonts w:ascii="思源黑体 CN Normal" w:eastAsia="思源黑体 CN Normal" w:hAnsi="思源黑体 CN Normal"/>
                <w:sz w:val="17"/>
                <w:szCs w:val="17"/>
              </w:rPr>
              <w:t>三项临床试验（LUX-Lung 3, NCT00949650, III期; LUX-Lung 6, NCT01121393, III期; LUX-Lung 2, NCT00525148, II期），探究了阿法替尼单药在EGFR敏感突变的NSCLC患者中的疗效。研究结果显示，LUX-Lung 3的阿法替尼组与化疗组患者的中位PFS分别为11.2个月、6.9个月，中位OS均为28.2个月，ORR分别为56.5%、22.6%。LUX-Lung 6的阿法替尼组与化疗组患者的中位PFS分别为11.0个月、5.6个月，中位OS分别为23.1个月、23.5个月，ORR分别为67.8%、23.0%。针对事先定义阿法替尼组和化疗组常见基因突变（Del19，L858R）的亚组分析显示，LUX-Lung 3的中位PFS分别为13.6个月、6.9个月，LUX-Lung 6的中位PFS分别为11.0个月、5.6个月。LUX-Lung 2试验中，在接受阿法替尼一线治疗和前线经化疗后采用阿法替尼治疗的患者中，证实的ORR分别为65.6%、57.4%，中位PFS分别为12个月、8个月，中位OS分别为31.7个月、23.6个月。三项临床试验中阿法替尼治疗患者共有600例，其中75例存在少见EGFR突变，在发生率较高的少见突变亚型中，G719X突变有14例（77.8%），L861Q突变9例（56.3%）和S768I突变8例（100.0%）患者达到完全缓解。基于上述研究，NMPA批准阿法替尼用于治疗EGFR基因突变阳性的局部晚期或转移性非小细胞肺癌（NSCLC）。</w:t>
            </w:r>
          </w:p>
          <w:p w14:paraId="3C2806E4"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阿美替尼：</w:t>
            </w:r>
            <w:r>
              <w:rPr>
                <w:rFonts w:ascii="思源黑体 CN Normal" w:eastAsia="思源黑体 CN Normal" w:hAnsi="思源黑体 CN Normal"/>
                <w:sz w:val="17"/>
                <w:szCs w:val="17"/>
              </w:rPr>
              <w:t>一项随机、双盲、对照、多中心的Ⅲ期临床研究（NCT04951635），旨在评估阿美替尼对比安慰剂用于含铂根治性放化疗后未出现疾病进展的不可切除的局部晚期EGFR突变（Ex19del或L858R）的NSCLC患者治疗的有效性和安全性。主要终点是由盲法独立中央评估委员会（BICR）评估的无进展生存期（PFS），次要终点包括总生存期、其他疗效指标和安全性。研究结果显示，中国共有147例患者入组，其中94例分配至阿美替尼组，53例分配至安慰剂（PBO）组，可用于疗效评估的分别有92 例和50例患者。与安慰剂相比，阿美替尼显著改善了无进展生存期（PFS）（风险比HR 0.20，95% CI 0.11-0.35；p&lt;0.0001）。阿美替尼组和安慰剂组的中位PFS分别为30.4个月和3.8个月，PFS的获益在所有预定义的亚组中保持一致。两组的中位总生存期（OS）均未达到。此外，BICR评估的阿美替尼组患者的客观缓解率（ORR）达57%，中位缓解持续时间（DoR）延长至16.59个月。基于上述研究，NMPA批准阿美替尼用于含铂根治性放化疗后未出现疾病进展的不可切除的局部晚期表皮生长因子受体（EGFR）外显子19缺失或外显子21（L858R）置换突变的非小细胞肺癌（NSCLC）患者的治疗。</w:t>
            </w:r>
          </w:p>
          <w:p w14:paraId="669D1FEF"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埃克替尼：</w:t>
            </w:r>
            <w:r>
              <w:rPr>
                <w:rFonts w:ascii="思源黑体 CN Normal" w:eastAsia="思源黑体 CN Normal" w:hAnsi="思源黑体 CN Normal"/>
                <w:sz w:val="17"/>
                <w:szCs w:val="17"/>
              </w:rPr>
              <w:t>一项随机、对照、开放、多中心的III期临床研究（EVIDENCE, BD-IC-IV61），入组了283例手术完全切除后、II-IIIA期的携带EGFR敏感突变的NSCLC患者，随机（1：1）份至埃克替尼组和标准辅助化疗组，主要疗效指标是中位DFS。结果显示，埃克替尼组和标准辅助化疗组的中位DFS分别为46.95个月、22.11个月，3年无病生存率分别为63.88%、32.47%。基于上述研究，NMPA批准埃克替尼用于II-IIIA期伴有EGFR基因敏感突变的NSCLC术后辅助治疗。</w:t>
            </w:r>
          </w:p>
          <w:p w14:paraId="34DEFC2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埃万妥单抗+卡铂+培美曲塞：</w:t>
            </w:r>
            <w:r>
              <w:rPr>
                <w:rFonts w:ascii="思源黑体 CN Normal" w:eastAsia="思源黑体 CN Normal" w:hAnsi="思源黑体 CN Normal"/>
                <w:sz w:val="17"/>
                <w:szCs w:val="17"/>
              </w:rPr>
              <w:t>一项随机、开放标签、多中心III期临床试验（NCT04988295, MARIPOSA-2），评估埃万妥单抗（Amivantamab）联合卡铂和培美曲塞的疗效，研究纳入携带EGFR exon19 del或L858R突变且在接受奥希替尼治疗时或治疗后进展的局部晚期或转移性非小细胞肺癌（NSCLC）患者，疗效评估在随机接受埃万妥单抗联合卡铂和培美曲塞（ACP组，N=131）、卡铂和培美曲塞（CP组，N=263）的患者中进行。主要研究终点为BICR评估的无进展生存期（PFS）、关键的次要研究终点为总生存期（OS）和总缓解率（ORR）。研究结果显示，ACP组和CP组的中位PFS（mPFS）分别为6.3个月、4.2个月（HR=0.48, p&lt;0.0001）；ORR分别为53%、29%；中位缓解持续时间（mDOR）分别为6.9个月、5.6个月。在91例基线时存在颅内疾病的患者亚组中，ACP组（N=30）和CP组（N=61）</w:t>
            </w:r>
            <w:r>
              <w:rPr>
                <w:rFonts w:ascii="思源黑体 CN Normal" w:eastAsia="思源黑体 CN Normal" w:hAnsi="思源黑体 CN Normal"/>
                <w:sz w:val="17"/>
                <w:szCs w:val="17"/>
              </w:rPr>
              <w:lastRenderedPageBreak/>
              <w:t>的颅内ORR分别为20%、7%。基于上述研究，NMPA批准埃万妥单抗（Amivantamab）联合卡铂和培美曲塞用于治疗携带EGFR exon19 del或L858R突变且在EGFR酪氨酸激酶抑制剂治疗期间或之后疾病进展的局部晚期或转移性非鳞非小细胞肺癌（NSCLC）成人患者。</w:t>
            </w:r>
          </w:p>
          <w:p w14:paraId="697B2B78"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埃万妥单抗+兰泽替尼：</w:t>
            </w:r>
            <w:r>
              <w:rPr>
                <w:rFonts w:ascii="思源黑体 CN Normal" w:eastAsia="思源黑体 CN Normal" w:hAnsi="思源黑体 CN Normal"/>
                <w:sz w:val="17"/>
                <w:szCs w:val="17"/>
              </w:rPr>
              <w:t>一项随机、阳性对照、多中心、III期临床试验（MARIPOSA, NCT04487080）中评估了兰泽替尼与埃万妥单抗联合用药的疗效。合格患者应为不适合接受根治性治疗的携带EGFR 19号外显子缺失或21号外显子L858R置换突变（经当地检测确定）的局部晚期或转移性NSCLC初治患者。无症状脑转移患者或既往接受过治疗且病情稳定的脑转移患者有资格入组。患者随机分配（2：2：1）接受兰泽替尼与埃万妥单抗联合用药（N＝429）、奥希替尼单药治疗（N＝429）或兰泽替尼单药治疗（一种NSCLC的未获批治疗方案）。主要疗效指标为盲态独立中心评审（BICR）评估的无进展生存期（PFS）。其他疗效指标包括总生存期（OS）、总缓解率（ORR）和缓解持续时间（DOR）。 研究结果显示：兰泽替尼+埃万妥单抗 vs 奥希替尼单药治疗组的mPFS为23.7个月 vs 16.6个月，mDOR为25.8个月 vs 16.7个月，ORR分别为78%、73%，OS结果尚不成熟。联合治疗组和奥希替尼治疗组在基线时有颅内病灶的受试者中，由BICR评估的颅内ORR分别为68%、69%，颅内DOR≥12个月的患者占比分别为66%、59%，DOR≥18个月的患者占比分别为35%、23%。基于上述研究， NMPA批准兰泽替尼联合埃万妥单抗用于携带表皮生长因子受体（EGFR）19号外显子缺失或21号外显子L858R置换突变的局部晚期或转移性非小细胞肺癌（NSCLC）成人患者的一线治疗。</w:t>
            </w:r>
          </w:p>
          <w:p w14:paraId="353F7E4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奥希替尼：</w:t>
            </w:r>
            <w:r>
              <w:rPr>
                <w:rFonts w:ascii="思源黑体 CN Normal" w:eastAsia="思源黑体 CN Normal" w:hAnsi="思源黑体 CN Normal"/>
                <w:sz w:val="17"/>
                <w:szCs w:val="17"/>
              </w:rPr>
              <w:t>一项随机、双盲、安慰剂对照的临床试验（NCT02511106, ADAURA），共入组682例IB-IIIA期的肿瘤切除后的NSCLC患者，随机（1：1）分为奥希替尼组（339例）和安慰剂组（343例），主要疗效终点指标为II-IIIA期NSCLC患者的DFS，次要疗效终点指标为所有入组患者的DFS、II-IIIA期NSCLC患者的OS。结果显示，在II-IIIA期患者中，奥希替尼组的中位DFS未达到，安慰剂组的中位DFS为19.6个月。在所有入组患者中，奥希替尼组中位DFS未达到，安慰剂组的中位DFS为27.5个月。基于上述研究，FDA批准奥希替尼用于EGFR 19号外显子缺失或L858R突变的非小细胞肺癌（NSCLC）患者肿瘤切除后的辅助治疗。</w:t>
            </w:r>
          </w:p>
          <w:p w14:paraId="5FDB270E"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奥希替尼+培美曲塞+卡铂、奥希替尼+培美曲塞+顺铂：</w:t>
            </w:r>
            <w:r>
              <w:rPr>
                <w:rFonts w:ascii="思源黑体 CN Normal" w:eastAsia="思源黑体 CN Normal" w:hAnsi="思源黑体 CN Normal"/>
                <w:sz w:val="17"/>
                <w:szCs w:val="17"/>
              </w:rPr>
              <w:t>一项开放标签、随机对照研究（NCT04035486, FLAURA2）中纳入携带EGFR exon19 del或L858R突变的、既往未接受过晚期系统治疗的、局部晚期或转移性非小细胞肺癌患者，以1:1的比例随机分配至奥希替尼联合化疗（培美曲塞+顺铂/卡铂）组或奥希替尼单药治疗组。主要终点是研究者评估的PFS，其他指标包括OS、ORR、DoR、DCR等。研究结果显示，在联合化疗组和单药组中，研究者评估的PFS分别为25.5个月和16.7个月，ORR分别为83%、76%，中位DoR分别为24.0、15.3个月，DCR分别为95%、94%；BICR评估的CNS有效性显示：与奥希替尼单药组相比，联合化疗组患者的CNS PFS显示出具有临床意义的改善；在中国队列的疗效和安全性显示了与全球队列一致的结果。基于上述研究，NMPA批准奥希替尼联合培美曲塞和顺铂/卡铂用于携带EGFR exon19 del或L858R突变的局部晚期或转移性非小细胞肺癌成人患者的一线治疗。</w:t>
            </w:r>
          </w:p>
          <w:p w14:paraId="75761AB3"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贝福替尼：</w:t>
            </w:r>
            <w:r>
              <w:rPr>
                <w:rFonts w:ascii="思源黑体 CN Normal" w:eastAsia="思源黑体 CN Normal" w:hAnsi="思源黑体 CN Normal"/>
                <w:sz w:val="17"/>
                <w:szCs w:val="17"/>
              </w:rPr>
              <w:t>一项随机、对照、多中心、开放性的II/III期研究（IBIO-103），在既往未接受过系统治疗的EGFR敏感突变阳性的局部晚期或转移性NSCLC患者中，评价贝福替尼（75→100 mg）对比埃克替尼（125 mg）的有效性和安全性。研究共纳入362名患者，按1：1随机化分组到贝福替尼组或埃克替尼组。贝福替尼组和埃克替尼组IRC评估的中位PFS分别为22.1个月和13.8个月（HR 0.49, P&lt;0.0001），相较于埃克替尼，贝福替尼可降低51%的疾病进展或死亡风险。在基线脑转移患者中，贝福替尼仍可降低52%的疾病进展或死亡风险（HR 0.48, P=0.0086）。基于上述研究，NMPA批准甲磺酸贝福替尼胶囊用于具有表皮生长因子受体（EGFR）外显子19缺失或外显子21（L858R）置换突变的局部晚期或转移性非小细胞肺癌（NSCLC）成人患者的一线治疗。</w:t>
            </w:r>
          </w:p>
          <w:p w14:paraId="4EEB4454"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达可替尼：</w:t>
            </w:r>
            <w:r>
              <w:rPr>
                <w:rFonts w:ascii="思源黑体 CN Normal" w:eastAsia="思源黑体 CN Normal" w:hAnsi="思源黑体 CN Normal"/>
                <w:sz w:val="17"/>
                <w:szCs w:val="17"/>
              </w:rPr>
              <w:t>一项随机、多中心、多国、开放标签的Ⅲ期临床试验（ARCHER 1050, NCT01774721, PMID: 28958502），入组452例不可切除的转移性非小细胞肺癌患者，患者均携带EGFR第19外显子缺失或第21外显子L858R突变。治疗方式为患者随机（1:1）接受每日1次口服达可替尼45mg，或吉非替尼250mg。主要终点为无进展生存期（PFS），次要终点为总缓解率（ORR）和反应持续时间（DoR）。研究结果显示，两组患者（达可替尼 VS 吉非替尼）的中位PFS为14.7个月 VS 9.2个月，ORR为75% VS 72%，中位DOR为14.8个月 VS 8.3个月。基于上述研究，NMPA批准达可替尼用于携带EGFR第19号外显子缺失突变或L858R突变的局部晚期或转移性NSCLC患者的一线治疗。</w:t>
            </w:r>
          </w:p>
          <w:p w14:paraId="32A93BBC"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德达博妥单抗：</w:t>
            </w:r>
            <w:r>
              <w:rPr>
                <w:rFonts w:ascii="思源黑体 CN Normal" w:eastAsia="思源黑体 CN Normal" w:hAnsi="思源黑体 CN Normal"/>
                <w:sz w:val="17"/>
                <w:szCs w:val="17"/>
              </w:rPr>
              <w:t>一项全球性、单臂、开放标签的II期临床试验（NCT04484142, TROPION-Lung05）和一项全球性、开放标签、随机的III期临床试验（NCT04656652, TROPION-Lung01）中评估了Datopotamab deruxtecan-dlnk（Dato-DXd）的安全性和疗效（2024ESMO, Abstract LBA7）。对既往接受过靶向治疗和以铂类为基础的化疗的EGFR突变阳性（exon19 del：51.3%、L858R：31.6%、T790M：27.4%、G719X：5.1%、L861Q：4.3%、exon20 ins：4.3%、</w:t>
            </w:r>
            <w:r>
              <w:rPr>
                <w:rFonts w:ascii="思源黑体 CN Normal" w:eastAsia="思源黑体 CN Normal" w:hAnsi="思源黑体 CN Normal"/>
                <w:sz w:val="17"/>
                <w:szCs w:val="17"/>
              </w:rPr>
              <w:lastRenderedPageBreak/>
              <w:t>C797S：0.9%）晚期/转移性NSCLC患者亚组（N=117; TROPION-Lung05, n=78; TROPION-Lung01, n=39）的数据进行评估，主要疗效指标是经确认的客观缓解率（cORR）、缓解时间（DoR），结果表明：cORR为43%、中位DoR（mDoR）为7.0个月、疾病控制率（DCR）为86%；最常见的不良反应为口炎/口腔黏膜炎，没有报道4/5级的药物相关间质性肺病事件，没有观察到药物相关死亡事件。FDA通过加速通道批准Datopotamab deruxtecan-dlnk用于局部晚期/转移性EGFR突变的既往接受过抗EGFR治疗和以铂类为基础的化疗的非小细胞肺癌（NSCLC）患者的治疗。</w:t>
            </w:r>
          </w:p>
          <w:p w14:paraId="21656062"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厄洛替尼：</w:t>
            </w:r>
            <w:r>
              <w:rPr>
                <w:rFonts w:ascii="思源黑体 CN Normal" w:eastAsia="思源黑体 CN Normal" w:hAnsi="思源黑体 CN Normal"/>
                <w:sz w:val="17"/>
                <w:szCs w:val="17"/>
              </w:rPr>
              <w:t>一项多中心、随机、开放标签的临床试验（EURTAC, PMID: 24868098），入组174例转移性非小细胞肺癌患者，入组患者携带EGFR第19外显子缺失或L858R突变。患者被随机分为厄洛替尼组（n=86，1日1次150 mg）和化疗组（n=88）。试验主要终点为无进展生存期（PFS），次要终点为总生存期（OS）和客观缓解率。研究结果显示，两组患者（厄洛替尼 VS 化疗）的中位PFS为10.4个月 VS 5.2个月；中位总生存期为22.9个月 VS 19.5个月；客观缓解率为65% VS 16%。NMPA批准厄洛替尼用于EGFR第19外显子缺失或L858R突变的转移性非小细胞肺癌的患者的一线维持治疗，或用于至少一个化疗方案后进展的二线或其后线的治疗。</w:t>
            </w:r>
          </w:p>
          <w:p w14:paraId="492F5536"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厄洛替尼+贝伐珠单抗、兰泽替尼：</w:t>
            </w:r>
            <w:r>
              <w:rPr>
                <w:rFonts w:ascii="思源黑体 CN Normal" w:eastAsia="思源黑体 CN Normal" w:hAnsi="思源黑体 CN Normal"/>
                <w:sz w:val="17"/>
                <w:szCs w:val="17"/>
              </w:rPr>
              <w:t>对EGFR 19del或L858R突变的晚期/转移性NSCLC患者，NCCN指南（2026.V1）优先推荐奥希替尼、Amivantamab-vmjw+兰泽替尼、奥希替尼+培美曲塞+顺铂/卡铂用于一线治疗，并认为阿法替尼、达可替尼、厄洛替尼、厄洛替尼+贝伐珠单抗、厄洛替尼+雷莫西尤单抗、吉非替尼、兰泽替尼在一定条件下也可用；其中，奥希替尼+培美曲塞+顺铂/卡铂、厄洛替尼+贝伐珠单抗要求肿瘤类型为非鳞非小细胞肺癌。对于使用奥希替尼或Amivantamab-vmjw±兰泽替尼治疗的EGFR 19del或L858R突变的非鳞非小细胞肺癌患者，进展后有多个病灶的，推荐使用Amivantamab-vmjw+卡铂+培美曲塞进行后续治疗。对于携带这类突变的分期较早的患者，根治性放化疗后如需辅助治疗，可使用奥希替尼。</w:t>
            </w:r>
          </w:p>
          <w:p w14:paraId="37E4C8A4"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厄洛替尼+化疗、吉非替尼+化疗：</w:t>
            </w:r>
            <w:r>
              <w:rPr>
                <w:rFonts w:ascii="思源黑体 CN Normal" w:eastAsia="思源黑体 CN Normal" w:hAnsi="思源黑体 CN Normal"/>
                <w:sz w:val="17"/>
                <w:szCs w:val="17"/>
              </w:rPr>
              <w:t>2025 CSCO指南中，针对IV期EGFR敏感突变的NSCLC，推荐的一线治疗方案有奥希替尼、阿美替尼、伏美替尼、贝福替尼、瑞厄替尼、瑞齐替尼、阿法替尼、达可替尼、吉非替尼、厄洛替尼、埃克替尼、佐利替尼（伴脑转移患者）、奥希替尼+化疗、吉非替尼或厄洛替尼+化疗（PS=0~1分）、厄洛替尼+贝伐珠单抗、含铂双药化疗±贝伐珠单抗（非鳞癌）、埃万妥单抗+兰泽替尼（III级推荐）。耐药后，如为寡进展或CNS进展，推荐继续原EGFR-TKI治疗+局部治疗；如为广泛进展，如为第一、二代TKI一线治疗失败且T790M检测阳性，推荐奥希替尼、阿美替尼、伏美替尼、贝福替尼、瑞齐替尼、瑞厄替尼、利厄替尼，或含铂双药化疗±贝伐珠单抗（非鳞癌）（II级推荐），其他针对广泛进展推荐的治疗方案还有：依沃西单抗联合化疗、培美曲塞+顺铂+贝伐珠单抗+信迪利单抗、芦康沙妥珠单抗、埃万妥单抗联合化疗；如T790M阴性或第三代TKI治疗失败，则推荐含铂双药化疗±贝伐珠单抗（非鳞癌）。靶向及含铂双药失败后，推荐单药化疗、单药化疗+贝伐珠单抗（非鳞癌）、安罗替尼。针对术后检测为EGFR敏感突变的II期和III期患者，推荐奥希替尼、埃克替尼、吉非替尼、厄洛替尼辅助治疗。</w:t>
            </w:r>
          </w:p>
          <w:p w14:paraId="5EF2151E"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厄洛替尼+雷莫西尤单抗：</w:t>
            </w:r>
            <w:r>
              <w:rPr>
                <w:rFonts w:ascii="思源黑体 CN Normal" w:eastAsia="思源黑体 CN Normal" w:hAnsi="思源黑体 CN Normal"/>
                <w:sz w:val="17"/>
                <w:szCs w:val="17"/>
              </w:rPr>
              <w:t>一项国际多中心、随机、双盲、安慰剂对照的Ⅲ期临床试验（RELAY, NCT02411448, PMID: 31591063）中，入组了449例未接受过治疗的，携带EGFR 19号外显子缺失或L858R突变的转移性非小细胞肺癌患者，且患者均未携带EGFR T790M突变或存在中枢神经系统转移。入组患者随机分为雷莫西尤单抗联合厄洛替尼组（224例）和安慰剂联合厄洛替尼组（225例）。试验研究的主要观察终点为无进展生存期（PFS），次要终点为总生存期（OS）、客观缓解率（ORR）、缓解持续时间（DOR）。研究结果显示，雷莫西尤单抗联合厄洛替尼治疗组VS 安慰剂联合厄洛替尼组的中位PFS为19.4个月 VS 12.4个月，OS数据尚未成熟，ORR为76% VS 75%，中位DOR为18.0个月 VS 11.1个月。基于上述研究，FDA批准雷莫西尤单抗联合厄洛替尼用于携带EGFR第19外显子缺失突变或者L858R突变的转移性NSCLC患者的一线治疗。</w:t>
            </w:r>
          </w:p>
          <w:p w14:paraId="0820FC1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伏美替尼：</w:t>
            </w:r>
            <w:r>
              <w:rPr>
                <w:rFonts w:ascii="思源黑体 CN Normal" w:eastAsia="思源黑体 CN Normal" w:hAnsi="思源黑体 CN Normal"/>
                <w:sz w:val="17"/>
                <w:szCs w:val="17"/>
              </w:rPr>
              <w:t>一项在中国大陆开展的多中心、双盲、随机、III期临床研究（NCT03787992, FURLONG, PMID: 35662408），入组患者为EGFR 19del或EGFR L858R突变的局部进展或转移、IIIB期、IIIC期或IV期不可切除的NSCLC。随机分配(1:1)接受口服伏美替尼(80 mg/d)或口服吉非替尼(250 mg/d)，以21天为周期。主要终点是由独立评审委员会（IRC）评估的无进展生存期。结果显示：伏美替尼组和吉非替尼组中位随访时间均为21.0个月，经IRC评估的中位无进展生存期伏美替尼组 vs 吉非替尼组为20.8个月 vs 11.1个月(p&lt;0.0001)。178例伏美替尼组患者中有20例(11%)发生3级或以上的治疗相关不良事件，179例吉非替尼组患者中有32例(18%)发生3级或以上的不良事件。研究结论：在EGFR突变阳性中国NSCLC患者中，伏美替尼作为一线治疗的疗效优于吉非替尼，且安全性可接受。基于以上研究，NMPA批准伏美替尼用于具有表皮生长因子受体（EGFR）外显子19缺失（19DEL）或外显子21（L858R）置换突变的局部晚期或转移性非小细胞肺癌（NSCLC）成人患者的一线治疗。</w:t>
            </w:r>
          </w:p>
          <w:p w14:paraId="7472B552"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吉非替尼：</w:t>
            </w:r>
            <w:r>
              <w:rPr>
                <w:rFonts w:ascii="思源黑体 CN Normal" w:eastAsia="思源黑体 CN Normal" w:hAnsi="思源黑体 CN Normal"/>
                <w:sz w:val="17"/>
                <w:szCs w:val="17"/>
              </w:rPr>
              <w:t>在一项多中心、单臂、开放标签临床研究中（PMID: 26980062），入组106例携带EGFR突变，未经治疗</w:t>
            </w:r>
            <w:r>
              <w:rPr>
                <w:rFonts w:ascii="思源黑体 CN Normal" w:eastAsia="思源黑体 CN Normal" w:hAnsi="思源黑体 CN Normal"/>
                <w:sz w:val="17"/>
                <w:szCs w:val="17"/>
              </w:rPr>
              <w:lastRenderedPageBreak/>
              <w:t>的转移性非小细胞肺癌患者，评价吉非替尼治疗的有效性。其中，60例（65%）为EGFR 19号外显子缺失，29例（31%）为EGFR L858R突变，2例为EGFR L861Q突变，2例为EGFR G719X突变。患者每日每次使用250mg药物直到疾病进展或不耐受。试验主要疗效观察指标为客观有效率（ORR）。BICR与研究者评估的ORR分别为50%和70%，中位DoR为6.0个月和8.3个月。携带EGFR 19号外显子缺失和L858R突变的患者的应答率相似。携带G719X突变的2例患者和L861Q突变的1例患者产生部分应答。基于上述研究，FDA批准吉非替尼用于EGFR第19外显子缺失或L858R突变的转移性非小细胞肺癌(NSCLC)患者的一线治疗。</w:t>
            </w:r>
          </w:p>
          <w:p w14:paraId="6FA2FDE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利厄替尼：</w:t>
            </w:r>
            <w:r>
              <w:rPr>
                <w:rFonts w:ascii="思源黑体 CN Normal" w:eastAsia="思源黑体 CN Normal" w:hAnsi="思源黑体 CN Normal"/>
                <w:sz w:val="17"/>
                <w:szCs w:val="17"/>
              </w:rPr>
              <w:t>一项随机、双盲、阳性对照的III期临床试验（NCT04143607），共纳入337例未经系统性治疗的EGFR敏感突变阳性局部晚期或转移性NSCLC患者，按1:1随机接受利厄替尼或吉非替尼治疗，主要研究终点是独立审评委员会（IRC）评估的无进展生存期（PFS）。结果显示：与吉非替尼相比，利厄替尼显著延长了初治EGFR敏感突变阳性晚期NSCLC患者的PFS（20.7 vs 9.7个月），疾病进展或死亡风险降低了56%。在中枢神经系统（CNS）存在可测量病灶的患者中，与吉非替尼相比，利厄替尼显著延长了CNS PFS（20.7 vs 7.1个月），疾病进展或死亡风险降低高达72%，显示对于脑转移患者具有突出的疗效。利厄替尼主要不良反应未EGFR靶点常见不良反应，患者耐受性较好，试验未观察到新的安全性信号。基于上述研究，NMPA批准利厄替尼用于具有EGFR exon19 del/L858R的局部晚期或转移性非小细胞肺癌（NSCLC）成人患者的一线治疗。</w:t>
            </w:r>
          </w:p>
          <w:p w14:paraId="5AF27A93"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芦康沙妥珠单抗：</w:t>
            </w:r>
            <w:r>
              <w:rPr>
                <w:rFonts w:ascii="思源黑体 CN Normal" w:eastAsia="思源黑体 CN Normal" w:hAnsi="思源黑体 CN Normal"/>
                <w:sz w:val="17"/>
                <w:szCs w:val="17"/>
              </w:rPr>
              <w:t>一项在中国开展的随机、对照、开放性、多中心、II期临床研究（NCT05631262, SKB264-Ⅱ-08），评估芦康沙妥珠单抗对比多西他赛用于治疗局部晚期或转移性EGFR突变非小细胞肺癌（NSCLC）患者的有效性和安全性。入组137例经EGFR-TKI和含铂化疗治疗失败的携带EGFR敏感突变局部晚期或转移性NSCLC患者，随机（2：1）接受芦康沙妥珠单抗或多西他赛治疗，直至疾病进展或出现不可耐受的毒性。主要疗效终点是由BIRC参照RECIST v1.1评估的客观缓解率（ORR），次要疗效终点包括无进展生存期（PFS）、总生存期（OS）等。结果显示：芦康沙妥珠单抗组和多西他赛组经BIRC评估的确认的ORR分别为41.8%、15.6%（截至2024.06.06，主要分析），中位PFS分别为6.9、2.8个月（截至2024.12.31，主要分析），在OS分析时（截至2024.12.31），观察到OS事件数为46例（康沙妥珠单抗组：n=25；多西他赛组：n=21），与多西他赛组相比，康沙妥珠单抗组发生死亡的风险降低51%。显示出统计学的显著改变。基于上述研究，NMPA批准芦康沙妥珠单抗用于治疗经表皮生长因子受体（EGFR）酪氨酸激酶抑制剂（TKI）和含铂化疗治疗后进展的EGFR基因突变阳性的局部晚期或转移性非鳞状非小细胞肺癌（NSCLC）成人患者。（本适应症是基于替代终点结果给予的附条件批准，本适应症的完全批准将取决于正在开展中的确证性临床试验的临床获益。）</w:t>
            </w:r>
          </w:p>
          <w:p w14:paraId="23555184"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瑞厄替尼：</w:t>
            </w:r>
            <w:r>
              <w:rPr>
                <w:rFonts w:ascii="思源黑体 CN Normal" w:eastAsia="思源黑体 CN Normal" w:hAnsi="思源黑体 CN Normal"/>
                <w:sz w:val="17"/>
                <w:szCs w:val="17"/>
              </w:rPr>
              <w:t>一项随机、双盲、阳性药物为对照的多中心III期临床试验（SHC013-III-01），旨在评估瑞厄替尼（SH-1028片）对照吉非替尼一线治疗EGFR敏感突变（Ex 19del或L858R）的局部晚期或转移性非小细胞肺癌患者的疗效及安全性。主要研究终点为无进展生存期（PFS），次要研究终点包括总生存期（OS）、客观缓解率（ORR）、缓解持续时间（DOR）、缓解深度（DepOR）和疾病控制率（DCR）及安全性。试验结果显示，IRC评估的瑞厄替尼组的中位PFS为19.3个月，对照组（吉非替尼组） 为9.8个月，使用瑞厄替尼治疗的中位PFS相比于对照组标准治疗提升了9.5个月。在安全性方面，临床试验期间出现的大多数不良事件为轻度或中度，如皮疹、血液学毒性等常见的不良反应发生率较低。基于上述研究，NMPA批准瑞厄替尼用于表皮生长因子受体（EGFR）敏感突变的局部晚期或转移性非小细胞肺癌（NSCLC）患者的一线治疗。</w:t>
            </w:r>
          </w:p>
          <w:p w14:paraId="1B24EEF3"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瑞齐替尼：</w:t>
            </w:r>
            <w:r>
              <w:rPr>
                <w:rFonts w:ascii="思源黑体 CN Normal" w:eastAsia="思源黑体 CN Normal" w:hAnsi="思源黑体 CN Normal"/>
                <w:sz w:val="17"/>
                <w:szCs w:val="17"/>
              </w:rPr>
              <w:t>一项随机、双盲、阳性药物为对照的多中心III期临床试验（NCT03386955, BPI-7711301），在既往未接受过系统治疗的EGFR敏感突变（exon19 del/L858R）阳性的局部晚期或转移性非小细胞肺癌（NSCLC）患者中评价瑞齐替尼对比吉非替尼的有效性和安全性。该试验共入组369例患者，随机（1:1）入组至瑞齐替尼组、吉非替尼组（瑞齐替尼：n=184，中位暴露时间为13.8个月；吉非替尼：n=185，中位暴露时间为11.0个月），主要疗效终点为根据实体瘤疗效评价标准1.1版（RECIST 1.1）由盲态独立审评委员会（BICR）评估的无进展生存期（PFS）；次要疗效终点包括经研究者评估的PFS，BICR和研究者评估的客观缓解率（ORR）、最佳客观缓解（BOR）、疾病控制率（DCR）、缓解持续时间（DoR）和至缓解时间（TTR）、总生存期（OS）、生活质量等。结果显示：与吉非替尼组相比，瑞齐替尼显示出具有统计学和临床意义的PFS获益，BICR评估的瑞齐替尼组和吉非替尼组的中位PFS分别为17.9个月、9.7个月；中位DoR分别为16.8个月、9.2个月；ORR分别为84.24%、78.92%；OS数据尚未成熟；瑞齐替尼组和吉非替尼组基线时存在CNS转移的患者分别为75例、72例，中位CNS PFS分别为NC、15.2个月；瑞齐替尼组和吉非替尼组基线时存在NCS靶病灶的分别有11例、13例，CNS ORR分别为90.9%、76.9%。基于上述研究，NMPA批准瑞齐替尼用于具有EGFR L858R/exon19 del的局部晚期或转移性非小细胞肺癌（NSCLC）成人患者的一线治疗。</w:t>
            </w:r>
          </w:p>
          <w:p w14:paraId="72EFAA61"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lastRenderedPageBreak/>
              <w:t>信迪利单抗+贝伐珠单抗+培美曲塞+顺铂：</w:t>
            </w:r>
            <w:r>
              <w:rPr>
                <w:rFonts w:ascii="思源黑体 CN Normal" w:eastAsia="思源黑体 CN Normal" w:hAnsi="思源黑体 CN Normal"/>
                <w:sz w:val="17"/>
                <w:szCs w:val="17"/>
              </w:rPr>
              <w:t>一项在中国多中心进行的随机、双盲、III期临床研究（ORIENT-31, NCT03802240），入组476例EGFR突变（19Del+/-T790M，L858R+/-T790M）的、既往经EGFR TKI治疗进展的、局部晚期或转移性非鳞状非小细胞肺癌患者，评估信迪利单抗+/-IBI305+培美曲塞+顺铂治疗的疗效和安全性。患者按照1:1:1比例随机入组（信迪利单抗+IBI305+培美曲塞+顺铂，A组，158例；信迪利单抗+安慰剂2+培美曲塞+顺铂，B组，158例；安慰剂1+安慰剂2+培美曲塞+顺铂，C组，160例）。主要研究终点为IRRC评价的无进展生存期(PFS)；次要研究终点包括客观缓解率(ORR)、疾病控制率(DCR)、缓解持续时间(DOR)、总生存期(OS)、安全性等。第一次期中分析结果已经发表于Lancet Oncol.（PMID: 35908558）：相比于C组，A组的mPFS显著延长（6.9个月 vs 4.3个月，HR=0.46，p&lt;0.0001）。第二次期中分析的结果显示（ESMO 2022 Abstract LBA58）：截至2022年3月31日，中位随访时间为13.1个月，三组的mPFS分别为7.2个月 vs 5.5个月 vs 4.3个月，其中，B组相比于C组，mPFS也显著提升（HR=0.723, p=0.0181）；三组证实的ORR分别为48.1% vs 34.8% vs 29.4%；DCR分别为86.1% vs 81.6% vs 75.6%；mDOR分别为8.5个月 vs 7.4个月 vs 5.7个月。三组3级以上不良反应发生率分别为59.5% vs 46.2% vs 56.9%。截至2022年7月4日的生存分析（PMID: 37156249），三组的mOS分别为21.1个月 vs 20.5个月 vs 19.2个月（A组 vs C组的HR=0.98，B组 vs C组的HR=0.97）。基于上述研究结果，NMPA批准信迪利单抗联合贝伐珠单抗、培美曲塞和顺铂用于经表皮生长因子受体酪氨酸激酶抑制剂（EGFR-TKI）治疗失败的EGFR基因突变的局部晚期或转移性非鳞状非小细胞肺癌患者的治疗。</w:t>
            </w:r>
          </w:p>
          <w:p w14:paraId="6F683DBA"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依沃西单抗+培美曲塞+卡铂：</w:t>
            </w:r>
            <w:r>
              <w:rPr>
                <w:rFonts w:ascii="思源黑体 CN Normal" w:eastAsia="思源黑体 CN Normal" w:hAnsi="思源黑体 CN Normal"/>
                <w:sz w:val="17"/>
                <w:szCs w:val="17"/>
              </w:rPr>
              <w:t>一项在中国开展的随机、双盲、多中心III期临床研究（2024 ASCO Abstract 8508, AK112-301/HARMONi-A, NCT05184712），入组322例经前线EGFR-TKIs治疗失败的携带EGFR突变的非鳞非小细胞肺癌（NSCLC）患者，随机（1：1）接受依沃西单抗（ivonescimab）联合培美曲塞和卡铂治疗、安慰剂联合化疗，主要研究终点是意向治疗人群（ITT）的无进展生存期（PFS）。研究结果显示：截至2023.3.10，中位随访时间为7.89个月，依沃西单抗组和安慰剂组的中位PFS（mPFS）分别为7.06个月、4.80个月；客观缓解率（ORR）分别为50.6%、35.4%；出现三级及以上的治疗相关不良反应（TRAEs）的患者分别为：99例（61.5%）、79例（49.1%），最常见的三级及以上TRAEs是化疗相关的不良事件；PFS亚组分析显示，除部分患者人数较少的亚组外，几乎所有亚组都观察到与总人群一致的PFS获益，并具有显著统计学意义，尤其是临床上备受关注的EGFR敏感突变亚组和脑转移亚组：既往接受三代EGFR-TKI治疗亚组的PFS HR为0.48；19外显子缺失突变亚组、L858R突变亚组的PFS HR分别为0.48、0.43；基线脑转移和无脑转移患者亚组的PFS HR分别为0.40、0.48；T790M突变亚组患者的PFS HR为0.22。基于上述研究，NMPA批准依沃西单抗注射液联合培美曲塞和卡铂，用于经表皮生长因子受体（EGFR）酪氨酸激酶抑制剂（TKI）治疗后进展的EGFR基因突变阳性的局部晚期或转移性非鳞状非小细胞肺癌（NSCLC）患者的治疗。</w:t>
            </w:r>
          </w:p>
          <w:p w14:paraId="0D14F765"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佐利替尼：</w:t>
            </w:r>
            <w:r>
              <w:rPr>
                <w:rFonts w:ascii="思源黑体 CN Normal" w:eastAsia="思源黑体 CN Normal" w:hAnsi="思源黑体 CN Normal"/>
                <w:sz w:val="17"/>
                <w:szCs w:val="17"/>
              </w:rPr>
              <w:t>一项开放标签、多中心、随机对照的III期临床试验（PMID: 39389055, EVEREST, NCT03653546），比较了佐利替尼(Zorifertinib, AZD3759）与一代EGFR TKIs（吉非替尼或厄洛替尼）一线治疗EGFR突变（L858R、19del）、中枢神经系统（CNS）转移NSCLC患者的疗效和安全性。患者被1：1随机分配接受佐利替尼（n=220）或一代TKIs（n=219）治疗，主要研究终点为盲态独立中心（BICR）根据RECIST1.1标准评估的无进展生存期（PFS）。研究结果表明，佐利替尼与对照组相比较，mPFS为9.6 vs 6.9个月，HR=0.719，p=0.0024；佐利替尼显著延长了颅内PFS。研究结果提示，与一代TKIs相比，一线佐利替尼治疗在EGFR敏感突变、CNS转移的NSCLC患者中显示出更优的抗肿瘤疗效，安全性与预期一致。基于上述研究，NMPA批准佐利替尼用于具有表皮生长因子受体（EGFR）19号外显子缺失或外显子21（L858R）置换突变，并伴中枢神经系统（CNS）转移的局部晚期或转移性非小细胞肺癌（NSCLC）成人患者的一线治疗。</w:t>
            </w:r>
          </w:p>
          <w:p w14:paraId="786383AD"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阿替利珠单抗+贝伐珠单抗+紫杉醇+卡铂：</w:t>
            </w:r>
            <w:r>
              <w:rPr>
                <w:rFonts w:ascii="思源黑体 CN Normal" w:eastAsia="思源黑体 CN Normal" w:hAnsi="思源黑体 CN Normal"/>
                <w:sz w:val="17"/>
                <w:szCs w:val="17"/>
              </w:rPr>
              <w:t>一项多中心、开放标签、随机III期临床试验（NCT03991403, PMID: 37861993），入组215例EGFR突变（EGFR L858R±T790M、EGFR exon19 del±T790M）和13例ALK融合的既往经TKI治疗进展的IV期非小细胞肺癌患者，评估阿替利珠单抗联合贝伐珠单抗和化疗的疗效和安全性。实验组154例，采用阿替利珠单抗+贝伐珠单抗+紫杉醇+卡铂（ABCP）联合疗法；对照组74例，采用培美曲塞+卡铂或顺铂（PC）联合疗法。主要研究终点为研究者评估的PFS，其他的终点包括OS、ORR、DOR等。研究显示，在中位随访26.1个月之后，实验组vs对照组的ORR分别为69.5% vs 41.9%（p&lt;0.001）；两组的中位PFS分别为8.48个月 vs 5.62个月（HR=0.62, p=0.004）；两组的中位OS相近，分别为20.63个月 vs 20.27个月（HR=1.01, p=0.975）。研究结果表明，对于既往经TKI治疗进展的EGFR突变或ALK融合的非小细胞肺癌患者，阿替利珠单抗+贝伐珠单抗+紫杉醇+卡铂（ABCP）联合疗法显示出临床受益。</w:t>
            </w:r>
          </w:p>
          <w:p w14:paraId="1CBF8793"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吉非替尼+阿帕替尼：</w:t>
            </w:r>
            <w:r>
              <w:rPr>
                <w:rFonts w:ascii="思源黑体 CN Normal" w:eastAsia="思源黑体 CN Normal" w:hAnsi="思源黑体 CN Normal"/>
                <w:sz w:val="17"/>
                <w:szCs w:val="17"/>
              </w:rPr>
              <w:t xml:space="preserve">一项在中国多中心进行的随机、双盲的III期临床研究（CTONG1706, NCT02824458, PMID: </w:t>
            </w:r>
            <w:r>
              <w:rPr>
                <w:rFonts w:ascii="思源黑体 CN Normal" w:eastAsia="思源黑体 CN Normal" w:hAnsi="思源黑体 CN Normal"/>
                <w:sz w:val="17"/>
                <w:szCs w:val="17"/>
              </w:rPr>
              <w:lastRenderedPageBreak/>
              <w:t>34033974），入组313例EGFR突变（19del，L858R）的未经治疗的晚期非小细胞肺癌患者，评估吉非替尼+阿帕替尼一线治疗的疗效和安全性。患者按照1:1比例随机入组（吉非替尼+阿帕替尼试验组157例；吉非替尼+安慰剂对照组156例）。主要研究终点为IRRC评价的无进展生存期(PFS)；次要研究终点包括研究者评价的PFS、总生存期(OS)、生存质量(QoL)和安全性等。研究结果显示：截至2020年1月15日，中位随访时间为15.8个月，试验组有103例患者、对照组有111例患者进入IRRC评估，两组mPFS分别为13.7个月 vs 10.2个月（HR=0.71, p=0.0189）；12个月PFS率分别为53.4% vs 35.6%。研究者评价的PFS（HR=0.71, p=0.02），与IRRC评价的PFS相似。OS数据未成熟。两组的QoL没有显著性差异。试验组最常见的3级或以上不良反应分别为高血压（46.5%）和蛋白尿（17.8%），对照组的不良反应分别为谷丙转氨酶升高（10.4%）和谷草转氨酶升高（3.2%）。以上研究结果表明，吉非替尼+阿帕替尼一线治疗EGFR突变的晚期NSCLC患者PFS显著延长，也带来了更多的不良反应，但不影响生存质量。</w:t>
            </w:r>
          </w:p>
          <w:p w14:paraId="7AC0D276"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吉非替尼+安罗替尼：</w:t>
            </w:r>
            <w:r>
              <w:rPr>
                <w:rFonts w:ascii="思源黑体 CN Normal" w:eastAsia="思源黑体 CN Normal" w:hAnsi="思源黑体 CN Normal"/>
                <w:sz w:val="17"/>
                <w:szCs w:val="17"/>
              </w:rPr>
              <w:t>一项在中国多中心进行的随机、双盲的III期临床研究（FL-ALTER, NCT04028778），入组315例EGFR突变阳性（19del，L858R）的未经治疗的晚期或转移性非小细胞肺癌患者，评估吉非替尼联合安罗替尼一线治疗的疗效和安全性。患者按照1:1比例随机入组（吉非替尼联合安罗替尼试验组157例；吉非替尼联合安慰剂对照组158例）。主要研究终点为IRC评价的无进展生存期(PFS)；次要研究终点包括总生存期(OS)、客观缓解率(ORR)、疾病控制率(DCR)、缓解持续时间(DoR)和安全性。研究结果显示：截至2022年7月31日，在中位随访时间分别为17.3个月和18.8个月后，试验组相比对照组的mPFS显著延长，mPFS分别为14.75个月 vs 11.20个月（HR=0.64, p=0.0035）。两组证实的ORR分别为76.13% vs 64.52%；mDoR分别为12.48个月 vs 9.46个月（HR=0.56, p=0.0003）。OS数据未成熟。两组3级以上不良反应发生率分别为49.68% vs 30.97%，最常见的不良反应分别为高血压（29.68%）和谷丙转氨酶升高（12.26%）。以上研究结果表明，吉非替尼联合安罗替尼一线治疗EGFR突变阳性的晚期或转移性NSCLC患者显著延长PFS，且安全性可耐受。</w:t>
            </w:r>
          </w:p>
          <w:p w14:paraId="525704AF"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美凡厄替尼：</w:t>
            </w:r>
            <w:r>
              <w:rPr>
                <w:rFonts w:ascii="思源黑体 CN Normal" w:eastAsia="思源黑体 CN Normal" w:hAnsi="思源黑体 CN Normal"/>
                <w:sz w:val="17"/>
                <w:szCs w:val="17"/>
              </w:rPr>
              <w:t>一项在携带EGFR敏感突变（19del、L858R）的晚期非鳞非小细胞肺癌患者中开展的随机、平行、双盲双模拟、多中心的III期临床试验（CTR20192297, 2024 ASCO Abstract 8546），旨在对比美凡厄替尼（mefatinib）和吉非替尼的疗效，入组336例携带EGFR exon19 del或L858R、IIIV/IV期NSCLC患者随机（2:1）接受美凡厄替尼（60 mg, PO, QD, n=223）或吉非替尼（250 mg, PO, QD, n=113）治疗，主要研究终点是PFS。结果显示：美凡厄替尼组和吉非替尼组的PFS分别为13.73个月、9.66个月；在携带EGFR L858R突变亚组中的PFS分别为13.73个月、8.28个月。288例患者（美凡厄替尼组：n=189，吉非替尼组：n=99）进行了生物标志物检测，结果显示TP53突变是最常见的共突变（45%），在共突变亚组中，美凡厄替尼的疗效改善更为显著，尤其在与L858R共突变的患者中（13.70 vs 8.28个月, P= 0.0004）。</w:t>
            </w:r>
          </w:p>
          <w:p w14:paraId="6F5B855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阿美替尼+安罗替尼：</w:t>
            </w:r>
            <w:r>
              <w:rPr>
                <w:rFonts w:ascii="思源黑体 CN Normal" w:eastAsia="思源黑体 CN Normal" w:hAnsi="思源黑体 CN Normal"/>
                <w:sz w:val="17"/>
                <w:szCs w:val="17"/>
              </w:rPr>
              <w:t>一项单臂II期临床试验（2023 WCLC, OA03.03），入组40例未经治疗的EGFR阳性（exon19 del/L858R/EGFR扩增等）且伴有脑转移的非小细胞肺癌（NSCLC）患者，接受阿美替尼联合安罗替尼治疗，来评估联合用药在脑转移的NSCLC患者中的疗效，主要研究终点是颅内无进展生存期（iPFS），次要研究终点包括颅内客观缓解率（iORR）、颅内疾病控制率（iDCR）、PFS、总生存期（OS）和生命质量（QoL）。结果显示，截至2023.3.28，39例患者的疗效可评估，中位随访时间为8.8个月，iORR和iDCR分别为74.4%、100%，颅内病变的肿瘤缓解中位深度（DepOR）为42.86%；其中，多发性脑转移患者和少发脑转移患者的iORR分别为77.4%、62.5%；EGFR exon19 del组和L858R组的iORR分别为88.9%（16/18）、61.9%（13/21）；共突变组（TP53、EGFR扩增、MET扩增、PIK3CA、CCND1扩增等）的iORR为74.1%（20/27）、TP53共突变组的iORR为77.8%（14/18）。研究结论：阿美替尼联合安罗替尼在脑转移的NSCLC患者的一线治疗中显示出初步疗效，且初步的亚组分析结果还显示阿美替尼+安罗替尼治疗颅内多发转移或EGFR 19Del突变阳性患者的疗效更佳。</w:t>
            </w:r>
          </w:p>
          <w:p w14:paraId="251642CE"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安罗替尼+埃克替尼：</w:t>
            </w:r>
            <w:r>
              <w:rPr>
                <w:rFonts w:ascii="思源黑体 CN Normal" w:eastAsia="思源黑体 CN Normal" w:hAnsi="思源黑体 CN Normal"/>
                <w:sz w:val="17"/>
                <w:szCs w:val="17"/>
              </w:rPr>
              <w:t>一项多中心、单臂、开放标签II期临床研究（ALTER-L004, NCT03736837, ESMO Congress 2021 Abstract 1219P），入组60例携带EGFR敏感突变（19del，L858R）的局部晚期或转移性非鳞非小细胞肺癌患者，评估安罗替尼+埃克替尼一线治疗的疗效和安全性。主要研究终点为无进展生存期（PFS），次要研究终点包括总生存期（OS）、客观缓解率（ORR）、疾病控制率（DCR）和安全性。最新的研究结果显示：截至2021年4月30日，中位随访时间为18.2个月，mPFS为15.100个月，ORR为67.9%，DCR为98.2%。在第一次评估中有58.9%的患者经历了≥30%肿瘤缩小，这被定义为ETS。携带伴随突变或致病性伴随突变患者的mPFS分别为15.600个月和14.900个月；这些患者的ORR超过了80%，DCR为100%，ETS超过了70%。3/4级不良反应发生率为40%；最常见的3/4级不良反应为高血压和腹泻。以上最新的研究结果表明，对于未经治疗的、携带EGFR敏感突变的晚期非小细胞肺癌，安罗替尼+埃克替尼表现出令人鼓舞的抗肿瘤效果，对于携带伴随突变患者可能是一项新的治疗选择。联合疗法的安全性</w:t>
            </w:r>
            <w:r>
              <w:rPr>
                <w:rFonts w:ascii="思源黑体 CN Normal" w:eastAsia="思源黑体 CN Normal" w:hAnsi="思源黑体 CN Normal"/>
                <w:sz w:val="17"/>
                <w:szCs w:val="17"/>
              </w:rPr>
              <w:lastRenderedPageBreak/>
              <w:t>可控。</w:t>
            </w:r>
          </w:p>
          <w:p w14:paraId="620D8C4F"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安罗替尼+厄洛替尼：</w:t>
            </w:r>
            <w:r>
              <w:rPr>
                <w:rFonts w:ascii="思源黑体 CN Normal" w:eastAsia="思源黑体 CN Normal" w:hAnsi="思源黑体 CN Normal"/>
                <w:sz w:val="17"/>
                <w:szCs w:val="17"/>
              </w:rPr>
              <w:t>一项开放标签、三臂、前瞻性I期临床研究（NCT03628521, ELCC 2021 Abstract 166P），入组80例晚期非小细胞肺癌患者，评估安罗替尼联合疗法一线治疗的疗效和安全性。患者分为3个队列：队列A，携带EGFR突变（19del，L858R），30例，接受安罗替尼+厄洛替尼治疗；队列B，未携带EGFR突变，28例，接受安罗替尼+化疗；队列C，未携带EGFR突变，22例，接受安罗替尼+信迪利单抗治疗。主要研究终点为客观缓解率（ORR），次要研究终点包括无进展生存期（PFS）、疾病控制率（DCR）、总生存期（OS）和安全性。研究结果显示：截至2020年12月20日，队列A，26例患者获得了证实的部分缓解，ORR为92.9%，DCR为96.4%，中位PFS为20.5个月，12个月PFS率为81.5%；队列B的ORR为60.0%，DCR为96.7%，中位PFS为13.3个月，12个月PFS率为55.5%；队列C的中位PFS为15.6个月，18个月和24个月的PFS率分别为45.9%和26.2%。3个队列的中位OS未到达。队列A的最常见3级不良反应分别为皮疹、口腔粘膜炎、腹泻和蛋白尿，观察到1例4级不良反应高血压；队列B的最常见3级不良反应分别为血小板减少、白细胞减少、手脚皮肤反应、高甘油三酯血症、口腔黏膜炎和血栓形成。以上研究结果表明，对于晚期非小细胞肺癌，安罗替尼联合疗法是一线疗法的新策略；对于EGFR突变阳性的晚期非小细胞肺癌，安罗替尼+厄洛替尼表现出很好的疗效和耐受性；对于EGFR未突变的患者，安罗替尼+化疗，或安罗替尼+信迪利单抗可能是有前景的一线疗法。</w:t>
            </w:r>
          </w:p>
          <w:p w14:paraId="3CCCAABC"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贝福替尼+埃克替尼：</w:t>
            </w:r>
            <w:r>
              <w:rPr>
                <w:rFonts w:ascii="思源黑体 CN Normal" w:eastAsia="思源黑体 CN Normal" w:hAnsi="思源黑体 CN Normal"/>
                <w:sz w:val="17"/>
                <w:szCs w:val="17"/>
              </w:rPr>
              <w:t>一项开放标签、单臂、前瞻性的II期临床试验（2024 WCLC, ePoster EP.12A.47, ChiCTR2300072650）中，纳入携带EGFR exon19 del/L858R的成人NSCLC患者，用于评价贝福替尼联合埃克替尼的疗效，主要终点指标是6周时的ctDNA清除率和12个月的PFS率，次要终点指标包括客观缓解率（ORR）、总生存期（OS）和安全性。2023.8.15-2024.3.3期间共入组16例患者（exon19 del: n=9; L858R: n=7），其中8例具有脑转移、11例患者的ctDNA阳性。治疗6周后13例患者做了ctDNA检测，基线ctDNA阳性的10例患者中有9例转为阴性（ctDNA清除率为90.0%）。在14例疗效可评估的患者中，ORR为78.6%（11/14，PR: n=11）、DCR为100%；8例基线具有脑转移的患者中有7例疗效可评估且全部获得PR，ORR为100%。2例患者出现治疗相关不良反应，且在治疗过程中未出现停药情况。</w:t>
            </w:r>
          </w:p>
          <w:p w14:paraId="12BEC7B0"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FHND9041：</w:t>
            </w:r>
            <w:r>
              <w:rPr>
                <w:rFonts w:ascii="思源黑体 CN Normal" w:eastAsia="思源黑体 CN Normal" w:hAnsi="思源黑体 CN Normal"/>
                <w:sz w:val="17"/>
                <w:szCs w:val="17"/>
              </w:rPr>
              <w:t>一项单臂、多中心、开放标签I/II期研究（CTR20191359, AACR 2023, Abstract CT232），旨在评估FHND9041胶囊在EGFR敏感突变（包括Del l9、L858R等）的初治NSCLC患者或T790M+的既往EGFR- TKI治疗后进展的晚期NSCLC患者中的安全性、耐受性和初步疗效。124例经EGFR突变检测并符合评估条件的受试者被随机分为40mg、80mg（一线治疗或T790M+二/三线治疗）、120mg和180mg剂量组。主要研究终点为客观缓解率（ORR），关键次要研究终点为无进展生存期（PFS）、疾病控制率（DCR）、缓解持续时间（DOR）和安全性。研究结果显示，FHND9041胶囊80mg（RP2D）在新诊断的EGFR敏感突变NSCLC患者中的ORR为71.43%，在既往EGFR- TKI治疗后进展的T790M+ NSCLC患者中的ORR为63.64%，且安全性和耐受性良好。</w:t>
            </w:r>
          </w:p>
          <w:p w14:paraId="3BFF792A"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伏美替尼+埃克替尼：</w:t>
            </w:r>
            <w:r>
              <w:rPr>
                <w:rFonts w:ascii="思源黑体 CN Normal" w:eastAsia="思源黑体 CN Normal" w:hAnsi="思源黑体 CN Normal"/>
                <w:sz w:val="17"/>
                <w:szCs w:val="17"/>
              </w:rPr>
              <w:t>一项单臂、单中心II期临床试验（ChiCTR2200060151, ELCC 2023 Abstract 25P），计划入组40例18岁以上（含18岁）携带EGFR exon19 del/L858R/exon20 ins突变的既往未接受过针对晚期/转移性非小细胞肺癌（NSCLC）的系统性抗肿瘤治疗的患者，接受伏美替尼联合埃克替尼治疗，主要疗效指标是PFS，其它疗效指标有ORR、DCR、OS和安全性。截至2022.11.20，18例患者入组并接受治疗，中位随访时间是230天，中位PFS未达到，ORR为88.9%（其中包含16例获得PR的患者），DCR为100%（16例获得PR，2例获得SD）；在所有患者中观察到肿瘤缩小，中位最佳百分比变化为-34.3%（-76.1%~-27.1%），最常见的治疗相关不良反应包括腹泻、肝酶升高和皮疹；伴中枢神经系统（CNS）转移的患者的ORR为86.7%、DCR为100%。研究结论：伏美替尼联合埃克替尼作为EGFR突变的NSCLC患者的一线治疗表现出较好的抗肿瘤活性并且安全性耐受。</w:t>
            </w:r>
          </w:p>
          <w:p w14:paraId="52D80C02"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LY3295668+奥希替尼：</w:t>
            </w:r>
            <w:r>
              <w:rPr>
                <w:rFonts w:ascii="思源黑体 CN Normal" w:eastAsia="思源黑体 CN Normal" w:hAnsi="思源黑体 CN Normal"/>
                <w:sz w:val="17"/>
                <w:szCs w:val="17"/>
              </w:rPr>
              <w:t>一项开放标签临床Ib/II期试验（2024 ELCC, Abstract 16P, NCT05017025），入组30例携带EGFR L858R/exon19 del且经前线至少三线（包括EGFR TKIs）治疗后进展的非小细胞肺癌（NSCLC）患者，接受LY3295668（25 mg BID）联合奥希替尼（80 mg/天）治疗，安全性导入队列的主要研究终点是剂量限制性毒性（DLT），疗效评估队列的主要研究终点是6个月的无进展生存（PFS）率、最佳客观缓解率（BRR）。结果显示，安全性导入队列（n=10）和整个队列未出现DLT，在疗效评估队列（n=27）中，6个月PFS率为37%（10/27），3例获得疾病缓解（PR，11%）、17例获得疾病稳定（SD，63%）、7例疾病进展（PD，26%），疾病控制率（DCR）为74%；截至2023.12.12，有5例患者仍在接受治疗；常见的治疗相关不良反应（TRAEs）为腹泻、血小板降低、贫血、转氨酶升高。</w:t>
            </w:r>
          </w:p>
          <w:p w14:paraId="45519B11"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纳扎替尼：</w:t>
            </w:r>
            <w:r>
              <w:rPr>
                <w:rFonts w:ascii="思源黑体 CN Normal" w:eastAsia="思源黑体 CN Normal" w:hAnsi="思源黑体 CN Normal"/>
                <w:sz w:val="17"/>
                <w:szCs w:val="17"/>
              </w:rPr>
              <w:t>一项单臂、开放标签、全球多中心II期临床研究（NCT02108964, PMID: 35810553），入组45例EGFR激活突变（L858R，ex19del）的局部晚期或转移性（IIIB/IV期）非小细胞肺癌患者，评估纳扎替尼（Nazartinib）一线</w:t>
            </w:r>
            <w:r>
              <w:rPr>
                <w:rFonts w:ascii="思源黑体 CN Normal" w:eastAsia="思源黑体 CN Normal" w:hAnsi="思源黑体 CN Normal"/>
                <w:sz w:val="17"/>
                <w:szCs w:val="17"/>
              </w:rPr>
              <w:lastRenderedPageBreak/>
              <w:t>治疗的疗效和安全性。主要研究终点为BIRC评价的客观缓解率(ORR)；次要研究终点包括无进展生存期(PFS)、总生存期(OS)、安全性等。研究结果显示：截至2019年11月1日，中位随访时间为30个月，BIRC评价的ORR为69%；mPFS为18个月；mOS为NE。对于基线脑转移的18例患者，ORR为67%；mPFS为17个月；18例患者中有17例脑转移为非目标病灶；这17例患者中有9例（53%）CNS病灶消失/恢复正常。27例基线无脑转移的患者治疗后仅有2例进展为脑转移。最常见的不良反应为腹泻（47%）、斑状丘疹（38%）、发热（29%）、咳嗽（27%）和口腔炎（27%）。以上研究结果表明，纳扎替尼一线治疗EGFR突变的NSCLC患者表现出有前景的疗效，包括在脑内具有临床意义的抗肿瘤活性，且安全性可控。</w:t>
            </w:r>
          </w:p>
          <w:p w14:paraId="66B6BC0E"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Patritumab Deruxtecan：</w:t>
            </w:r>
            <w:r>
              <w:rPr>
                <w:rFonts w:ascii="思源黑体 CN Normal" w:eastAsia="思源黑体 CN Normal" w:hAnsi="思源黑体 CN Normal"/>
                <w:sz w:val="17"/>
                <w:szCs w:val="17"/>
              </w:rPr>
              <w:t>一项随机、开放标签的II期临床试验（NCT04619004, HERTHENA-Lung01, PMID: 37689979），入组225例携带EGFR exon19 del或L858R突变的既往经EGFR TKI和铂类化疗的非小细胞肺癌（NSCLC）患者，接受Patritumab Deruxtecan (HER3-DXd) 治疗，主要研究终点是经确认的客观缓解率（ORR），次要研究终点包括反应持续时间（DoR）、无进展生存期（PFS）、总生存期（OS）等。截至2023.5.18，中位随访时间为18.9个月，经BICR确认的ORR为29.8%，中位DoR为6.4个月，中位PFS为5.5个月，中位OS为11.9个月。亚组分析显示，既往接受过奥希替尼和铂类化疗的患者疗效也相似；基线脑转移的患者（n=30）中，BICR评估的CNS ORR为33.3%。安全性可控且可耐受。</w:t>
            </w:r>
          </w:p>
          <w:p w14:paraId="0B595FF9"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SHR-A2009：</w:t>
            </w:r>
            <w:r>
              <w:rPr>
                <w:rFonts w:ascii="思源黑体 CN Normal" w:eastAsia="思源黑体 CN Normal" w:hAnsi="思源黑体 CN Normal"/>
                <w:sz w:val="17"/>
                <w:szCs w:val="17"/>
              </w:rPr>
              <w:t>一项多中心、开放标签、首次人体临床I期试验（NCT05114759, 2023ESMO Abstract 658MO），用于评估SHR-A2009在实体瘤患者中的疗效和安全性，主要终点是安全性、耐受性、推荐II期剂量（RP2D），次要终点包括初步疗效、药代动力学（PK）等。截至2023.4.24，共入组42例患者（ECOG 1，83.3%；IV期，100%；非小细胞肺癌（NSCLC），85.7%；脑转移，31%），在36例NSCLC患者中，34例携带EGFR突变（exon19 del、L858R、G719X）且所有患者均对EGFR-TKI耐药，其中85.3%（29/34）的患者曾接受过第三代药物治疗。剂量达到10.5 mg/kg时，未观察到剂量限制性毒性（DLT）；在可评估的患者中，所有患者的客观缓解率（ORR）为25.0%（9/36）、中位缓解持续时间（mDoR）为7.0个月、6个月无进展生存（PFS）率为46.4%，其中，NSCLC患者的ORR为30.0%（9/30）、mDoR为7.0个月、6个月PFS率为49.8%。基于上述研究，FDA授予SHR-A2009快速通道资格，用于治疗经第三代EGFR酪氨酸激酶抑制剂和含铂化疗后疾病进展的EGFR突变的转移性非小细胞肺癌（NSCLC）患者。</w:t>
            </w:r>
          </w:p>
          <w:p w14:paraId="7EC382BC"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TY-9591：</w:t>
            </w:r>
            <w:r>
              <w:rPr>
                <w:rFonts w:ascii="思源黑体 CN Normal" w:eastAsia="思源黑体 CN Normal" w:hAnsi="思源黑体 CN Normal"/>
                <w:sz w:val="17"/>
                <w:szCs w:val="17"/>
              </w:rPr>
              <w:t>一项开放标签、单臂、I期临床试验（2024 WCLC, Poster P1.12A.07, NCT04204473），入组105例EGFR突变阳性（exon19 del/L858R）的晚期非小细胞肺癌（NSCLC）患者，其中19例进入剂量递增队列（20-200 mg/天）、86例进入剂量扩展队列（80/120/160 mg/天），用于评估TY-9591的安全性、耐受性和初步疗效，主要疗效指标是ORR。截至2023.5.18，剂量递增和剂量扩展队列的中位随访时间分别为29.1个月、23.7个月，未观察到DLT、MTD未明确，最常见的治疗相关不良反应（TRAEs）为血液学毒性、腹泻、皮疹等，在43.8%的患者中观察到3-4级的TRAEs；在前线未经过治疗的携带EGFR敏感突变（exon19 del/L858R）且疗效可评估的患者中（n=78），所有剂量组经确认的ORR（cORR）为85.9%、中位DoR（mDoR）为20.2个月、DCR为94.9%、中位PFS（mPFS）为21.5个月（exon19 del vs. L858R：25.7 vs. 19.3个月）、中位OS（mOS）未达到，在160 mg剂量组（n=12），cORR为91.7%、mDoR未达到、DCR为100%，在11例颅内病变可评估的患者中，iORR为90.9%（CR: n=4; PR: n=6; SD: n=1）且大部分来自160 mg剂量组（8/8）。</w:t>
            </w:r>
          </w:p>
          <w:p w14:paraId="2D7B57BD"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BDTX-1535：</w:t>
            </w:r>
            <w:r>
              <w:rPr>
                <w:rFonts w:ascii="思源黑体 CN Normal" w:eastAsia="思源黑体 CN Normal" w:hAnsi="思源黑体 CN Normal"/>
                <w:sz w:val="17"/>
                <w:szCs w:val="17"/>
              </w:rPr>
              <w:t>一项首次在人体中进行的开放标签、多中心、I期临床试验（2024 AACR Abstract 1229, NCT05256290），旨在评估BDTX-1535在NSCLC或GBM患者中的安全性、耐受性、药代动力学和初步抗肿瘤活性。临床前实验结果表明携带EGFR L858R+非典型EGFR突变（A289V、G598V、E709V、E709K、E709A、E709G、T725M、S768I、R776H）的细胞系对奥希替尼耐药，但对BDTX-1535敏感；而且BDTX-1535可以抑制EGFR常见突变（exon19 del、L858R）、非典型突变（exon19 del+S768I、L858R+A859S、L858R+A289V、L858R+L62R、L858R+EGFRvIII、L858R+G598V、L858R+S784F、L858R+S784=、L858R+E709K、L858R+R108K、L858R+V834L、K754E、L833V、T725M、A763_Y764insFQEA、S784F、G719A、G719S、G724S、L747P、L747S、E709K、I740_K745dup、R776H、E709A、E709V、E709G、S768I、V769L、V769M、E709Q、G779F、L833F、E709_T710delinsD、L718Q、G719C+S768I、L858R+L747S、E709A+G719S、E709K+G719S、S768I+V769L、L858R+L718V、L858R+L792H、exon19 del+L718Q、S768I+V774M、V1097I、G719C、P772L、Q812R、G719A+R776C、G719D、D761Y、G719R、G719A+L861R、S720F、G779C、V774_C775insPR、V774_C775insKIPVAI、R222C、R108K、A289T、EGFRvVI(del12-13)、V689M、G598V、C595S、EGFRvVII(del 14-15)、C231F、S645C、A289V、EGFRvIII、EGFR-SEPTIN14 Fusion、exon19 del+C797S、L858R+C797S）的细胞生长。临床试验的结果表明：13例经前线治疗失败的NSCLC患者接受BDTX-1535治疗后，5</w:t>
            </w:r>
            <w:r>
              <w:rPr>
                <w:rFonts w:ascii="思源黑体 CN Normal" w:eastAsia="思源黑体 CN Normal" w:hAnsi="思源黑体 CN Normal"/>
                <w:sz w:val="17"/>
                <w:szCs w:val="17"/>
              </w:rPr>
              <w:lastRenderedPageBreak/>
              <w:t>例患者获得疾病缓解（PR，2例携带EGFR exon19 del+C797S、1例携带EGFR L858R+C797S、1例携带EGFR L858R+C797S+L718Q、1例携带EGFR L747P）、1例患者获得未经确认的PR（携带EGFR L858R+E709V）。</w:t>
            </w:r>
          </w:p>
          <w:p w14:paraId="6FE1C7CC"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BLU-701：</w:t>
            </w:r>
            <w:r>
              <w:rPr>
                <w:rFonts w:ascii="思源黑体 CN Normal" w:eastAsia="思源黑体 CN Normal" w:hAnsi="思源黑体 CN Normal"/>
                <w:sz w:val="17"/>
                <w:szCs w:val="17"/>
              </w:rPr>
              <w:t>一项临床前研究（doi.org/10.1016/S0169-5002(22)00125-8）中，通过异种移植瘤模型证明了BLU-701可以抑制携带EGFR exon19 del、exon19 del/C797S、exon19 del/T790M/C797S突变的小鼠模型的肿瘤生长，而且与BLU-945联用时对携带EGFR exon19 del/C797S、exon19 del/T790M/C797S突变的小鼠模型的肿瘤生长抑制作用进一步加强；此外，BLU-701在EGFR exon19 del的CDX模型中表现出剂量依赖的颅内抗肿瘤活性。</w:t>
            </w:r>
          </w:p>
          <w:p w14:paraId="43BACAA8"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CH7233163：</w:t>
            </w:r>
            <w:r>
              <w:rPr>
                <w:rFonts w:ascii="思源黑体 CN Normal" w:eastAsia="思源黑体 CN Normal" w:hAnsi="思源黑体 CN Normal"/>
                <w:sz w:val="17"/>
                <w:szCs w:val="17"/>
              </w:rPr>
              <w:t>一项临床前研究中（PMID: 32943545），体外肿瘤细胞株实验结果显示，CH7233163可以抑制携带EGFR exon19 del/T790M/C797S、L858R/T790M/C797S、exon19 del/T790M、L858R/T790M、exon19 del、L858R的细胞系的细胞增殖；小鼠实验结果显示，CH7233163可以抑制携带EGFR exon19 del/T790M/C797S、L858R/T790M、exon19 del突变体的小鼠模型的肿瘤生长。研究发现，CH7233163以非共价键结合方式作用于EGFR  exon19 del、L858R、T790M，且不受C797S突变的干扰，而且对野生型EGFR基因的抑制较弱。</w:t>
            </w:r>
          </w:p>
          <w:p w14:paraId="6FFD5815"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CLN-081：</w:t>
            </w:r>
            <w:r>
              <w:rPr>
                <w:rFonts w:ascii="思源黑体 CN Normal" w:eastAsia="思源黑体 CN Normal" w:hAnsi="思源黑体 CN Normal"/>
                <w:sz w:val="17"/>
                <w:szCs w:val="17"/>
              </w:rPr>
              <w:t>一项细胞实验（PMID: 31467113），评估了厄洛替尼、阿法替尼、奥希替尼、Poziotinib和CLN-081（TAS6417）等多种EGFR-TKI对多种突变/突变组合的细胞系的影响，其中CLN-081（TAS6417）为一种新型的EGFR-TKI。结果发现，对于EGFR 19del和EGFR L858R突变的细胞系，CLN-081是一种很强的抑制剂；对于携带EGFR T790M突变的细胞系，CLN-081是上述几种EGFR-TKI中最强的抑制剂。并且CLN-081也可以抑制其他罕见突变/突变组合（如G719A±T790M、L861Q±T790M、S768I+V769L）的细胞系的生长。另外，与奥希替尼、Poziotinib相比，CLN-081对A763_Y764insFQEA、V769_D770insASV（EGFR p.A767_V769dup）、D770_N771insSVD(EGFR p.S768_D770dup)、D770_N771insG、H773_V774insNPH(EGFR p.N771_H773dup)和H773_V774insPH(EGFR p.P772_H773dup)等EGFR exon20 ins突变的细胞系的选择指数更高（选择指数是指对EGFR野生型的抑制率/对EGFR突变型的抑制率），表明CLN-081有更宽的治疗窗口。</w:t>
            </w:r>
          </w:p>
          <w:p w14:paraId="652921A7"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JIN-A02：</w:t>
            </w:r>
            <w:r>
              <w:rPr>
                <w:rFonts w:ascii="思源黑体 CN Normal" w:eastAsia="思源黑体 CN Normal" w:hAnsi="思源黑体 CN Normal"/>
                <w:sz w:val="17"/>
                <w:szCs w:val="17"/>
              </w:rPr>
              <w:t>一项临床前研究报道，在Ba/F3细胞系中，JIN-A02能够强烈抑制携带ex19del/T790M/C797S和L858R/T790M/C797S的细胞活性，并且在携带ex19del/T790M、L858R/T790M、ex19del、L858R中展示出与奥希替尼相当的效力。此外，JIN-A02对携带罕见EGFR突变（ex19del/T790M/L718Q、L858R/T790M/L718Q）的细胞亦有效。在携带ex19del/T790M/C797S突变的异种移植小鼠模型Ba/F3细胞中，JIN-A02可显著抑制肿瘤生长(2022 WCLC, Abstract MA07.08)。</w:t>
            </w:r>
          </w:p>
          <w:p w14:paraId="75FCDF9A"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OBX02-011：</w:t>
            </w:r>
            <w:r>
              <w:rPr>
                <w:rFonts w:ascii="思源黑体 CN Normal" w:eastAsia="思源黑体 CN Normal" w:hAnsi="思源黑体 CN Normal"/>
                <w:sz w:val="17"/>
                <w:szCs w:val="17"/>
              </w:rPr>
              <w:t>一项临床前试验（2024 WCLC, ePoster EP.12E.01）中，评价了第四代EGFR-TKI OBX02-011的抗肿瘤活性，结果显示：在细胞实验中OBX02-011对携带ALK C1156Y、G1202R、L1196M突变的细胞系的抑制作用优于洛拉替尼；在异种移植模型中OBX02-011可抑制携带EML4-ALK+G1202R、EGFR exon19 del/L858R±C797S、EGFR exon19del+T790M+C797S的肿瘤生长。</w:t>
            </w:r>
          </w:p>
        </w:tc>
      </w:tr>
    </w:tbl>
    <w:p w14:paraId="32E02E63" w14:textId="77777777" w:rsidR="00256464" w:rsidRDefault="00256464">
      <w:pPr>
        <w:rPr>
          <w:rFonts w:ascii="思源黑体 CN Normal" w:eastAsia="思源黑体 CN Normal" w:hAnsi="思源黑体 CN Normal" w:hint="eastAsia"/>
          <w:sz w:val="16"/>
          <w:szCs w:val="16"/>
        </w:rPr>
      </w:pPr>
    </w:p>
    <w:p w14:paraId="5D6050F9" w14:textId="77777777" w:rsidR="00256464" w:rsidRDefault="00000000">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30F4576" w14:textId="77777777" w:rsidR="00256464" w:rsidRDefault="00000000">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E89404" w14:textId="77777777" w:rsidR="00256464" w:rsidRDefault="00256464">
      <w:pPr>
        <w:adjustRightInd w:val="0"/>
        <w:snapToGrid w:val="0"/>
        <w:rPr>
          <w:rFonts w:ascii="微软雅黑" w:eastAsia="微软雅黑" w:hAnsi="微软雅黑" w:hint="eastAsia"/>
          <w:color w:val="2193B0"/>
          <w:sz w:val="24"/>
          <w:szCs w:val="24"/>
        </w:rPr>
      </w:pPr>
    </w:p>
    <w:p w14:paraId="74831040" w14:textId="77777777" w:rsidR="00256464" w:rsidRDefault="00000000">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tbl>
      <w:tblPr>
        <w:tblW w:w="0" w:type="auto"/>
        <w:jc w:val="center"/>
        <w:tblLayout w:type="fixed"/>
        <w:tblLook w:val="04A0" w:firstRow="1" w:lastRow="0" w:firstColumn="1" w:lastColumn="0" w:noHBand="0" w:noVBand="1"/>
      </w:tblPr>
      <w:tblGrid>
        <w:gridCol w:w="1418"/>
        <w:gridCol w:w="8914"/>
      </w:tblGrid>
      <w:tr w:rsidR="00256464" w14:paraId="7B54D4CC"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63136D4B" w14:textId="77777777" w:rsidR="0025646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56464" w14:paraId="62995F6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0748E4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83BA93"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256464" w14:paraId="3E89D43B"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0ED30F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67C6DB7" w14:textId="77777777" w:rsidR="00256464" w:rsidRDefault="0000000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489FB19A" w14:textId="77777777" w:rsidR="00256464" w:rsidRDefault="00256464">
      <w:pPr>
        <w:rPr>
          <w:rFonts w:ascii="思源黑体 CN Normal" w:eastAsia="思源黑体 CN Normal" w:hAnsi="思源黑体 CN Normal" w:hint="eastAsia"/>
          <w:sz w:val="16"/>
          <w:szCs w:val="16"/>
        </w:rPr>
      </w:pPr>
    </w:p>
    <w:p w14:paraId="316D3671" w14:textId="77777777" w:rsidR="00256464" w:rsidRDefault="0000000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5CE4A31" w14:textId="77777777" w:rsidR="00256464" w:rsidRDefault="00000000">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56464" w14:paraId="02576066" w14:textId="77777777">
        <w:tc>
          <w:tcPr>
            <w:tcW w:w="4395" w:type="dxa"/>
          </w:tcPr>
          <w:bookmarkStart w:id="9" w:name="_Hlk110926959"/>
          <w:p w14:paraId="16011C09"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0038713" wp14:editId="2261947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39D3DC4" w14:textId="77777777" w:rsidR="00256464" w:rsidRDefault="00000000">
            <w:pPr>
              <w:ind w:firstLineChars="100" w:firstLine="280"/>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3360" behindDoc="1" locked="0" layoutInCell="1" allowOverlap="1" wp14:anchorId="14891AF5" wp14:editId="6ADBF11F">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25pt;margin-top:3.45pt;height:25.3pt;width:123.5pt;mso-position-horizontal-relative:margin;z-index:-251653120;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D19D483" w14:textId="77777777" w:rsidR="00256464" w:rsidRDefault="00256464"/>
    <w:tbl>
      <w:tblPr>
        <w:tblW w:w="0" w:type="auto"/>
        <w:jc w:val="center"/>
        <w:tblLayout w:type="fixed"/>
        <w:tblLook w:val="04A0" w:firstRow="1" w:lastRow="0" w:firstColumn="1" w:lastColumn="0" w:noHBand="0" w:noVBand="1"/>
      </w:tblPr>
      <w:tblGrid>
        <w:gridCol w:w="1149"/>
        <w:gridCol w:w="6222"/>
        <w:gridCol w:w="1488"/>
        <w:gridCol w:w="1473"/>
      </w:tblGrid>
      <w:tr w:rsidR="00256464" w14:paraId="4A68E727"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12FA8CEC"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FCF05C"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阿法替尼</w:t>
            </w:r>
          </w:p>
          <w:p w14:paraId="729DBCDB"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Afatinib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6309A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A77363E"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60A356C1"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5789C1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F09A8F3"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阿法替尼（英语：Afatinib），是一种受体酪氨酸激酶（RTK）表皮生长因子受体（ErbB; EGFR）家族抑制剂，具有抗肿瘤活性。给药后阿法替尼特异性、不可逆地结合并抑制ErbB1（EGFR）、ErbB2（HER2）、ErbB4（HER4）和一些EGFR突变，包括EGFR exon19 del、L858R等，进而抑制过表达这些RTK的肿瘤细胞的生长；此外，阿法替尼还可抑制耐药突变EGFR T790M的活性。EGFR、HER2、HER4等属于RTK中的EGFR超家族，它们在肿瘤细胞增殖和肿瘤血管化过程中发挥重要作用并且在许多癌细胞中过表达。</w:t>
            </w:r>
          </w:p>
        </w:tc>
      </w:tr>
      <w:tr w:rsidR="00256464" w14:paraId="342A0EDF"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5441A4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0B112C6"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591EA0A1"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C894BC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A2D68D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FDA批准阿法替尼用于携带EGFR非耐药突变的转移性非小细胞肺癌患者的一线治疗。</w:t>
            </w:r>
          </w:p>
          <w:p w14:paraId="4B1CB004"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FDA批准阿法替尼用于含铂化疗期间或化疗后疾病进展的局部晚期或转移性鳞状组织学类型的非小细胞肺癌(NSCLC)的治疗。</w:t>
            </w:r>
          </w:p>
          <w:p w14:paraId="2699591B"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NMPA批准阿法替尼用于治疗EGFR基因突变阳性的局部晚期或转移性非小细胞肺癌（NSCLC）。</w:t>
            </w:r>
          </w:p>
          <w:p w14:paraId="63FC1781"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NMPA批准阿法替尼用于含铂化疗期间或化疗后疾病进展的局部晚期或转移性鳞状组织学类型的非小细胞肺癌（NSCLC）的治疗。</w:t>
            </w:r>
          </w:p>
        </w:tc>
      </w:tr>
    </w:tbl>
    <w:p w14:paraId="0705287E"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0345580D"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BEF21BE"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EE6A29"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阿美替尼</w:t>
            </w:r>
          </w:p>
          <w:p w14:paraId="086B95B8"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Almonertinib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5B59C2"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58F3DD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27499CD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64F9B81"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70D60DC"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甲磺酸阿美替尼是表皮生长因子受体（EGFR）的激酶抑制剂，对EGFR耐药或激活突变（T790M/L858R和19del）产生不可逆抑制的IC50较野生型低约10倍。在体外细胞增殖和体內动物肿瘤移植瘤模型中，甲磺酸阿美替尼对携带EGFR突变（T790M/L858R和19del）的非小细胞肺癌细胞株具有抗肿瘤作用，对野生型EGFR抑制作用较弱。</w:t>
            </w:r>
          </w:p>
        </w:tc>
      </w:tr>
      <w:tr w:rsidR="00256464" w14:paraId="3D0BA3D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E135B9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7ADAE7C"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315F1EC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2992BF4"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937CFA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NMPA批准阿美替尼用于具有EGFR外显子19缺失或外显子21（L858R）突变的局部晚期或转移性非小细胞肺癌成人患者的一线治疗。</w:t>
            </w:r>
          </w:p>
          <w:p w14:paraId="7D25693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NMPA批准阿美替尼用于既往经表皮生长因子受体（EGFR）酪氨酸激酶抑制剂（TKI）治疗时或治疗后出现疾病进展，并且经检测确认存在 EGFR T790M 突变阳性的局部晚期或转移性非小细胞肺癌（NSCLC）成人患者的治疗。</w:t>
            </w:r>
          </w:p>
          <w:p w14:paraId="1F4190D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NMPA批准阿美替尼用于含铂根治性放化疗后未出现疾病进展的不可切除的局部晚期表皮生长因子受体（EGFR）外显子19缺失或外显子21（L858R）置换突变的非小细胞肺癌（NSCLC）患者的治疗。</w:t>
            </w:r>
          </w:p>
        </w:tc>
      </w:tr>
    </w:tbl>
    <w:p w14:paraId="292C0CB0"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24361A7B"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9EF7A5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35B44D"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埃克替尼</w:t>
            </w:r>
          </w:p>
          <w:p w14:paraId="0E52AD24"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Icotinib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C8F647"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C9CBE1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3A765492"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AA2A026"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BE6A5DF"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埃克替尼是一个强效的EGFR（Epidermal Growth Factor Receptor）酪氨酸激酶抑制剂,其分子水平对EGFR酪氨酸激酶抑制的IC50为5nmol/L。盐酸埃克替尼仅对EGFR野生型及其3个突变型显示出强有力的抑制作用，而对另外81个激酶无任何意义上的抑制作用。在细胞水平（外阴鳞状细胞癌细胞株ChemicalbookA431细胞），盐酸埃克替尼可抑制EGF诱导、EGFR酪氨酸激酶介导的细胞内蛋白酪氨酸磷酸化，其IC50约50nmol/L。A431细胞株、非小细胞肺癌细胞株、舌鳞状细胞癌Tca8113细胞等对埃克替尼敏感，但对结肠癌细胞株HCT8和肝癌细胞株的生长抑制作用较弱，提示不同的肿瘤细胞株对盐酸埃克替尼的敏感程度不同。</w:t>
            </w:r>
          </w:p>
        </w:tc>
      </w:tr>
      <w:tr w:rsidR="00256464" w14:paraId="37750BFE"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89748D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ED25E37"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13649BA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059E8F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44B0F77"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NMPA批准埃克替尼用于治疗EGFR基因具有敏感突变的局部晚期或转移性NSCLC患者的一线治疗。</w:t>
            </w:r>
          </w:p>
          <w:p w14:paraId="3E9D29D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NMPA批准埃克替尼用于II-IIIA期伴有EGFR基因敏感突变的NSCLC术后辅助治疗。</w:t>
            </w:r>
          </w:p>
          <w:p w14:paraId="2E5BD0C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NMPA批准埃克替尼可试用于治疗既往接受过至少一个化疗方案（主要指以铂类为基础的联合化疗）失败后的局部晚期或转移性NSCLC患者。</w:t>
            </w:r>
          </w:p>
        </w:tc>
      </w:tr>
    </w:tbl>
    <w:p w14:paraId="15B38B0B"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24A3C460"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3E9DBC5"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A0E5F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埃万妥单抗+卡铂+培美曲塞</w:t>
            </w:r>
          </w:p>
          <w:p w14:paraId="00A20C12"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Amivantamab+Carboplatin+Pemetrexed</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B5C6E2"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F9BBCB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18D1386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9B14F1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2334838"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埃万妥单抗是一种能与EGFR和MET胞外结构域结合的双特异性抗体。体外和体内试验显示，埃万妥单抗通过阻断配体结合并在20号外显子插入突变模型中诱导EGFR和MET降解，阻扰EGFR和MET信号传递功能。埃万妥单抗靶向结合肿瘤细胞表面的EGFR和MET，通过免疫效应细胞，如自然杀伤细胞和巨噬细胞，分别以抗体依赖性细胞介导细胞毒性（ADCC）和胞啃作用杀伤肿瘤细胞。</w:t>
            </w:r>
          </w:p>
          <w:p w14:paraId="64666EA6"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 xml:space="preserve">卡铂的主要作用是将烷基连接到核苷酸上，导致单加合物的形成，以及当修复酶试图纠正错误时 DNA 片段化。 2% 的卡铂活性来自 DNA 从一条链上的碱基到另一条上碱基的交联，从而防止 DNA 链分离以进行合成或转录。卡铂可以诱导许多不同的突变。 </w:t>
            </w:r>
          </w:p>
          <w:p w14:paraId="48AFBC22"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培美曲塞是一种结构上含有核心为吡咯嘧啶基团的抗叶酸制剂，通过破坏细胞内叶酸依赖性的正常代谢过程，抑制细胞复制，从而抑制肿瘤的生长。 培美曲塞分别结合与抑制嘌呤和嘧啶合成中的三种酶，分别为胸苷酸合酶(TS)、二氢叶酸还原酶(DHFR) 和甘氨酰胺核糖核苷酸甲酰基转移酶(GARFT)，通过抑制嘌呤和嘧啶核苷酸的前体形成的机制，培美曲塞阻断了正常细胞和癌细胞生存代谢相关DNA与RNA的合成。</w:t>
            </w:r>
          </w:p>
        </w:tc>
      </w:tr>
      <w:tr w:rsidR="00256464" w14:paraId="5B489AF1"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D6E596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D69B4C3"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30A1F6CB"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B6D045E"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4D4471"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FDA批准Amivantamab-vmjw联合卡铂+培美曲塞用于携带EGFR基因20号外显子插入突变的局部晚期或转移性非小细胞肺癌（NSCLC）患者的一线治疗。</w:t>
            </w:r>
          </w:p>
          <w:p w14:paraId="5F478907"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FDA批准amivantamab-vmjw联合卡铂和培美曲塞用于治疗携带EGFR exon19 del或L858R突变且在使用EGFR酪氨酸激酶抑制剂治疗时或治疗后进展的局部晚期或转移性非小细胞肺癌（NSCLC）成人患者。</w:t>
            </w:r>
          </w:p>
          <w:p w14:paraId="5660B3A0"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NMPA批准埃万妥单抗与卡铂和培美曲塞联合给药，用于经检测确认携带表皮生长因子受体（EGFR）20号外显子插入突变的局部晚期或转移性非小细胞肺癌（NSCLC）成人患者的一线治疗。</w:t>
            </w:r>
          </w:p>
          <w:p w14:paraId="56D7D20C"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NMPA批准埃万妥单抗（Amivantamab）联合卡铂和培美曲塞用于治疗携带EGFR exon19 del或L858R突变且在EGFR酪氨酸激酶抑制剂治疗期间或之后疾病进展的局部晚期或转移性非鳞非小细胞肺癌（NSCLC）成人患者。</w:t>
            </w:r>
          </w:p>
        </w:tc>
      </w:tr>
    </w:tbl>
    <w:p w14:paraId="50859AD1"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623C0FD2"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091324C"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D43567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埃万妥单抗+兰泽替尼</w:t>
            </w:r>
          </w:p>
          <w:p w14:paraId="2B57F5CF"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Amivantamab+Lazertinib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7DC7FC"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C6DFAD2"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2E5317A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537DAB5"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ACE2F6A"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埃万妥单抗是一种能与EGFR和MET胞外结构域结合的双特异性抗体。体外和体内试验显示，埃万妥单抗通过阻断配体结合并在20号外显子插入突变模型中诱导EGFR和MET降解，阻扰EGFR和MET信号传递功能。埃万妥单抗靶向结合肿瘤细胞表面的EGFR和MET，通过免疫效应细胞，如自然杀伤细胞和巨噬细胞，分别以抗体依赖性细胞介导细胞毒性（ADCC）和胞啃作用杀伤肿瘤细胞。</w:t>
            </w:r>
          </w:p>
          <w:p w14:paraId="12FDD14C"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一种口服的第三代选择性表皮生长因子受体(EGFR)某些形式的激活突变抑制剂，包括耐药突变T790M、外显子19缺失(Del19)和L858R突变，具有潜在的抗肿瘤活性。给药后，兰泽替尼特异性且不可逆地结合并抑制选择性EGFR突变体，从而阻止EGFR突变体介导的信号传导并导致表达EGFR突变体的肿瘤细胞的细胞死亡。兰泽替尼可能抑制特定癌细胞中含有特定EGFR突变的程序性细胞死亡-1配体1 (PD-L1)和炎性细胞因子。与其他一些EGFR抑制剂相比，兰泽替尼可能对T790M或L858R介导的耐药肿瘤有治疗效果。此外，兰泽替尼可穿透血脑屏障(BBB)。该药物对野生型EGFR (wtEGFR)显示出最小的活性，并且不会引起剂量限制性毒性，这种毒性在使用非选择性EGFR抑制剂和抑制wtEGFR时发生。EGFR是一种受体酪氨酸激酶(RTK)，在许多肿瘤细胞类型中突变，在肿瘤细胞增殖和肿瘤血管化中起关键作用。</w:t>
            </w:r>
          </w:p>
        </w:tc>
      </w:tr>
      <w:tr w:rsidR="00256464" w14:paraId="5BED44F3"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4BECFE9"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73AF59C"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5CFD9A2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87B11F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46D1BF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FDA批准兰泽替尼联合amivantamab-vmjw用于携带EGFR exon19 del或L858R突变的局部晚期或转移性非小细胞肺癌患者的一线治疗。</w:t>
            </w:r>
          </w:p>
          <w:p w14:paraId="48D636B5"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NMPA批准兰泽替尼联合埃万妥单抗用于携带表皮生长因子受体（EGFR）19号外显子缺失或21号外显子L858R置换突变的局部晚期或转移性非小细胞肺癌（NSCLC）成人患者的一线治疗。</w:t>
            </w:r>
          </w:p>
        </w:tc>
      </w:tr>
    </w:tbl>
    <w:p w14:paraId="080F2F7F"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589A7C55"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99DDB80"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FA9876"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奥希替尼</w:t>
            </w:r>
          </w:p>
          <w:p w14:paraId="73B7D456"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Osimertinib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59CF8A"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67BDB5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19E9E29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9A0C004"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6F32BF2"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Osimertinib是一种表皮生长因子受体（EGFR）的激酶抑制剂，可与某些突变形式的EGFR（T790M，L858R和外显子19缺失）不可逆地结合，其浓度比野生型低约9倍。口服Osimertinib后，血浆中已鉴定出两种抑制作用与Osimertinib相似的药理活性代谢产物（AZ7550和AZ5104循环约占母体的10％）。 AZ7550显示出与Osimertinib相似的效价，而AZ5104显示出针对外显子19缺失和T790M突变体（约8倍）和野生型（约15倍）EGFR的更高效价。在体外，Osimertinib在临床相关浓度下也能抑制HER2，HER3，HER4，ACK1和BLK的活性。 在培养的细胞和动物肿瘤植入模型中，Osimertinib对具有EGFR突变（T790M / L858R，L858R，T790M /外显子19缺失和外显子19缺失）的NSCLC系表现出抗肿瘤活性，在较小程度上表现为野生型EGFR扩增。口服给药后，Osimertinib分布于多种动物（猴子，大鼠和小鼠）的大脑中，脑与血浆的AUC比率约为2。这些数据与在临床前突变型EGFR颅内小鼠异种移植模型（PC9；外显子19缺失）中Osimertinib治疗组与对照组相比，肿瘤消退和存活率提高的观察结果一致。</w:t>
            </w:r>
          </w:p>
        </w:tc>
      </w:tr>
      <w:tr w:rsidR="00256464" w14:paraId="13D1E9C5"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CA6A87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09A2031"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041633E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701E89B"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F456B6F"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NMPA批准奥希替尼联合培美曲塞和顺铂/卡铂用于携带EGFR exon19 del或L858R突变的局部晚期或转移性非小细胞肺癌成人患者的一线治疗。</w:t>
            </w:r>
          </w:p>
          <w:p w14:paraId="4537552B"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FDA批准奥希替尼联合培美曲塞和顺铂/卡铂用于携带EGFR exon19 del或L858R突变的局部晚期或转移性非小细胞肺癌的一线治疗。</w:t>
            </w:r>
          </w:p>
          <w:p w14:paraId="76CB3646"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FDA批准奥希替尼用于EGFR 19号外显子缺失或L858R突变的转移性非小细胞肺癌（NSCLC）患者的一线治疗。</w:t>
            </w:r>
          </w:p>
          <w:p w14:paraId="6CEE0B98"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FDA批准奥希替尼用于经EGFR TKI治疗期间或治疗后进展、携带EGFR T790M突变的转移性NSCLC患者的治疗。</w:t>
            </w:r>
          </w:p>
          <w:p w14:paraId="033FC347"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FDA批准奥希替尼用于EGFR 19号外显子缺失或L858R突变的非小细胞肺癌（NSCLC）患者肿瘤切除后的辅助治疗。</w:t>
            </w:r>
          </w:p>
          <w:p w14:paraId="4033346A"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NMPA批准奥希替尼用于EGFR-TKI治疗时/治疗后进展并携带EGFR T790M突变的局部晚期或转移性非小细胞肺癌成人患者的治疗。</w:t>
            </w:r>
          </w:p>
          <w:p w14:paraId="076E9424"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NMPA批准奥希替尼用于治疗具有EGFR外显子19缺失或L858R突变的局部晚期或转移性非小细胞肺癌成人患者的一线治疗。</w:t>
            </w:r>
          </w:p>
          <w:p w14:paraId="3835D416"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NMPA批准赛沃替尼联合奥希替尼用于治疗伴有MET扩增的一线EGFR抑制剂治疗后疾病进展的肺癌患者。</w:t>
            </w:r>
          </w:p>
        </w:tc>
      </w:tr>
    </w:tbl>
    <w:p w14:paraId="62D0D0B8"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4D40C4BE"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E41375"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CB6FEE"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奥希替尼+培美曲塞+卡铂</w:t>
            </w:r>
          </w:p>
          <w:p w14:paraId="7691E42F"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Osimertinib+Pemetrexed+Carboplatin</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EBE079"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50F767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5EBFF64D"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8C87D1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E74EEC5"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Osimertinib是一种表皮生长因子受体（EGFR）的激酶抑制剂，可与某些突变形式的EGFR（T790M，L858R和外显子19缺失）不可逆地结合，其浓度比野生型低约9倍。口服Osimertinib后，血浆中已鉴定出两种抑制作用与Osimertinib相似的药理活性代谢产物（AZ7550和AZ5104循环约占母体的10％）。 AZ7550显示出与Osimertinib相似的效价，而AZ5104显示出针对外显子19缺失和T790M突变体（约8倍）和野生型（约15倍）EGFR的更高效价。在体外，Osimertinib在临床相关浓度下也能抑制HER2，HER3，HER4，ACK1和BLK的活性。 在培养的细胞和动物肿瘤植入模型中，Osimertinib对具有EGFR突变（T790M / L858R，L858R，T790M /外显子19缺失和外显子19缺失）的NSCLC系表现出抗肿瘤活性，在较小程度上表现为野生型EGFR扩增。口服给药后，Osimertinib分布于多种动物（猴子，大鼠和小鼠）的大脑中，脑与血浆的AUC比率约为2。这些数据与在临床前突变型EGFR颅内小鼠异种移植模型（PC9；外显子19缺失）中Osimertinib治疗组与对照组相比，肿瘤消退和存活率提高的观察结果一致。</w:t>
            </w:r>
          </w:p>
          <w:p w14:paraId="76F8D39B"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培美曲塞是一种结构上含有核心为吡咯嘧啶基团的抗叶酸制剂，通过破坏细胞内叶酸依赖性的正常代谢过程，抑制细胞复制，从而抑制肿瘤的生长。 培美曲塞分别结合与抑制嘌呤和嘧啶合成中的三种酶，分别为胸苷酸合酶(TS)、二氢叶酸还原酶(DHFR) 和甘氨酰胺核糖核苷酸甲酰基转移酶(GARFT)，通过抑制嘌呤和嘧啶核苷酸的前体形成的机制，培美曲塞阻断了正常细胞和癌细胞生存代谢相关DNA与RNA的合成。</w:t>
            </w:r>
          </w:p>
          <w:p w14:paraId="42DACB8F"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 xml:space="preserve">卡铂的主要作用是将烷基连接到核苷酸上，导致单加合物的形成，以及当修复酶试图纠正错误时 DNA 片段化。 2% 的卡铂活性来自 DNA 从一条链上的碱基到另一条上碱基的交联，从而防止 DNA 链分离以进行合成或转录。卡铂可以诱导许多不同的突变。 </w:t>
            </w:r>
          </w:p>
        </w:tc>
      </w:tr>
      <w:tr w:rsidR="00256464" w14:paraId="702440EF"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58E183"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DD00388"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0D96E0CA"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9DC0A6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98916AC"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NMPA批准奥希替尼联合培美曲塞和顺铂/卡铂用于携带EGFR exon19 del或L858R突变的局部晚期或转移性非小细胞肺癌成人患者的一线治疗。</w:t>
            </w:r>
          </w:p>
          <w:p w14:paraId="2B378FD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FDA批准奥希替尼联合培美曲塞和顺铂/卡铂用于携带EGFR exon19 del或L858R突变的局部晚期或转移性非小细胞肺癌</w:t>
            </w:r>
            <w:r>
              <w:rPr>
                <w:rFonts w:ascii="思源黑体 CN Normal" w:eastAsia="思源黑体 CN Normal" w:hAnsi="思源黑体 CN Normal"/>
                <w:sz w:val="17"/>
                <w:szCs w:val="17"/>
              </w:rPr>
              <w:lastRenderedPageBreak/>
              <w:t>的一线治疗。</w:t>
            </w:r>
          </w:p>
        </w:tc>
      </w:tr>
    </w:tbl>
    <w:p w14:paraId="703A4E24"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4A0DF703"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7D4B417"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0D9752"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奥希替尼+培美曲塞+顺铂</w:t>
            </w:r>
          </w:p>
          <w:p w14:paraId="5272EAC5"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Osimertinib+Pemetrexed+Cisplatin</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DA57A6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056B941"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22A4B6A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4CA066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56589B9"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Osimertinib是一种表皮生长因子受体（EGFR）的激酶抑制剂，可与某些突变形式的EGFR（T790M，L858R和外显子19缺失）不可逆地结合，其浓度比野生型低约9倍。口服Osimertinib后，血浆中已鉴定出两种抑制作用与Osimertinib相似的药理活性代谢产物（AZ7550和AZ5104循环约占母体的10％）。 AZ7550显示出与Osimertinib相似的效价，而AZ5104显示出针对外显子19缺失和T790M突变体（约8倍）和野生型（约15倍）EGFR的更高效价。在体外，Osimertinib在临床相关浓度下也能抑制HER2，HER3，HER4，ACK1和BLK的活性。 在培养的细胞和动物肿瘤植入模型中，Osimertinib对具有EGFR突变（T790M / L858R，L858R，T790M /外显子19缺失和外显子19缺失）的NSCLC系表现出抗肿瘤活性，在较小程度上表现为野生型EGFR扩增。口服给药后，Osimertinib分布于多种动物（猴子，大鼠和小鼠）的大脑中，脑与血浆的AUC比率约为2。这些数据与在临床前突变型EGFR颅内小鼠异种移植模型（PC9；外显子19缺失）中Osimertinib治疗组与对照组相比，肿瘤消退和存活率提高的观察结果一致。</w:t>
            </w:r>
          </w:p>
          <w:p w14:paraId="436136EE"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培美曲塞是一种结构上含有核心为吡咯嘧啶基团的抗叶酸制剂，通过破坏细胞内叶酸依赖性的正常代谢过程，抑制细胞复制，从而抑制肿瘤的生长。 培美曲塞分别结合与抑制嘌呤和嘧啶合成中的三种酶，分别为胸苷酸合酶(TS)、二氢叶酸还原酶(DHFR) 和甘氨酰胺核糖核苷酸甲酰基转移酶(GARFT)，通过抑制嘌呤和嘧啶核苷酸的前体形成的机制，培美曲塞阻断了正常细胞和癌细胞生存代谢相关DNA与RNA的合成。</w:t>
            </w:r>
          </w:p>
          <w:p w14:paraId="03850F32"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顺铂是一种具有抗肿瘤活性的烷基化类无机铂剂（顺式-二氯二氨合铂）。顺铂形成高活性、带电的铂络合物，与亲核基团（如DNA中富含GC的部位）结合，诱发链内和链间DNA交联，以及DNA-蛋白质交联。这些交联导致细胞凋亡并抑制细胞生长。</w:t>
            </w:r>
          </w:p>
        </w:tc>
      </w:tr>
      <w:tr w:rsidR="00256464" w14:paraId="1EBBC378"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3FEDA3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3062B67"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336364D7"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4469D2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407A16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NMPA批准奥希替尼联合培美曲塞和顺铂/卡铂用于携带EGFR exon19 del或L858R突变的局部晚期或转移性非小细胞肺癌成人患者的一线治疗。</w:t>
            </w:r>
          </w:p>
          <w:p w14:paraId="73C6F9A0"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FDA批准奥希替尼联合培美曲塞和顺铂/卡铂用于携带EGFR exon19 del或L858R突变的局部晚期或转移性非小细胞肺癌的一线治疗。</w:t>
            </w:r>
          </w:p>
        </w:tc>
      </w:tr>
    </w:tbl>
    <w:p w14:paraId="07204D5F"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5041BA6B"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D44F100"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DE95BE"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贝福替尼</w:t>
            </w:r>
          </w:p>
          <w:p w14:paraId="6E2386E4"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Befotertinib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FAD61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8F4BEA0"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27D4901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49980D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0FF0E6D7"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贝福替尼（D-0316）是一种全新的第三代EGFR酪氨酸激酶抑制剂（TKI）。一种口服的表皮生长因子受体（EGFR）突变形式T790M的抑制剂，具有潜在的抗肿瘤活性。给药后，贝福替尼能特异性地结合并抑制EGFR T790M，这是一种二次获得性耐药突变，它能阻止EGFR介导的信号传导，导致表达EGFR T790M的肿瘤细胞死亡。与其他一些EGFR抑制剂相比，贝福替尼可能对T790M介导的耐药性肿瘤有治疗作用。EGFR是一种在许多肿瘤细胞类型中发生突变的受体酪氨酸激酶，在肿瘤细胞增殖和肿瘤血管化中起着关键作用。</w:t>
            </w:r>
          </w:p>
        </w:tc>
      </w:tr>
      <w:tr w:rsidR="00256464" w14:paraId="2B8D0057"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0A77401"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31A1B0F"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4DC1C68F"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B52E70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67657E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NMPA批准甲磺酸贝福替尼胶囊用于经EGFR-TKI治疗耐药后产生T790M突变的局部晚期或转移性非小细胞肺癌患者的治疗。</w:t>
            </w:r>
          </w:p>
          <w:p w14:paraId="5516262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NMPA批准甲磺酸贝福替尼胶囊用于具有表皮生长因子受体（EGFR）外显子19缺失或外显子21（L858R）置换突变的局部晚期或转移性非小细胞肺癌（NSCLC）成人患者的一线治疗。</w:t>
            </w:r>
          </w:p>
        </w:tc>
      </w:tr>
    </w:tbl>
    <w:p w14:paraId="1DEB3E7B"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62DB5AC2"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4C8C90D"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5E5CC"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达可替尼</w:t>
            </w:r>
          </w:p>
          <w:p w14:paraId="79DD701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Dacomitinib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F21156A"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33F6A3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35DBDA9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435B21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AFE38F4"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达可替尼是人类EGFR家族激酶（EGFR / HER1，HER2和HER4）和某些EGFR激活突变型（19号外显子缺失或21 号外显子L858R突变）激酶的不可逆抑制剂。 在临床相关浓度下，达可替尼具有对DDR1、EPHA6、LCK、DDR2和MNK1的体外抑制活性。 在HER家族基因（含突变型EGFR）驱动的人源肿瘤皮下异种移植小鼠模型中，达可替尼显示出对EGFR和HER2自磷酸化以及肿瘤生长的剂量依赖性抑制。达可替尼在剂量依赖性地抑制EGFR和HER2自磷酸化，并在小鼠皮</w:t>
            </w:r>
            <w:r>
              <w:rPr>
                <w:rFonts w:ascii="思源黑体 CN Normal" w:eastAsia="思源黑体 CN Normal" w:hAnsi="思源黑体 CN Normal"/>
                <w:bCs/>
                <w:sz w:val="17"/>
                <w:szCs w:val="17"/>
              </w:rPr>
              <w:lastRenderedPageBreak/>
              <w:t>下植入人肿瘤异种移植物中抑制肿瘤生长，包括突变的EGFR。达可替尼在口服给药的EGFR扩增驱动型人源肿瘤异种颅内移植小鼠体内也显示出抗肿瘤活性。</w:t>
            </w:r>
          </w:p>
        </w:tc>
      </w:tr>
      <w:tr w:rsidR="00256464" w14:paraId="370C6B2F"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E5E50C9"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34E1F1E"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6B4A37C2"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278C72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7C541F"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FDA批准达可替尼用于携带EGFR第19号外显子缺失突变或L858R突变的转移性NSCLC患者的一线治疗。</w:t>
            </w:r>
          </w:p>
          <w:p w14:paraId="22B3EAFA"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NMPA批准达可替尼用于携带EGFR第19号外显子缺失突变或L858R突变的局部晚期或转移性NSCLC患者的一线治疗。</w:t>
            </w:r>
          </w:p>
        </w:tc>
      </w:tr>
    </w:tbl>
    <w:p w14:paraId="1949FD7F"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6FBC49AB"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68EB9E4"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7E47FA"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德达博妥单抗</w:t>
            </w:r>
          </w:p>
          <w:p w14:paraId="439C2E18"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Datopotamab deruxtecan</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A11453"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395AA8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NMPA未批准</w:t>
            </w:r>
          </w:p>
        </w:tc>
      </w:tr>
      <w:tr w:rsidR="00256464" w14:paraId="35B4B46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56327A6"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7F4CEF6"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Datopotamab deruxtecan（Dato-DXd）是一种针对Trop2的ADC，由一种人源化抗Trop2单克隆抗体，与多个拓扑异构酶I抑制剂有效载荷（DXd）通过可裂解的四肽连接子偶联生成。</w:t>
            </w:r>
          </w:p>
        </w:tc>
      </w:tr>
      <w:tr w:rsidR="00256464" w14:paraId="0C9C3FB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0795849"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A3CE14D"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1763DD19"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143E806"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5292B04"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FDA通过加速通道批准Datopotamab deruxtecan-dlnk用于局部晚期/转移性EGFR突变的既往接受过抗EGFR治疗和以铂类为基础的化疗的非小细胞肺癌（NSCLC）患者的治疗。</w:t>
            </w:r>
          </w:p>
        </w:tc>
      </w:tr>
    </w:tbl>
    <w:p w14:paraId="6D25B4BD"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04FEE64F"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939A63"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96BF2C"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厄洛替尼</w:t>
            </w:r>
          </w:p>
          <w:p w14:paraId="1130FAD1"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Erlotinib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12D2E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031E3DA"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0F0754F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1D61C7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E0E20A6"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表皮生长因子受体（EGFR）在正常细胞和癌细胞的细胞表面表达。 在一些肿瘤细胞中，通过该受体的信号传导在肿瘤细胞存活和增殖中均起作用，而与EGFR突变状态无关。 厄洛替尼可逆地抑制EGFR的激酶活性，防止与受体相关的酪氨酸残基的自磷酸化，从而进一步抑制下游信号传导。 EGFR外显子19缺失或外显子21（L858R）突变的厄洛替尼结合亲和力高于其对野生型受体的亲和力。 厄洛替尼对其他酪氨酸激酶受体的抑制作用尚未完全表征。</w:t>
            </w:r>
          </w:p>
        </w:tc>
      </w:tr>
      <w:tr w:rsidR="00256464" w14:paraId="04AC485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53B80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1C81A78"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705433F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05FBD71"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F38CB7"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FDA批准厄洛替尼用于EGFR第19外显子缺失或L858R突变的转移性非小细胞肺癌的患者的一线维持治疗，或用于至少一个化疗方案后进展的二线或其后线的治疗。</w:t>
            </w:r>
          </w:p>
          <w:p w14:paraId="416A1B34"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NMPA批准厄洛替尼用于EGFR第19外显子缺失或L858R突变的转移性非小细胞肺癌的患者的一线维持治疗，或用于至少一个化疗方案后进展的二线或其后线的治疗。</w:t>
            </w:r>
          </w:p>
          <w:p w14:paraId="1EA261C0"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FDA批准雷莫西尤单抗联合厄洛替尼用于携带EGFR第19外显子缺失突变或者L858R突变的转移性NSCLC患者的一线治疗。</w:t>
            </w:r>
          </w:p>
          <w:p w14:paraId="568CBDA5"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FDA批准厄洛替尼+吉西他滨用于局部晚期、无法手术或转移性胰腺癌患者的一线治疗。</w:t>
            </w:r>
          </w:p>
        </w:tc>
      </w:tr>
    </w:tbl>
    <w:p w14:paraId="69596596"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62612CF6"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59B1EC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F9B394"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厄洛替尼+雷莫西尤单抗</w:t>
            </w:r>
          </w:p>
          <w:p w14:paraId="686B206F"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Erlotinib+Ramucirumab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C84333"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C6E58D"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NMPA未批准</w:t>
            </w:r>
          </w:p>
        </w:tc>
      </w:tr>
      <w:tr w:rsidR="00256464" w14:paraId="63EDD03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506B1E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CE4EC20"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表皮生长因子受体（EGFR）在正常细胞和癌细胞的细胞表面表达。 在一些肿瘤细胞中，通过该受体的信号传导在肿瘤细胞存活和增殖中均起作用，而与EGFR突变状态无关。 厄洛替尼可逆地抑制EGFR的激酶活性，防止与受体相关的酪氨酸残基的自磷酸化，从而进一步抑制下游信号传导。 EGFR外显子19缺失或外显子21（L858R）突变的厄洛替尼结合亲和力高于其对野生型受体的亲和力。 厄洛替尼对其他酪氨酸激酶受体的抑制作用尚未完全表征。</w:t>
            </w:r>
          </w:p>
          <w:p w14:paraId="65435A58"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Ramucirumab（雷莫西尤单抗）是一种VEGFR2拮抗剂，可特异性结合VEGFR2并阻断VEGFR配体，VEGF-A，VEGF-C和VEGF-D的结合。Ramucirumab抑制配体刺激的VEGFR2激活，从而抑制配体诱导的增殖和人内皮细胞的迁移。 Ramucirumab在体内动物模型中抑制血管生成。</w:t>
            </w:r>
          </w:p>
        </w:tc>
      </w:tr>
      <w:tr w:rsidR="00256464" w14:paraId="053DD5CD"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558A2B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46657AA"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6339B979"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03FC010"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8B7EE3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FDA批准雷莫西尤单抗联合厄洛替尼用于携带EGFR第19外显子缺失突变或者L858R突变的转移性NSCLC患者的一线治疗。</w:t>
            </w:r>
          </w:p>
        </w:tc>
      </w:tr>
    </w:tbl>
    <w:p w14:paraId="388D3179"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26F94DA2"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BAFB29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E64321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伏美替尼</w:t>
            </w:r>
          </w:p>
          <w:p w14:paraId="24E16169"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Alflutinib Mesylate</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62CB90"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284C05"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03D2C8C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524165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47912CC"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伏美替尼是一种表皮生长因子受体酪氨酸激酶抑制剂（EGFR-TKI），基于奥希替尼进行了结构修饰，针对苯环上甲氧基取代进行优化，使用2,2,2-三氟乙基替代甲基，同时引入N原子，是一种新型的第三代不可逆、高选择性的 EGFR-TKI 靶向药，可有效区分野生型 EGFR 和突变 EGFR（主要是 EGFR 敏感突变、T790M 突变），对正常野生型 EGFR 抑制作用较弱，而对 EGFR 敏感突变、T790M 突变的抑制活性大大增强，伏美替尼入脑效果好，能有效控制CNS转移。</w:t>
            </w:r>
          </w:p>
        </w:tc>
      </w:tr>
      <w:tr w:rsidR="00256464" w14:paraId="0FF9F715"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6CEAE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7DA39A"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5AB806B5"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889396"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992826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NMPA批准伏美替尼用于既往经表皮生长因子受体(EGFR)酪氨酸激酶抑制剂(TKI)治疗时或治疗后出现疾病进展，并且经检测确认存在EGFR T790M突变阳性的局部晚期或转移性非小细胞性肺癌(NSCLC)成人患者的治疗。</w:t>
            </w:r>
          </w:p>
          <w:p w14:paraId="74A0DFD6"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NMPA批准伏美替尼用于具有表皮生长因子受体（EGFR）外显子19缺失（19DEL）或外显子21（L858R）置换突变的局部晚期或转移性非小细胞肺癌（NSCLC）成人患者的一线治疗。</w:t>
            </w:r>
          </w:p>
        </w:tc>
      </w:tr>
    </w:tbl>
    <w:p w14:paraId="60E6323B"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20B1C487"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A21F186"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3B97B2"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吉非替尼</w:t>
            </w:r>
          </w:p>
          <w:p w14:paraId="20373E7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Gefitinib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632011"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D1DA55"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73DD5845"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ECD2AC2"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FEE4BC2"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表皮生长因子受体（EGFR）在正常细胞和癌细胞的细胞表面表达，并在细胞生长和增殖过程中起作用。已确定NSCLC细胞内的一些EGFR激活突变（外显子19缺失或外显子21点突变L858R）有助于促进肿瘤细胞生长，阻断凋亡，增加血管生成因子的产生并促进转移过程。吉非替尼可逆地抑制野生型和某些EGFR活化突变的激酶活性，防止与受体相关的酪氨酸残基的自磷酸化，从而进一步抑制下游信号传导并阻断EGFR依赖性增殖。吉非替尼对EGFR外显子19缺失或外显子21点突变L858R突变的结合亲和力高于其对野生型EGFR的亲和力。吉非替尼还可以在临床相关浓度下抑制IGF和PDGF介导的信号传导。尚未完全鉴定出对其他酪氨酸激酶受体的抑制作用。</w:t>
            </w:r>
          </w:p>
        </w:tc>
      </w:tr>
      <w:tr w:rsidR="00256464" w14:paraId="0C3E9F9B"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D904695"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2F06AD0"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73C3A760"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97DC27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89A422C"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FDA批准吉非替尼用于EGFR第19外显子缺失或L858R突变的转移性非小细胞肺癌(NSCLC)患者的一线治疗。</w:t>
            </w:r>
          </w:p>
          <w:p w14:paraId="60E95DE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NMPA批准吉非替尼用于具有EGFR基因敏感突变的局部晚期或转移性非小细胞肺癌的治疗。</w:t>
            </w:r>
          </w:p>
        </w:tc>
      </w:tr>
    </w:tbl>
    <w:p w14:paraId="33F90CE1"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78AC8909"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46FE914"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4DA033"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利厄替尼</w:t>
            </w:r>
          </w:p>
          <w:p w14:paraId="310788CA"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Limertinib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177312"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3A62A2A"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5DBE92D0"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E12212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88F550C"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利厄替尼（Limertinib, ASK120067）是第三代表皮生长因子受体酪氨酸激酶抑制剂（EGFR-TKI）。</w:t>
            </w:r>
          </w:p>
        </w:tc>
      </w:tr>
      <w:tr w:rsidR="00256464" w14:paraId="56C3470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3130D2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CEC77F8"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0D47B4AD"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C889A8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F9D15B8"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NMPA批准利厄替尼用于既往经表皮生长因子受体（EGFR）酪氨酸激酶抑制剂（TKI）治疗时或治疗后出现疾病进展，并且经检测确认存在EGFR T790M突变阳性的局部晚期或转移性非小细胞肺癌（NSCLC）成人患者的治疗。</w:t>
            </w:r>
          </w:p>
          <w:p w14:paraId="0857042C"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NMPA批准利厄替尼用于具有EGFR exon19 del/L858R的局部晚期或转移性非小细胞肺癌（NSCLC）成人患者的一线治疗。</w:t>
            </w:r>
          </w:p>
        </w:tc>
      </w:tr>
    </w:tbl>
    <w:p w14:paraId="12EAF62A"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7D170728"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F26E44"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7D0BB5"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芦康沙妥珠单抗</w:t>
            </w:r>
          </w:p>
          <w:p w14:paraId="5536F2E6"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SKB264</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113AB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06848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64FEA34B"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77A7AB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0C3DCE9"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一种抗体-药物偶联物（ADC），由抗肿瘤相关抗原（TAA）滋养层细胞表面蛋白2(滋养层抗原2；钙信号转导子2；TROP2;TROP-2;TACSTD2;GA733-1;M1S1)与一种尚未公开的毒素结合，具有潜在的抗肿瘤活性。在给予抗TROP2 ADC SKB264后，抗TROP2抗体靶向并结合肿瘤细胞上表达的TROP2。在细胞摄取时，未公开的毒素通过尚未公开的作用机制发挥其细胞毒性作用。这抑制了表达trop2的肿瘤细胞的肿瘤细胞增殖。TROP2是一种跨膜蛋白，在多种肿瘤中高表达，而在正常健康组织中低表达和/或受限；其表达与增强肿瘤侵袭性、转移、耐药和增加肿瘤细胞存活有关。</w:t>
            </w:r>
          </w:p>
        </w:tc>
      </w:tr>
      <w:tr w:rsidR="00256464" w14:paraId="4AC46A5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7CB6D7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233DD79"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3A89C8DB"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C3036FD"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0BA6845"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NMPA批准芦康沙妥珠单抗用于既往至少接受过2种系统治疗（其中至少1种治疗针对晚期或转移性阶段）的不可切除的局部晚期或转移性三阴性乳腺癌成人患者。</w:t>
            </w:r>
          </w:p>
          <w:p w14:paraId="5A3EE952"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芦康沙妥珠单抗用于治疗经表皮生长因子受体（EGFR）酪氨酸激酶抑制剂（TKI）和含铂化疗治疗后进展的EGFR基因突变阳性的局部晚期或转移性非鳞状非小细胞肺癌（NSCLC）成人患者。（本适应症是基于替代终点结果给予的附条件批准，本适应症的完全批准将取决于正在开展中的确证性临床试验的临床获益。）</w:t>
            </w:r>
          </w:p>
        </w:tc>
      </w:tr>
    </w:tbl>
    <w:p w14:paraId="52EB39C5"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26D93841"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5142DF5"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33DF5B"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瑞厄替尼</w:t>
            </w:r>
          </w:p>
          <w:p w14:paraId="6B0C673E"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Oritinib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E1B6C6"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F2DB082"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5B6A4A68"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64FE4F6"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20F98EA"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甲磺酸瑞厄替尼片（SH-1028片）是第三代EGFR-TKI，其可以不可逆地结合于突变形式的EGFR（T790M、L858R和19外显子缺失），抑制EGFR的磷酸化过程，阻断下游信号通路的激活。</w:t>
            </w:r>
          </w:p>
        </w:tc>
      </w:tr>
      <w:tr w:rsidR="00256464" w14:paraId="2B0046CB"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7B56C4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6086465"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134F67C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4A893E4"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23E69DF"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NMPA批准甲磺酸瑞厄替尼片用于既往经EGFR-TKI治疗时或治疗后出现疾病进展并且经检测确认存在EGFR T790M突变阳性的局部晚期或转移性非小细胞肺癌（NSCLC）成人患者。</w:t>
            </w:r>
          </w:p>
          <w:p w14:paraId="7F7053E5"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NMPA批准瑞厄替尼用于表皮生长因子受体（EGFR）敏感突变的局部晚期或转移性非小细胞肺癌（NSCLC）患者的一线治疗。</w:t>
            </w:r>
          </w:p>
        </w:tc>
      </w:tr>
    </w:tbl>
    <w:p w14:paraId="684C6925"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389903EB"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66AB151"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215A73"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瑞齐替尼</w:t>
            </w:r>
          </w:p>
          <w:p w14:paraId="5897C870"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Rezivertinib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F168A6"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5487ABA"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0BD02861"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13819B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040AA40"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瑞齐替尼是一种可口服的三代EGFR抑制剂，对T790M、L858R及19del均有潜在的抗肿瘤活性。给药后，可特异性共价结合并抑制EGFR突变，对T790M具有高度选择性，可阻止EGFR突变介导的信号传导，并导致表达EGFR变异的细胞死亡。瑞齐替尼对野生型EGFR的活性较小，所以不会引起在使用非选择性EGFR抑制剂期间发生的剂量限制性毒性。</w:t>
            </w:r>
          </w:p>
        </w:tc>
      </w:tr>
      <w:tr w:rsidR="00256464" w14:paraId="117C660F"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BA9BD85"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9D87E91"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5E89BF28"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C63F7B5"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22C5A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NMPA批准瑞齐替尼用于既往经表皮生长因子受体（EGFR）酪氨酸激酶抑制剂（TKI）治疗时或治疗后出现疾病进展，并且经检测确认存在EGFR T790M突变阳性的局部晚期或转移性 NSCLC 成人患者的治疗。</w:t>
            </w:r>
          </w:p>
          <w:p w14:paraId="1B065F7B"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NMPA批准瑞齐替尼用于具有EGFR exon19 del/L858R的局部晚期或转移性非小细胞肺癌（NSCLC）成人患者的一线治疗。</w:t>
            </w:r>
          </w:p>
        </w:tc>
      </w:tr>
    </w:tbl>
    <w:p w14:paraId="65775AB0"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78F1C515"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EDF0720"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2133C3"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信迪利单抗+贝伐珠单抗+培美曲塞+顺铂</w:t>
            </w:r>
          </w:p>
          <w:p w14:paraId="3DCB9136"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Sintilimab+Bevacizumab+Pemetrexed+Cisplatin</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8EA87F"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CE2EED9"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154A6BD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E22B70E"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4D57AD0"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信迪利单抗是一种针对负免疫调节性人细胞表面受体程序性细胞死亡1 (PD-1)的重组人单克隆抗体PDCD1;PD1)，具有潜在的免疫检查点抑制和抗肿瘤活性。给药后，信迪利单抗与PD-1结合并抑制PD-1与PD-1配体的结合程序性细胞死亡-1配体1 (PD-L1)和PD-1配体2 (PD-L2)。这阻止了PD-1及其下游信号通路的激活。这可能通过激活t细胞和t细胞介导的针对肿瘤细胞的免疫反应来恢复免疫功能。PD-1是免疫球蛋白(Ig)超家族中的一种跨膜蛋白，在活化的t细胞上表达，当被其配体激活时，PD-1负调控t细胞的活化和效应功能;它在肿瘤逃避宿主免疫中起重要作用。</w:t>
            </w:r>
          </w:p>
          <w:p w14:paraId="4CD5589A"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p w14:paraId="2FB4DA06"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培美曲塞是一种结构上含有核心为吡咯嘧啶基团的抗叶酸制剂，通过破坏细胞内叶酸依赖性的正常代谢过程，抑制细胞复制，从而抑制肿瘤的生长。 培美曲塞分别结合与抑制嘌呤和嘧啶合成中的三种酶，分别为胸苷酸合酶(TS)、二氢叶酸还原酶(DHFR) 和甘氨酰胺核糖核苷酸甲酰基转移酶(GARFT)，通过抑制嘌呤和嘧啶核苷酸的前体形成的机制，培美曲塞阻断了正常细胞和癌细胞生存代谢相关DNA与RNA的合成。</w:t>
            </w:r>
          </w:p>
          <w:p w14:paraId="481CD5FF"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顺铂是一种具有抗肿瘤活性的烷基化类无机铂剂（顺式-二氯二氨合铂）。顺铂形成高活性、带电的铂络合物，与亲核基团（如DNA中富含GC的部位）结合，诱发链内和链间DNA交联，以及DNA-蛋白质交联。这些交联导致细胞凋亡并抑制细胞生长。</w:t>
            </w:r>
          </w:p>
        </w:tc>
      </w:tr>
      <w:tr w:rsidR="00256464" w14:paraId="317B43C7"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31890B1"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073B1DD"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5998F193"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0E3F09F"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39300F8"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NMPA批准信迪利单抗联合贝伐珠单抗、培美曲塞和顺铂用于经表皮生长因子受体酪氨酸激酶抑制剂（EGFR-TKI）治疗失败的EGFR基因突变的局部晚期或转移性非鳞状非小细胞肺癌患者的治疗。</w:t>
            </w:r>
          </w:p>
        </w:tc>
      </w:tr>
    </w:tbl>
    <w:p w14:paraId="5B78792E"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30C096A2"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7CDBF51"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314597"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依沃西单抗+培美曲塞+卡铂</w:t>
            </w:r>
          </w:p>
          <w:p w14:paraId="5C47906A"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Ivonescimab+Pemetrexed+Carboplatin</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7C1557"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34B747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0F668DDA"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75F99BE"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99A0682"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依沃西单抗注射液是全球首创PD-1/VEGF双特异性肿瘤免疫治疗药物，可阻断PD-1与PD-L1和PD-L2的结合，并同时阻断VEGF与VEGF受体的结合。</w:t>
            </w:r>
          </w:p>
          <w:p w14:paraId="04F88611"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培美曲塞是一种结构上含有核心为吡咯嘧啶基团的抗叶酸制剂，通过破坏细胞内叶酸依赖性的正常代谢过程，抑制细胞复制，从而抑制肿瘤的生长。 培美曲塞分别结合与抑制嘌呤和嘧啶合成中的三种酶，分别为胸苷酸合酶(TS)、二氢叶酸还原酶(DHFR) 和甘氨酰胺核糖核苷酸甲酰基转移酶(GARFT)，通过抑制嘌呤和嘧啶核苷酸的前体形成的机制，培美曲塞阻断了正常细胞和癌细胞生存代谢相关DNA与RNA的合成。</w:t>
            </w:r>
          </w:p>
          <w:p w14:paraId="4D3BEFAD"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 xml:space="preserve">卡铂的主要作用是将烷基连接到核苷酸上，导致单加合物的形成，以及当修复酶试图纠正错误时 DNA 片段化。 2% 的卡铂活性来自 DNA 从一条链上的碱基到另一条上碱基的交联，从而防止 DNA 链分离以进行合成或转录。卡铂可以诱导许多不同的突变。 </w:t>
            </w:r>
          </w:p>
        </w:tc>
      </w:tr>
      <w:tr w:rsidR="00256464" w14:paraId="2E363C14"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C5C9B0A"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7B4CD56"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2EA4C24F"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1AB8AF4"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CFE9B9D"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NMPA批准依沃西单抗注射液联合培美曲塞和卡铂，用于经表皮生长因子受体（EGFR）酪氨酸激酶抑制剂（TKI）治疗后进展的EGFR基因突变阳性的局部晚期或转移性非鳞状非小细胞肺癌（NSCLC）患者的治疗。</w:t>
            </w:r>
          </w:p>
        </w:tc>
      </w:tr>
    </w:tbl>
    <w:p w14:paraId="01BF163D"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654D1443"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AC4C4DB"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9C0BCDD"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佐利替尼</w:t>
            </w:r>
          </w:p>
          <w:p w14:paraId="421A1059"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Zorifertinib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F20AA8"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C8FD78C"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183A0EF1"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90F38A9"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7FDA1EF"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佐利替尼是一种可逆的口服表皮生长因子受体激活突变（L858R和Exon 19Del）酪氨酸激酶活性抑制剂（EGFR-TKI）。口服给药后，佐利替尼结合并抑制EGFR以及EGFR的某些突变形式的活性，阻止EGFR介导的信号传导，诱导EGFR过表达细胞死亡，抑制肿瘤生长。其有别于其他TKI类药物，它不是血脑屏障内皮细胞转运蛋白P-gp和BCRP底物，具有完全透过血脑屏障的能力，可以维持在脑组织和脑脊液中高度的药物暴露。</w:t>
            </w:r>
          </w:p>
        </w:tc>
      </w:tr>
      <w:tr w:rsidR="00256464" w14:paraId="270B6F02"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65BE11C"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DD7B36F"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344D54E1"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CAE76B7"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C0D4643"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NMPA批准佐利替尼用于具有表皮生长因子受体（EGFR）19号外显子缺失或外显子21（L858R）置换突变，并伴中枢神经系统（CNS）转移的局部晚期或转移性非小细胞肺癌（NSCLC）成人患者的一线治疗。</w:t>
            </w:r>
          </w:p>
        </w:tc>
      </w:tr>
    </w:tbl>
    <w:p w14:paraId="15BDFBBB" w14:textId="77777777" w:rsidR="00256464" w:rsidRDefault="00256464">
      <w:pPr>
        <w:widowControl/>
        <w:jc w:val="left"/>
        <w:rPr>
          <w:rFonts w:ascii="微软雅黑" w:eastAsia="微软雅黑" w:hAnsi="微软雅黑" w:hint="eastAsia"/>
          <w:b/>
          <w:bCs/>
          <w:color w:val="1E7648"/>
          <w:sz w:val="18"/>
          <w:szCs w:val="18"/>
        </w:rPr>
      </w:pPr>
    </w:p>
    <w:tbl>
      <w:tblPr>
        <w:tblW w:w="0" w:type="auto"/>
        <w:jc w:val="center"/>
        <w:tblLayout w:type="fixed"/>
        <w:tblLook w:val="04A0" w:firstRow="1" w:lastRow="0" w:firstColumn="1" w:lastColumn="0" w:noHBand="0" w:noVBand="1"/>
      </w:tblPr>
      <w:tblGrid>
        <w:gridCol w:w="1149"/>
        <w:gridCol w:w="6222"/>
        <w:gridCol w:w="1488"/>
        <w:gridCol w:w="1473"/>
      </w:tblGrid>
      <w:tr w:rsidR="00256464" w14:paraId="03D86E6A"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46EED0E"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890DCD"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美凡厄替尼</w:t>
            </w:r>
          </w:p>
          <w:p w14:paraId="0AE3318A" w14:textId="77777777" w:rsidR="00256464" w:rsidRDefault="00000000">
            <w:pPr>
              <w:pStyle w:val="af5"/>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Mefatinib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8F03A39"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FDA未批准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F6744C" w14:textId="77777777" w:rsidR="00256464" w:rsidRDefault="00000000">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NMPA批准</w:t>
            </w:r>
          </w:p>
        </w:tc>
      </w:tr>
      <w:tr w:rsidR="00256464" w14:paraId="65E42DEC"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1109414"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40D8641" w14:textId="77777777" w:rsidR="00256464" w:rsidRDefault="00000000">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美凡厄替尼是一款新型、强效、高选择性、具有口服活性的不可逆EGFR/人表皮生长因子受体-2（HER2）小分子抑制剂。通过与EGFR（ErbB1）和HER2（ErbB2）的激酶区域共价结合，不可逆地抑制酪氨酸激酶自磷酸化，导致ErbB信号下调，从而抑制肿瘤生长。</w:t>
            </w:r>
          </w:p>
        </w:tc>
      </w:tr>
      <w:tr w:rsidR="00256464" w14:paraId="4CE6D746"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DC2AD6B"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83D749" w14:textId="77777777" w:rsidR="00256464" w:rsidRDefault="00000000">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EGFR exon19 c.2254_2276delinsGAAGG p.(S752_I759delinsEG)</w:t>
            </w:r>
          </w:p>
        </w:tc>
      </w:tr>
      <w:tr w:rsidR="00256464" w14:paraId="28A8B047"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EDD6468" w14:textId="77777777" w:rsidR="00256464" w:rsidRDefault="0000000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61CAAA" w14:textId="77777777" w:rsidR="00256464" w:rsidRDefault="00000000">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NMPA批准美凡厄替尼用于具有表皮生长因子受（EGFR）外显子21（L858R）置换突变的局部晚期或转移性非小细胞肺癌（NSCLC）成人患者的一线治疗。</w:t>
            </w:r>
          </w:p>
        </w:tc>
      </w:tr>
    </w:tbl>
    <w:p w14:paraId="6A7F696F" w14:textId="77777777" w:rsidR="00256464" w:rsidRDefault="00256464">
      <w:pPr>
        <w:widowControl/>
        <w:jc w:val="left"/>
        <w:rPr>
          <w:rFonts w:ascii="微软雅黑" w:eastAsia="微软雅黑" w:hAnsi="微软雅黑" w:hint="eastAsia"/>
          <w:b/>
          <w:bCs/>
          <w:color w:val="1E7648"/>
          <w:sz w:val="18"/>
          <w:szCs w:val="18"/>
        </w:rPr>
      </w:pPr>
    </w:p>
    <w:p w14:paraId="34FCB8C4"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E491131" w14:textId="77777777" w:rsidR="00256464" w:rsidRDefault="00000000">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56464" w14:paraId="5994C938" w14:textId="77777777">
        <w:tc>
          <w:tcPr>
            <w:tcW w:w="4111" w:type="dxa"/>
          </w:tcPr>
          <w:p w14:paraId="34256469"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12BE18BB" wp14:editId="21C76D5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989E14B"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ABB61CC" wp14:editId="01A3C73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BF8546B" w14:textId="77777777" w:rsidR="00256464" w:rsidRDefault="00256464">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6464" w14:paraId="2DB776D3" w14:textId="77777777" w:rsidTr="002564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40CB5600"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53AF22A1"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00D05229"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52EC8FF0"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585AC7FF" w14:textId="77777777" w:rsidR="00256464" w:rsidRDefault="00000000">
            <w:pPr>
              <w:jc w:val="center"/>
              <w:rPr>
                <w:rFonts w:ascii="思源黑体 CN Bold" w:eastAsia="思源黑体 CN Bold" w:hAnsi="思源黑体 CN Bold" w:hint="eastAsia"/>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256464" w14:paraId="4CE519D5" w14:textId="77777777" w:rsidTr="00256464">
        <w:trPr>
          <w:trHeight w:val="397"/>
        </w:trPr>
        <w:tc>
          <w:tcPr>
            <w:tcW w:w="1276" w:type="dxa"/>
          </w:tcPr>
          <w:p w14:paraId="725659C9"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EGFR</w:t>
            </w:r>
          </w:p>
        </w:tc>
        <w:tc>
          <w:tcPr>
            <w:tcW w:w="1843" w:type="dxa"/>
          </w:tcPr>
          <w:p w14:paraId="75BF6BC1"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CTR20192508</w:t>
            </w:r>
          </w:p>
        </w:tc>
        <w:tc>
          <w:tcPr>
            <w:tcW w:w="3827" w:type="dxa"/>
          </w:tcPr>
          <w:p w14:paraId="4B95AF24"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SH-1028片对照吉非替尼一线治疗EGFR突变的局部晚期或转移性非小细胞肺癌的随机、对照、双盲、 多中心的III期临床试验</w:t>
            </w:r>
          </w:p>
        </w:tc>
        <w:tc>
          <w:tcPr>
            <w:tcW w:w="1985" w:type="dxa"/>
          </w:tcPr>
          <w:p w14:paraId="486CE4CD"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SH-1028片</w:t>
            </w:r>
          </w:p>
        </w:tc>
        <w:tc>
          <w:tcPr>
            <w:tcW w:w="1401" w:type="dxa"/>
          </w:tcPr>
          <w:p w14:paraId="14925575" w14:textId="77777777" w:rsidR="00256464" w:rsidRDefault="00000000">
            <w:pPr>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III期</w:t>
            </w:r>
          </w:p>
        </w:tc>
      </w:tr>
      <w:tr w:rsidR="00256464" w14:paraId="36C12624" w14:textId="77777777" w:rsidTr="00256464">
        <w:trPr>
          <w:trHeight w:val="397"/>
        </w:trPr>
        <w:tc>
          <w:tcPr>
            <w:tcW w:w="1276" w:type="dxa"/>
          </w:tcPr>
          <w:p w14:paraId="0C1CE04A"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EGFR</w:t>
            </w:r>
          </w:p>
        </w:tc>
        <w:tc>
          <w:tcPr>
            <w:tcW w:w="1843" w:type="dxa"/>
          </w:tcPr>
          <w:p w14:paraId="4AD53D8A"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CTR20192297</w:t>
            </w:r>
          </w:p>
        </w:tc>
        <w:tc>
          <w:tcPr>
            <w:tcW w:w="3827" w:type="dxa"/>
          </w:tcPr>
          <w:p w14:paraId="71A6BBFC"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迈华替尼对比吉非替尼一线治疗EGFR敏感突变的晚期非鳞非小细胞肺癌的随机、平行、双盲双模拟、多中心的Ⅲ期临床</w:t>
            </w:r>
          </w:p>
        </w:tc>
        <w:tc>
          <w:tcPr>
            <w:tcW w:w="1985" w:type="dxa"/>
          </w:tcPr>
          <w:p w14:paraId="24869F1F"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迈华替尼片</w:t>
            </w:r>
          </w:p>
        </w:tc>
        <w:tc>
          <w:tcPr>
            <w:tcW w:w="1401" w:type="dxa"/>
          </w:tcPr>
          <w:p w14:paraId="5B932361" w14:textId="77777777" w:rsidR="00256464" w:rsidRDefault="00000000">
            <w:pPr>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III期</w:t>
            </w:r>
          </w:p>
        </w:tc>
      </w:tr>
      <w:tr w:rsidR="00256464" w14:paraId="4E4FAD11" w14:textId="77777777" w:rsidTr="00256464">
        <w:trPr>
          <w:trHeight w:val="397"/>
        </w:trPr>
        <w:tc>
          <w:tcPr>
            <w:tcW w:w="1276" w:type="dxa"/>
          </w:tcPr>
          <w:p w14:paraId="2AE10E1E"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EGFR</w:t>
            </w:r>
          </w:p>
        </w:tc>
        <w:tc>
          <w:tcPr>
            <w:tcW w:w="1843" w:type="dxa"/>
          </w:tcPr>
          <w:p w14:paraId="16E762FA"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CTR20200164</w:t>
            </w:r>
          </w:p>
        </w:tc>
        <w:tc>
          <w:tcPr>
            <w:tcW w:w="3827" w:type="dxa"/>
          </w:tcPr>
          <w:p w14:paraId="45CCCEA3"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在携带EGFR 20号外显子插入突变的非小细胞肺癌患者中比较TAK-788作为一线治疗相对于含铂化疗的疗效的Ⅲ期研究</w:t>
            </w:r>
          </w:p>
        </w:tc>
        <w:tc>
          <w:tcPr>
            <w:tcW w:w="1985" w:type="dxa"/>
          </w:tcPr>
          <w:p w14:paraId="5D20176F"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TAK-788胶囊</w:t>
            </w:r>
          </w:p>
        </w:tc>
        <w:tc>
          <w:tcPr>
            <w:tcW w:w="1401" w:type="dxa"/>
          </w:tcPr>
          <w:p w14:paraId="332FDD75" w14:textId="77777777" w:rsidR="00256464" w:rsidRDefault="00000000">
            <w:pPr>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III期</w:t>
            </w:r>
          </w:p>
        </w:tc>
      </w:tr>
      <w:tr w:rsidR="00256464" w14:paraId="33E7A4DB" w14:textId="77777777" w:rsidTr="00256464">
        <w:trPr>
          <w:trHeight w:val="397"/>
        </w:trPr>
        <w:tc>
          <w:tcPr>
            <w:tcW w:w="1276" w:type="dxa"/>
          </w:tcPr>
          <w:p w14:paraId="61AF3DAA" w14:textId="77777777" w:rsidR="00256464" w:rsidRDefault="00000000">
            <w:pPr>
              <w:jc w:val="center"/>
              <w:rPr>
                <w:rFonts w:ascii="思源黑体 CN Normal" w:eastAsia="思源黑体 CN Normal" w:hAnsi="思源黑体 CN Normal" w:hint="eastAsia"/>
                <w:i/>
                <w:iCs/>
                <w:kern w:val="0"/>
                <w:sz w:val="17"/>
                <w:szCs w:val="17"/>
              </w:rPr>
            </w:pPr>
            <w:r>
              <w:rPr>
                <w:rFonts w:ascii="思源黑体 CN Normal" w:eastAsia="思源黑体 CN Normal" w:hAnsi="思源黑体 CN Normal"/>
                <w:i/>
                <w:iCs/>
                <w:kern w:val="0"/>
                <w:sz w:val="17"/>
                <w:szCs w:val="17"/>
              </w:rPr>
              <w:t>CDKN2A</w:t>
            </w:r>
          </w:p>
        </w:tc>
        <w:tc>
          <w:tcPr>
            <w:tcW w:w="1843" w:type="dxa"/>
          </w:tcPr>
          <w:p w14:paraId="1ADD9075"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NCT04591431</w:t>
            </w:r>
          </w:p>
        </w:tc>
        <w:tc>
          <w:tcPr>
            <w:tcW w:w="3827" w:type="dxa"/>
          </w:tcPr>
          <w:p w14:paraId="40FB88FC" w14:textId="77777777" w:rsidR="00256464" w:rsidRDefault="00000000">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Light"/>
                <w:kern w:val="0"/>
                <w:sz w:val="17"/>
                <w:szCs w:val="17"/>
              </w:rPr>
              <w:t>The Rome Trial From Histology to Target: the Road to Personalize Target Therapy and Immunotherapy</w:t>
            </w:r>
          </w:p>
        </w:tc>
        <w:tc>
          <w:tcPr>
            <w:tcW w:w="1985" w:type="dxa"/>
          </w:tcPr>
          <w:p w14:paraId="0CC2F308"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Drug:Erlotinib;</w:t>
            </w:r>
          </w:p>
          <w:p w14:paraId="2DF23853"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Drug:Trastuzumab;</w:t>
            </w:r>
          </w:p>
          <w:p w14:paraId="40678764"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Drug:Trastuzumab emtansine;</w:t>
            </w:r>
          </w:p>
          <w:p w14:paraId="5EC1ECDB"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Drug:Pertuzumab;</w:t>
            </w:r>
          </w:p>
          <w:p w14:paraId="50A86C1E"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Drug:Lapatinib;</w:t>
            </w:r>
          </w:p>
          <w:p w14:paraId="68489D94"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Drug:Everolimus;</w:t>
            </w:r>
          </w:p>
          <w:p w14:paraId="44D21912"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Drug:Vemurafenib;</w:t>
            </w:r>
          </w:p>
          <w:p w14:paraId="4B18AD5E"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Drug:Cobimetinib;</w:t>
            </w:r>
          </w:p>
          <w:p w14:paraId="0CBFC339"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Drug:Alectinib;</w:t>
            </w:r>
          </w:p>
          <w:p w14:paraId="33B10D8B"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Drug:Brigatinib;</w:t>
            </w:r>
          </w:p>
          <w:p w14:paraId="2A614AF0"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Drug:Palbociclib;</w:t>
            </w:r>
          </w:p>
          <w:p w14:paraId="7184B0ED"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Drug:Ponatinib;</w:t>
            </w:r>
          </w:p>
          <w:p w14:paraId="0A8468D7"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Drug:Vismogedib;</w:t>
            </w:r>
          </w:p>
          <w:p w14:paraId="14B6B396"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Drug:Itacitinib;</w:t>
            </w:r>
          </w:p>
          <w:p w14:paraId="40142CCD"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Drug:Ipatasertib;</w:t>
            </w:r>
          </w:p>
          <w:p w14:paraId="61078DDC"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Drug:Entrectinib;</w:t>
            </w:r>
          </w:p>
          <w:p w14:paraId="79DA2582"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Drug:Atezolizumab;</w:t>
            </w:r>
          </w:p>
          <w:p w14:paraId="40DDDE58"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Drug:Nivolumab;</w:t>
            </w:r>
          </w:p>
          <w:p w14:paraId="1AA7A206"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Drug:Ipilimumab;</w:t>
            </w:r>
          </w:p>
          <w:p w14:paraId="2BFF81AB"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Drug:Pemigatinib;</w:t>
            </w:r>
          </w:p>
          <w:p w14:paraId="041E4D86"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 xml:space="preserve">Drug:Oncology </w:t>
            </w:r>
          </w:p>
          <w:p w14:paraId="1990BD56" w14:textId="77777777" w:rsidR="00256464" w:rsidRDefault="00000000">
            <w:pPr>
              <w:widowControl/>
              <w:spacing w:line="360" w:lineRule="exact"/>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Drugs</w:t>
            </w:r>
          </w:p>
        </w:tc>
        <w:tc>
          <w:tcPr>
            <w:tcW w:w="1401" w:type="dxa"/>
          </w:tcPr>
          <w:p w14:paraId="60BC53CC" w14:textId="77777777" w:rsidR="00256464" w:rsidRDefault="00000000">
            <w:pPr>
              <w:jc w:val="center"/>
              <w:rPr>
                <w:rFonts w:ascii="思源黑体 CN Normal" w:eastAsia="思源黑体 CN Normal" w:hAnsi="思源黑体 CN Normal" w:cs="思源黑体 CN Light" w:hint="eastAsia"/>
                <w:bCs/>
                <w:iCs/>
                <w:color w:val="000000"/>
                <w:kern w:val="0"/>
                <w:sz w:val="17"/>
                <w:szCs w:val="17"/>
              </w:rPr>
            </w:pPr>
            <w:r>
              <w:rPr>
                <w:rFonts w:ascii="思源黑体 CN Normal" w:eastAsia="思源黑体 CN Normal" w:hAnsi="思源黑体 CN Normal" w:cs="思源黑体 CN Light"/>
                <w:bCs/>
                <w:iCs/>
                <w:color w:val="000000"/>
                <w:kern w:val="0"/>
                <w:sz w:val="17"/>
                <w:szCs w:val="17"/>
              </w:rPr>
              <w:t>II期</w:t>
            </w:r>
          </w:p>
        </w:tc>
      </w:tr>
    </w:tbl>
    <w:p w14:paraId="58AC470A" w14:textId="77777777" w:rsidR="00256464" w:rsidRDefault="00000000">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2E3089" w14:textId="77777777" w:rsidR="00256464" w:rsidRDefault="0000000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264BEA9C" w14:textId="77777777">
        <w:tc>
          <w:tcPr>
            <w:tcW w:w="4815" w:type="dxa"/>
          </w:tcPr>
          <w:bookmarkStart w:id="10" w:name="_Hlk110927164"/>
          <w:p w14:paraId="5B08D2CE"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31E8FC8" wp14:editId="467E965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C8C1D45"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15B67A8" wp14:editId="2AA458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497436F7" w14:textId="77777777" w:rsidR="00256464" w:rsidRDefault="00256464">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af0"/>
        <w:tblW w:w="0" w:type="auto"/>
        <w:jc w:val="center"/>
        <w:tblLayout w:type="fixed"/>
        <w:tblLook w:val="04A0" w:firstRow="1" w:lastRow="0" w:firstColumn="1" w:lastColumn="0" w:noHBand="0" w:noVBand="1"/>
      </w:tblPr>
      <w:tblGrid>
        <w:gridCol w:w="1980"/>
        <w:gridCol w:w="3176"/>
        <w:gridCol w:w="2266"/>
        <w:gridCol w:w="2663"/>
      </w:tblGrid>
      <w:tr w:rsidR="00256464" w14:paraId="0BF42958" w14:textId="77777777">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bookmarkEnd w:id="10"/>
          <w:p w14:paraId="0A6D88D6" w14:textId="77777777" w:rsidR="00256464" w:rsidRDefault="00000000">
            <w:pPr>
              <w:pStyle w:val="af5"/>
              <w:ind w:firstLineChars="0" w:firstLine="0"/>
              <w:jc w:val="center"/>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272AD2" w14:textId="77777777" w:rsidR="00256464" w:rsidRDefault="00000000">
            <w:pPr>
              <w:pStyle w:val="af5"/>
              <w:ind w:firstLineChars="0" w:firstLine="0"/>
              <w:jc w:val="center"/>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A29328" w14:textId="77777777" w:rsidR="00256464" w:rsidRDefault="00000000">
            <w:pPr>
              <w:pStyle w:val="af5"/>
              <w:ind w:firstLineChars="0" w:firstLine="0"/>
              <w:jc w:val="center"/>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对照样本质控标准</w:t>
            </w:r>
          </w:p>
        </w:tc>
      </w:tr>
      <w:tr w:rsidR="00256464" w14:paraId="59258D76" w14:textId="77777777">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E2D735"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66D59D"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1D94D8"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szCs w:val="21"/>
              </w:rPr>
              <w:t>3240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3EDC6"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hint="eastAsia"/>
                <w:szCs w:val="21"/>
              </w:rPr>
              <w:t>≥</w:t>
            </w:r>
            <w:r>
              <w:rPr>
                <w:rFonts w:ascii="微软雅黑" w:eastAsia="微软雅黑" w:hAnsi="微软雅黑"/>
                <w:szCs w:val="21"/>
              </w:rPr>
              <w:t xml:space="preserve">30 </w:t>
            </w:r>
            <w:r>
              <w:rPr>
                <w:rFonts w:ascii="微软雅黑" w:eastAsia="微软雅黑" w:hAnsi="微软雅黑" w:hint="eastAsia"/>
                <w:szCs w:val="21"/>
              </w:rPr>
              <w:t>ng</w:t>
            </w:r>
          </w:p>
        </w:tc>
      </w:tr>
      <w:tr w:rsidR="00256464" w14:paraId="20683DFF" w14:textId="77777777">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10B0BB1E" w14:textId="77777777" w:rsidR="00256464" w:rsidRDefault="00256464">
            <w:pPr>
              <w:pStyle w:val="af5"/>
              <w:ind w:firstLineChars="0" w:firstLine="0"/>
              <w:jc w:val="center"/>
              <w:rPr>
                <w:rFonts w:ascii="微软雅黑" w:eastAsia="微软雅黑" w:hAnsi="微软雅黑" w:hint="eastAsia"/>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70719CE"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75DE9D"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szCs w:val="21"/>
              </w:rPr>
              <w:t>960</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E9DA4B"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hint="eastAsia"/>
                <w:szCs w:val="21"/>
              </w:rPr>
              <w:t>≥</w:t>
            </w:r>
            <w:r>
              <w:rPr>
                <w:rFonts w:ascii="微软雅黑" w:eastAsia="微软雅黑" w:hAnsi="微软雅黑"/>
                <w:szCs w:val="21"/>
              </w:rPr>
              <w:t xml:space="preserve">150 </w:t>
            </w:r>
            <w:r>
              <w:rPr>
                <w:rFonts w:ascii="微软雅黑" w:eastAsia="微软雅黑" w:hAnsi="微软雅黑" w:hint="eastAsia"/>
                <w:szCs w:val="21"/>
              </w:rPr>
              <w:t>ng</w:t>
            </w:r>
          </w:p>
        </w:tc>
      </w:tr>
      <w:tr w:rsidR="00256464" w14:paraId="5B691838" w14:textId="77777777">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A1F35CE"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5FF553"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537B05"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97.17%</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A3510B"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≥75%</w:t>
            </w:r>
          </w:p>
        </w:tc>
      </w:tr>
      <w:tr w:rsidR="00256464" w14:paraId="276B60B1" w14:textId="77777777">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9D2F4AF" w14:textId="77777777" w:rsidR="00256464" w:rsidRDefault="00256464">
            <w:pPr>
              <w:pStyle w:val="af5"/>
              <w:jc w:val="center"/>
              <w:rPr>
                <w:rFonts w:ascii="微软雅黑" w:eastAsia="微软雅黑" w:hAnsi="微软雅黑" w:hint="eastAsia"/>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01BD55"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C944F7"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99.96%</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677E77"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≥85%</w:t>
            </w:r>
          </w:p>
        </w:tc>
      </w:tr>
      <w:tr w:rsidR="00256464" w14:paraId="7D65781D" w14:textId="77777777">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5D692863" w14:textId="77777777" w:rsidR="00256464" w:rsidRDefault="00256464">
            <w:pPr>
              <w:pStyle w:val="af5"/>
              <w:jc w:val="center"/>
              <w:rPr>
                <w:rFonts w:ascii="微软雅黑" w:eastAsia="微软雅黑" w:hAnsi="微软雅黑" w:hint="eastAsia"/>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3F3FC0"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7D5DCC"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100.00%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844C06"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100％</w:t>
            </w:r>
          </w:p>
        </w:tc>
      </w:tr>
      <w:tr w:rsidR="00256464" w14:paraId="454423C0" w14:textId="77777777">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38BDECFE" w14:textId="77777777" w:rsidR="00256464" w:rsidRDefault="00256464">
            <w:pPr>
              <w:pStyle w:val="af5"/>
              <w:jc w:val="center"/>
              <w:rPr>
                <w:rFonts w:ascii="微软雅黑" w:eastAsia="微软雅黑" w:hAnsi="微软雅黑" w:hint="eastAsia"/>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399ADF"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均一性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F74B9B"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100.00%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1C570B"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≥90%</w:t>
            </w:r>
          </w:p>
        </w:tc>
      </w:tr>
      <w:tr w:rsidR="00256464" w14:paraId="3C1DEEDC" w14:textId="77777777">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21C6606" w14:textId="77777777" w:rsidR="00256464" w:rsidRDefault="00256464">
            <w:pPr>
              <w:pStyle w:val="af5"/>
              <w:jc w:val="center"/>
              <w:rPr>
                <w:rFonts w:ascii="微软雅黑" w:eastAsia="微软雅黑" w:hAnsi="微软雅黑" w:hint="eastAsia"/>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2D5E2"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5439E9"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1063</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3E6E64"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hint="eastAsia"/>
                <w:kern w:val="0"/>
                <w:szCs w:val="21"/>
                <w:lang w:bidi="ar"/>
              </w:rPr>
              <w:t>≥500</w:t>
            </w:r>
          </w:p>
        </w:tc>
      </w:tr>
      <w:tr w:rsidR="00256464" w14:paraId="15503D3C" w14:textId="77777777">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3614390" w14:textId="77777777" w:rsidR="00256464" w:rsidRDefault="00256464">
            <w:pPr>
              <w:pStyle w:val="af5"/>
              <w:jc w:val="center"/>
              <w:rPr>
                <w:rFonts w:ascii="微软雅黑" w:eastAsia="微软雅黑" w:hAnsi="微软雅黑" w:hint="eastAsia"/>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69DCC2"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46B21A" w14:textId="77777777" w:rsidR="00256464" w:rsidRDefault="00000000">
            <w:pPr>
              <w:pStyle w:val="af5"/>
              <w:ind w:firstLineChars="0" w:firstLine="0"/>
              <w:jc w:val="center"/>
              <w:rPr>
                <w:rFonts w:ascii="微软雅黑" w:eastAsia="微软雅黑" w:hAnsi="微软雅黑" w:cs="思源黑体 CN Light" w:hint="eastAsia"/>
                <w:kern w:val="0"/>
                <w:szCs w:val="21"/>
                <w:lang w:bidi="ar"/>
              </w:rPr>
            </w:pPr>
            <w:r>
              <w:rPr>
                <w:rFonts w:ascii="微软雅黑" w:eastAsia="微软雅黑" w:hAnsi="微软雅黑" w:cs="思源黑体 CN Light"/>
                <w:kern w:val="0"/>
                <w:szCs w:val="21"/>
                <w:lang w:bidi="ar"/>
              </w:rPr>
              <w:t>455</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B6F0D" w14:textId="77777777" w:rsidR="00256464" w:rsidRDefault="00000000">
            <w:pPr>
              <w:pStyle w:val="af5"/>
              <w:ind w:firstLineChars="0" w:firstLine="0"/>
              <w:jc w:val="center"/>
              <w:rPr>
                <w:rFonts w:ascii="微软雅黑" w:eastAsia="微软雅黑" w:hAnsi="微软雅黑" w:hint="eastAsia"/>
                <w:szCs w:val="21"/>
              </w:rPr>
            </w:pPr>
            <w:r>
              <w:rPr>
                <w:rFonts w:ascii="微软雅黑" w:eastAsia="微软雅黑" w:hAnsi="微软雅黑" w:cs="思源黑体 CN Light" w:hint="eastAsia"/>
                <w:kern w:val="0"/>
                <w:szCs w:val="21"/>
                <w:lang w:bidi="ar"/>
              </w:rPr>
              <w:t>≥</w:t>
            </w:r>
            <w:r>
              <w:rPr>
                <w:rFonts w:ascii="微软雅黑" w:eastAsia="微软雅黑" w:hAnsi="微软雅黑" w:cs="思源黑体 CN Light"/>
                <w:kern w:val="0"/>
                <w:szCs w:val="21"/>
                <w:lang w:bidi="ar"/>
              </w:rPr>
              <w:t>5</w:t>
            </w:r>
            <w:r>
              <w:rPr>
                <w:rFonts w:ascii="微软雅黑" w:eastAsia="微软雅黑" w:hAnsi="微软雅黑" w:cs="思源黑体 CN Light" w:hint="eastAsia"/>
                <w:kern w:val="0"/>
                <w:szCs w:val="21"/>
                <w:lang w:bidi="ar"/>
              </w:rPr>
              <w:t>0</w:t>
            </w:r>
          </w:p>
        </w:tc>
      </w:tr>
      <w:tr w:rsidR="00256464" w14:paraId="372269B6" w14:textId="77777777">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249F5C5" w14:textId="77777777" w:rsidR="00256464" w:rsidRDefault="00000000">
            <w:pPr>
              <w:pStyle w:val="af5"/>
              <w:ind w:firstLineChars="0" w:firstLine="0"/>
              <w:jc w:val="center"/>
              <w:rPr>
                <w:rFonts w:ascii="微软雅黑" w:eastAsia="微软雅黑" w:hAnsi="微软雅黑" w:hint="eastAsia"/>
                <w:szCs w:val="21"/>
              </w:rPr>
            </w:pPr>
            <w:bookmarkStart w:id="11" w:name="_Hlk103153652"/>
            <w:r>
              <w:rPr>
                <w:rFonts w:ascii="微软雅黑" w:eastAsia="微软雅黑" w:hAnsi="微软雅黑" w:cs="思源黑体 CN Normal" w:hint="eastAsia"/>
                <w:b/>
                <w:kern w:val="0"/>
                <w:szCs w:val="21"/>
                <w:lang w:bidi="ar"/>
              </w:rPr>
              <w:t>总体质量</w:t>
            </w:r>
            <w:bookmarkEnd w:id="11"/>
            <w:r>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6671A4" w14:textId="77777777" w:rsidR="00256464" w:rsidRDefault="00000000">
            <w:pPr>
              <w:pStyle w:val="af5"/>
              <w:jc w:val="center"/>
              <w:rPr>
                <w:rFonts w:ascii="微软雅黑" w:eastAsia="微软雅黑" w:hAnsi="微软雅黑" w:hint="eastAsia"/>
                <w:szCs w:val="21"/>
              </w:rPr>
            </w:pPr>
            <w:r>
              <w:rPr>
                <w:rFonts w:ascii="微软雅黑" w:eastAsia="微软雅黑" w:hAnsi="微软雅黑" w:hint="eastAsia"/>
                <w:szCs w:val="21"/>
              </w:rPr>
              <w:t>合格</w:t>
            </w:r>
          </w:p>
        </w:tc>
      </w:tr>
    </w:tbl>
    <w:p w14:paraId="3E3E2962" w14:textId="77777777" w:rsidR="00256464" w:rsidRDefault="00000000">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1C66C44"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64345A79"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477FB1D8"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08D675CD"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671F425"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CAFEB88" w14:textId="77777777" w:rsidR="00256464" w:rsidRDefault="00000000">
      <w:pPr>
        <w:pStyle w:val="a9"/>
        <w:numPr>
          <w:ilvl w:val="0"/>
          <w:numId w:val="4"/>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03EBB42D" w14:textId="77777777" w:rsidR="00256464" w:rsidRDefault="00256464">
      <w:pPr>
        <w:adjustRightInd w:val="0"/>
        <w:snapToGrid w:val="0"/>
      </w:pPr>
    </w:p>
    <w:p w14:paraId="046BC7E4" w14:textId="77777777" w:rsidR="00256464" w:rsidRDefault="00256464">
      <w:pPr>
        <w:adjustRightInd w:val="0"/>
        <w:snapToGrid w:val="0"/>
      </w:pPr>
    </w:p>
    <w:p w14:paraId="35E02961" w14:textId="77777777" w:rsidR="00256464" w:rsidRDefault="00256464">
      <w:pPr>
        <w:adjustRightInd w:val="0"/>
        <w:snapToGrid w:val="0"/>
      </w:pPr>
    </w:p>
    <w:p w14:paraId="73A046E0" w14:textId="77777777" w:rsidR="00256464" w:rsidRDefault="00256464">
      <w:pPr>
        <w:adjustRightInd w:val="0"/>
        <w:snapToGrid w:val="0"/>
      </w:pPr>
    </w:p>
    <w:p w14:paraId="66CBFB01" w14:textId="77777777" w:rsidR="00256464" w:rsidRDefault="00256464">
      <w:pPr>
        <w:adjustRightInd w:val="0"/>
        <w:snapToGrid w:val="0"/>
      </w:pPr>
    </w:p>
    <w:p w14:paraId="3A694A7A" w14:textId="77777777" w:rsidR="00256464" w:rsidRDefault="00256464">
      <w:pPr>
        <w:adjustRightInd w:val="0"/>
        <w:snapToGrid w:val="0"/>
      </w:pPr>
    </w:p>
    <w:p w14:paraId="745B007C" w14:textId="77777777" w:rsidR="00256464" w:rsidRDefault="00256464">
      <w:pPr>
        <w:adjustRightInd w:val="0"/>
        <w:snapToGrid w:val="0"/>
      </w:pPr>
    </w:p>
    <w:p w14:paraId="622E90E7" w14:textId="77777777" w:rsidR="00256464" w:rsidRDefault="00256464">
      <w:pPr>
        <w:adjustRightInd w:val="0"/>
        <w:snapToGrid w:val="0"/>
      </w:pPr>
    </w:p>
    <w:p w14:paraId="2F79D180" w14:textId="77777777" w:rsidR="00256464" w:rsidRDefault="00256464">
      <w:pPr>
        <w:adjustRightInd w:val="0"/>
        <w:snapToGrid w:val="0"/>
      </w:pPr>
    </w:p>
    <w:p w14:paraId="6F66DE55" w14:textId="77777777" w:rsidR="00256464" w:rsidRDefault="00256464">
      <w:pPr>
        <w:adjustRightInd w:val="0"/>
        <w:snapToGrid w:val="0"/>
      </w:pPr>
    </w:p>
    <w:p w14:paraId="586C63FB" w14:textId="77777777" w:rsidR="00256464" w:rsidRDefault="00256464">
      <w:pPr>
        <w:adjustRightInd w:val="0"/>
        <w:snapToGrid w:val="0"/>
      </w:pPr>
    </w:p>
    <w:p w14:paraId="51446CD3" w14:textId="77777777" w:rsidR="00256464" w:rsidRDefault="00256464">
      <w:pPr>
        <w:adjustRightInd w:val="0"/>
        <w:snapToGrid w:val="0"/>
      </w:pPr>
    </w:p>
    <w:p w14:paraId="490FAFEC" w14:textId="77777777" w:rsidR="00256464" w:rsidRDefault="00256464">
      <w:pPr>
        <w:adjustRightInd w:val="0"/>
        <w:snapToGrid w:val="0"/>
      </w:pPr>
    </w:p>
    <w:p w14:paraId="79DCBF55" w14:textId="77777777" w:rsidR="00256464" w:rsidRDefault="00256464">
      <w:pPr>
        <w:adjustRightInd w:val="0"/>
        <w:snapToGrid w:val="0"/>
      </w:pPr>
    </w:p>
    <w:p w14:paraId="24A50E7A" w14:textId="77777777" w:rsidR="00256464" w:rsidRDefault="00256464">
      <w:pPr>
        <w:adjustRightInd w:val="0"/>
        <w:snapToGrid w:val="0"/>
      </w:pPr>
    </w:p>
    <w:p w14:paraId="6B2915B1" w14:textId="77777777" w:rsidR="00256464" w:rsidRDefault="00256464">
      <w:pPr>
        <w:adjustRightInd w:val="0"/>
        <w:snapToGrid w:val="0"/>
      </w:pPr>
    </w:p>
    <w:p w14:paraId="22320A0F" w14:textId="77777777" w:rsidR="00256464" w:rsidRDefault="00256464">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56464" w14:paraId="5B7F3625" w14:textId="77777777">
        <w:trPr>
          <w:trHeight w:val="680"/>
        </w:trPr>
        <w:tc>
          <w:tcPr>
            <w:tcW w:w="3444" w:type="dxa"/>
            <w:shd w:val="clear" w:color="auto" w:fill="F2F2F2" w:themeFill="background1" w:themeFillShade="F2"/>
            <w:vAlign w:val="center"/>
          </w:tcPr>
          <w:p w14:paraId="74B8A482"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6A8BFEDE"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17BD7D5E" w14:textId="77777777" w:rsidR="00256464" w:rsidRDefault="00000000">
            <w:pPr>
              <w:adjustRightInd w:val="0"/>
              <w:snapToGrid w:val="0"/>
              <w:rPr>
                <w:rFonts w:ascii="思源黑体 CN Normal" w:eastAsia="思源黑体 CN Normal" w:hAnsi="思源黑体 CN Normal" w:hint="eastAsia"/>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3A4D0FB8" w14:textId="77777777" w:rsidR="00256464" w:rsidRDefault="00000000">
      <w:pPr>
        <w:pStyle w:val="af5"/>
        <w:numPr>
          <w:ilvl w:val="0"/>
          <w:numId w:val="5"/>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5C128DAA" w14:textId="77777777">
        <w:tc>
          <w:tcPr>
            <w:tcW w:w="4815" w:type="dxa"/>
          </w:tcPr>
          <w:p w14:paraId="3960DD5C"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7DE5B565" wp14:editId="706CD46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5418F241" w14:textId="77777777" w:rsidR="00256464" w:rsidRDefault="00000000">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A1E04AF" wp14:editId="0CA67223">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ED19BBB"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A504121"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53DF73EA"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E6ECB8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839725"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4A45C0"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662B263"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03625F6D"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6FF39BCE"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FAD2B6A"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676BD4"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检出变异的临床证据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56464" w14:paraId="609C16BD" w14:textId="77777777">
        <w:trPr>
          <w:trHeight w:val="397"/>
        </w:trPr>
        <w:tc>
          <w:tcPr>
            <w:tcW w:w="1980" w:type="dxa"/>
            <w:shd w:val="clear" w:color="auto" w:fill="1E7648"/>
            <w:vAlign w:val="center"/>
          </w:tcPr>
          <w:bookmarkEnd w:id="12"/>
          <w:p w14:paraId="57A09AA0"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758DA92"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C5E2D7" w14:textId="77777777" w:rsidR="00256464" w:rsidRDefault="0000000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56464" w14:paraId="45A66585"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F21392F"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89BA8D4"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A87DF2"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477D8"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56464" w14:paraId="2B626F4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1872B"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FB4D05"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C68ED6"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56464" w14:paraId="51B8A62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4A25A"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E55E8B"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8BA1C"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56464" w14:paraId="7BFC375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BFCAB"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8EA50"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31CFC2"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56464" w14:paraId="3257EE2B"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E4EE96"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A1B774"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07912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56464" w14:paraId="1158A02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258A43C"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A18FFA"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D3F2A"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D03D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56464" w14:paraId="2997EAA2"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03C9BD"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F1087"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A0613"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56464" w14:paraId="626E4885"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1119A0"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10E19F"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C6A14"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56464" w14:paraId="7023E93A"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10C8E"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AB6F30"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D568D8"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56464" w14:paraId="26420E5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B75034"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CB7BB"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71366F"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56464" w14:paraId="27CDA4D6"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2C635D"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ECBF1F"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D0E62"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56464" w14:paraId="24605DE2"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7397A6A"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319F1BA"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B2F68"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368384"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56464" w14:paraId="6835698F"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FE758E"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F082E0"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9D7B7"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56464" w14:paraId="1DEC05A1"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1F8A3C" w14:textId="77777777" w:rsidR="00256464" w:rsidRDefault="0000000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907003B"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A0A882" w14:textId="77777777" w:rsidR="00256464" w:rsidRDefault="0000000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6D4B3C" w14:textId="77777777" w:rsidR="00256464" w:rsidRDefault="0000000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56464" w14:paraId="186F7D04"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A0BA3F" w14:textId="77777777" w:rsidR="00256464" w:rsidRDefault="0025646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5C4AC" w14:textId="77777777" w:rsidR="00256464" w:rsidRDefault="0000000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26E6C2" w14:textId="77777777" w:rsidR="00256464" w:rsidRDefault="00000000">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81BC272"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FF4789"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7B682E7A"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CC0B1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D316B3"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1AAF97"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FCEF02C"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0E0AA4B" w14:textId="77777777" w:rsidR="00256464" w:rsidRDefault="0000000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F1BEB5" w14:textId="77777777" w:rsidR="00256464" w:rsidRDefault="0000000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31B361A8" w14:textId="77777777">
        <w:tc>
          <w:tcPr>
            <w:tcW w:w="4815" w:type="dxa"/>
          </w:tcPr>
          <w:p w14:paraId="062E2031"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7563E8" wp14:editId="7A86A826">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295A3A3"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AEDB716" wp14:editId="2C959572">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9B641C6" w14:textId="77777777" w:rsidR="00256464" w:rsidRDefault="00256464">
      <w:pPr>
        <w:rPr>
          <w:rFonts w:ascii="思源黑体 CN Normal" w:eastAsia="思源黑体 CN Normal" w:hAnsi="思源黑体 CN Normal" w:hint="eastAsia"/>
          <w:sz w:val="16"/>
          <w:szCs w:val="16"/>
        </w:rPr>
      </w:pPr>
    </w:p>
    <w:p w14:paraId="7006174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美国国家综合癌症网络（NCCN） 肿瘤临床实践指南</w:t>
      </w:r>
    </w:p>
    <w:p w14:paraId="34B8E50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437015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Biagio Ricciuti,Gonzalo Recondo,Liam F Spurr,et al. (2020) Impact of DNA Damage Response and Repair (DDR) Gene Mutations on Efficacy of PD-(L)1 Immune Checkpoint Inhibition in Non-Small Cell Lung Cancer. Clin Cancer Res 26(15):4135-4142. [PMID:32332016]</w:t>
      </w:r>
    </w:p>
    <w:p w14:paraId="3D3BC24C"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Min Yuen Teo, Kenneth Seier, Irina Ostrovnaya,et al. (2018) Alterations in DNA Damage Response and Repair Genes as Potential Marker of Clinical Benefit From PD-1/PD-L1 Blockade in Advanced Urothelial Cancers. J Clin Oncol 36(17):1685-1694. [PMID:29489427]</w:t>
      </w:r>
    </w:p>
    <w:p w14:paraId="3899A6F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Padmanee Sharma,Russell K Pachynski,Vivek Narayan,et al. (2020) Nivolumab Plus Ipilimumab for Metastatic Castration-Resistant Prostate Cancer: Preliminary Analysis of Patients in the CheckMate 650 Trial. Cancer Cell 38(4):489-499.e3. [PMID:32916128]</w:t>
      </w:r>
    </w:p>
    <w:p w14:paraId="79A724E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Fatima Karzai,David VanderWeele,Ravi A Madan,et al. (2018) Activity of durvalumab plus olaparib in metastatic castration-resistant prostate cancer in men with and without DNA damage repair mutations. J Immunother Cancer 6(1):141. [PMID:30514390]</w:t>
      </w:r>
    </w:p>
    <w:p w14:paraId="1C3F7D39"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Karim Boudadi,Daniel L Suzman,Valsamo Anagnostou,et al. (2018) Ipilimumab plus nivolumab and DNA-repair defects in AR-V7-expressing metastatic prostate cancer. Oncotarget 9(47):28561-28571. [PMID:29983880]</w:t>
      </w:r>
    </w:p>
    <w:p w14:paraId="4AB3BC50"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Demet Özcan,Johanne Lade-Keller,Trine Tramm (2021) Can evaluation of mismatch repair defect and TILs increase the number of triple-negative breast cancer patients eligible for immunotherapy?. Pathol Res Pract 226:153606. [PMID:34530255]</w:t>
      </w:r>
    </w:p>
    <w:p w14:paraId="6C4C234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Luca Cancanelli,Melania Rivano,Lorenzo Di Spazio,et al. (2021) Efficacy of Immune Checkpoint Inhibitors in Patients with Mismatch Repair-Deficient or Microsatellite Instability-High Metastatic Colorectal Cancer: Analysis of Three Phase-II Trials. Cureus 13(11):e19893. [PMID:34966607]</w:t>
      </w:r>
    </w:p>
    <w:p w14:paraId="3FF228F2"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Yi-Kan Cheng,Dong-Wen Chen,Ping Chen,et al. (2022) Association of Peripheral Blood Biomarkers With Response to Anti-PD-1 Immunotherapy for Patients With Deficient Mismatch Repair Metastatic Colorectal Cancer: A Multicenter Cohort Study. Front Immunol 13:809971. [PMID:35185898]</w:t>
      </w:r>
    </w:p>
    <w:p w14:paraId="481990C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Mingyu Zhu#,Haiyan Cui#,Lu Zhang#,et al. (2022) Assessment of. Transl Cancer Res 11(1):193-205. [PMID:35261896]</w:t>
      </w:r>
    </w:p>
    <w:p w14:paraId="17D3D300"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Piera Gargiulo,Chiara Della Pepa,Simona Berardi,et al. (2016) Tumor genotype and immune microenvironment in POLE-ultramutated and MSI-hypermutated Endometrial Cancers: New candidates for checkpoint blockade immunotherapy?. Cancer Treat Rev 48:61-8. [PMID:27362548]</w:t>
      </w:r>
    </w:p>
    <w:p w14:paraId="34525D0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Sung-Min Ahn,Adnan Ahmad Ansari,Jihun Kim,et al. (2016) The somatic POLE P286R mutation defines a unique subclass of colorectal cancer featuring hypermutation, representing a potential genomic biomarker for immunotherapy. Oncotarget 7(42):68638-68649. [PMID:27612425]</w:t>
      </w:r>
    </w:p>
    <w:p w14:paraId="56C7879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Yang Fu,Yue Zheng,Pei-Pei Wang,et al. (2022) Immunotherapy for a POLE Mutation Advanced Non-Small-Cell Lung Cancer Patient. Front Pharmacol 13:817265. [PMID:35308232]</w:t>
      </w:r>
    </w:p>
    <w:p w14:paraId="3FA9B8F2"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Xinqing Lin,Liqiang Wang,Xiaohong Xie,et al. (2020) Prognostic Biomarker TP53 Mutations for Immune Checkpoint Blockade Therapy and Its Association With Tumor Microenvironment of Lung Adenocarcinoma. Front Mol Biosci 7:602328. [PMID:33330629]</w:t>
      </w:r>
    </w:p>
    <w:p w14:paraId="6D28F6E0"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Stefano Scalera,Marco Mazzotta,Giacomo Corleone,et al. (2021) KEAP1 and TP53 Frame Genomic, Evolutionary, and Immunologic Subtypes of Lung Adenocarcinoma With Different Sensitivity to Immunotherapy. J Thorac Oncol 16(12):2065-2077. [PMID:34450259]</w:t>
      </w:r>
    </w:p>
    <w:p w14:paraId="5793DCD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Lijuan Zhang,Tongyan Zhang,Bin Shang,et al. (2021) Prognostic effect of coexisting TP53 and ZFHX3 mutations in non-small cell lung cancer patients treated with immune checkpoint inhibitors. Scand J Immunol 94(3):e13087. [PMID:35226388]</w:t>
      </w:r>
    </w:p>
    <w:p w14:paraId="5E8C32D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Qiong Lyu,Anqi Lin,Manming Cao,et al. (2020) Alterations in TP53 Are a Potential Biomarker of Bladder Cancer Patients Who Benefit From Immune Checkpoint Inhibition. Cancer Control 27(1):1073274820976665. [PMID:33356494]</w:t>
      </w:r>
    </w:p>
    <w:p w14:paraId="4387634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Zhong-Yi Dong,Wen-Zhao Zhong,Xu-Chao Zhang,et al. (2017) Potential Predictive Value of. Clin Cancer Res 23(12):3012-3024. [PMID:28039262]</w:t>
      </w:r>
    </w:p>
    <w:p w14:paraId="3BF8A0B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Arnaud Jeanson,Pascale Tomasini,Maxime Souquet-Bressand,et al. (2019) Efficacy of Immune Checkpoint Inhibitors in KRAS-Mutant Non-Small Cell Lung Cancer (NSCLC). J Thorac Oncol 14(6):1095-1101. [PMID:30738221]</w:t>
      </w:r>
    </w:p>
    <w:p w14:paraId="4C39707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Aaron M Goodman, David Piccioni, Shumei Kato,et al. (2018) Prevalence of PDL1 Amplification and Preliminary Response to Immune Checkpoint Blockade in Solid Tumors. JAMA Oncol 4(9):1237-1244. [PMID:29902298]</w:t>
      </w:r>
    </w:p>
    <w:p w14:paraId="529CF1C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Sounak Gupta,Chad M Vanderbilt,Yanming Zhang,et al. (2021) CD274 ( PD-L1) Copy Number Changes (Gain)  Response to Immune Checkpoint Blockade Therapy in Carcinomas of the Urinary Tract. Bladder Cancer 7(4):395-400. [PMID:35071713]</w:t>
      </w:r>
    </w:p>
    <w:p w14:paraId="69F449F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Jan Budczies,Gunhild Mechtersheimer,Carsten Denkert,et al. (2017) PD-L1 (CD274) copy number gain, expression, and immune cell infiltration as candidate predictors for response to immune checkpoint inhibitors in soft-tissue sarcoma. Oncoimmunology 6(3):e1279777. [PMID:28405504]</w:t>
      </w:r>
    </w:p>
    <w:p w14:paraId="5BC761EC"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Tao Jiang,Xiaoxia Chen,Chunxia Su,et al. (2020) Pan-cancer analysis of. J Cancer 11(4):776-780. [PMID:31949479]</w:t>
      </w:r>
    </w:p>
    <w:p w14:paraId="0B0493F9"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Ryosuke Okamura,Shumei Kato,Suzanna Lee,et al. (2020) ARID1A alterations function as a biomarker for longer progression-free survival after anti-PD-1/PD-L1 immunotherapy. J Immunother Cancer 8(1):e000438. [PMID:32111729]</w:t>
      </w:r>
    </w:p>
    <w:p w14:paraId="49AD66E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Guangsheng Zhu,Ruifeng Shi,Yongwen Li,et al. (2021) ARID1A, ARID1B, and ARID2 Mutations Serve as Potential Biomarkers for Immune Checkpoint Blockade in Patients With Non-Small Cell Lung Cancer. Front Immunol 12:670040. [PMID:34512623]</w:t>
      </w:r>
    </w:p>
    <w:p w14:paraId="1C50EB7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Mingdong Lu#,Bin Zhao#,Mengshan Liu,et al. (2021) Pan-cancer analysis of SETD2 mutation and its association with the efficacy of immunotherapy. NPJ Precis Oncol 5(1):51. [PMID:34127768]</w:t>
      </w:r>
    </w:p>
    <w:p w14:paraId="67669F6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Kai Zhang#,Xiaohua Hong#,Zhengbo Song#,et al. (2020) Identification of Deleterious. Clin Cancer Res 26(14):3649-3661. [PMID:32241817]</w:t>
      </w:r>
    </w:p>
    <w:p w14:paraId="66FF1F5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Ivan de Kouchkovsky,Li Zhang,Errol J Philip,et al. (2021) TERT promoter mutations and other prognostic factors in patients with advanced urothelial carcinoma treated with an immune checkpoint inhibitor. J Immunother Cancer 9(5):e002127. [PMID:33980590]</w:t>
      </w:r>
    </w:p>
    <w:p w14:paraId="646156E4"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Guangchuan Wang#,Ryan D Chow#,Lvyun Zhu#,et al. (2020) CRISPR-GEMM Pooled Mutagenic Screening Identifies KMT2D as a Major Modulator of Immune Checkpoint Blockade. Cancer Discov 10(12):1912-1933. [PMID:32887696]</w:t>
      </w:r>
    </w:p>
    <w:p w14:paraId="054F5B5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Wenfeng Fang#,Yuxiang Ma#,Jiani C Yin#,et al. (2019) Comprehensive Genomic Profiling Identifies Novel Genetic Predictors of Response to Anti-PD-(L)1 Therapies in Non-Small Cell Lung Cancer. Clin Cancer Res 25(16):5015-5026. [PMID:31085721]</w:t>
      </w:r>
    </w:p>
    <w:p w14:paraId="506F213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Zhenxing Feng,Yan Yin,Bin Liu,et al. (2022) Prognostic and Immunological Role of FAT Family Genes in Non-Small Cell Lung Cancer. Cancer Control 29:10732748221076682. [PMID:35212236]</w:t>
      </w:r>
    </w:p>
    <w:p w14:paraId="525B3A2A"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Yi-Mi Wu,Marcin Cieślik,Robert J Lonigro,et al. (2018) Inactivation of CDK12 Delineates a Distinct Immunogenic Class of Advanced Prostate Cancer. Cell 173(7):1770-1782.e14. [PMID:29906450]</w:t>
      </w:r>
    </w:p>
    <w:p w14:paraId="10D333A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Hossein Borghaei,Luis Paz-Ares,Leora Horn,et al. (2015) Nivolumab versus Docetaxel in Advanced Nonsquamous Non-Small-Cell Lung Cancer. N Engl J Med 373(17):1627-39. [PMID:26412456]</w:t>
      </w:r>
    </w:p>
    <w:p w14:paraId="117151B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Roy S Herbst,Paul Baas,Dong-Wan Kim,et al. (2016) Pembrolizumab versus docetaxel for previously treated, PD-L1-positive, advanced non-small-cell lung cancer (KEYNOTE-010): a randomised controlled trial. Lancet 387(10027):1540-1550. [PMID:26712084]</w:t>
      </w:r>
    </w:p>
    <w:p w14:paraId="43583D8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Justin F Gainor,Alice T Shaw,Lecia V Sequist,et al. (2016) EGFR Mutations and ALK Rearrangements Are Associated with Low Response Rates to PD-1 Pathway Blockade in Non-Small Cell Lung Cancer: A Retrospective Analysis. Clin Cancer Res 22(18):4585-93. [PMID:27225694]</w:t>
      </w:r>
    </w:p>
    <w:p w14:paraId="2B3D6DC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J Mazieres,A Drilon,A Lusque,et al. (2019) Immune checkpoint inhibitors for patients with advanced lung cancer and oncogenic driver alterations: results from the IMMUNOTARGET registry. Ann Oncol 30(8):1321-1328. [PMID:31125062]</w:t>
      </w:r>
    </w:p>
    <w:p w14:paraId="6EA8A622"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Shumei Kato,Aaron Goodman,Vighnesh Walavalkar,et al. (2017) Hyperprogressors after Immunotherapy: Analysis of Genomic Alterations Associated with Accelerated Growth Rate. Clin Cancer Res 23(15):4242-4250. [PMID:28351930]</w:t>
      </w:r>
    </w:p>
    <w:p w14:paraId="56FA4D74"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Pan Shen,Liang Han,Xin Ba,et al. (2021) Hyperprogressive Disease in Cancers Treated With Immune Checkpoint Inhibitors. Front Pharmacol 12:678409. [PMID:34290608]</w:t>
      </w:r>
    </w:p>
    <w:p w14:paraId="5B7A329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Haochen Zhang,Xuefeng Fang,Dan Li,et al. (2021) Hyperprogressive disease in patients receiving immune checkpoint inhibitors. Curr Probl Cancer 45(3):100688. [PMID:33334611]</w:t>
      </w:r>
    </w:p>
    <w:p w14:paraId="79F356F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Elio Adib#,Amin H Nassar#,Elie W Akl#,et al. (2021) CDKN2A Alterations and Response to Immunotherapy in Solid Tumors. Clin Cancer Res 27(14):4025-4035. [PMID:34074656]</w:t>
      </w:r>
    </w:p>
    <w:p w14:paraId="075D387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Stanley I Gutiontov,William Tyler Turchan,Liam F Spurr,et al. (2021) CDKN2A loss-of-function predicts immunotherapy resistance in non-small cell lung cancer. Sci Rep 11(1):20059. [PMID:34625620]</w:t>
      </w:r>
    </w:p>
    <w:p w14:paraId="1E4B561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Ferdinandos Skoulidis#,Michael E Goldberg#,Danielle M Greenawalt#,et al. (2018) STK11/LKB1 Mutations and PD-1 Inhibitor Resistance in KRAS-Mutant Lung Adenocarcinoma. Cancer Discov 8(7):822-835. [PMID:29773717]</w:t>
      </w:r>
    </w:p>
    <w:p w14:paraId="4B3280A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Simon Papillon-Cavanagh,Parul Doshi,Radu Dobrin,et al. (2020) STK11 and KEAP1 mutations as prognostic biomarkers in an observational real-world lung adenocarcinoma cohort. ESMO Open 5(2):e000706. [PMID:32312757]</w:t>
      </w:r>
    </w:p>
    <w:p w14:paraId="6B7F6242"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Jesse M Zaretsky,Angel Garcia-Diaz,Daniel S Shin,et al. (2016) Mutations Associated with Acquired Resistance to PD-1 Blockade in Melanoma. N Engl J Med 375(9):819-29. [PMID:27433843]</w:t>
      </w:r>
    </w:p>
    <w:p w14:paraId="10E9700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Jianjun Gao,Lewis Zhichang Shi,Hao Zhao,et al. (2016) Loss of IFN-γ Pathway Genes in Tumor Cells as a Mechanism of Resistance to Anti-CTLA-4 Therapy. Cell 167(2):397-404.e9. [PMID:27667683]</w:t>
      </w:r>
    </w:p>
    <w:p w14:paraId="667B34F9"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Daniel Sanghoon Shin,Jesse M Zaretsky,Helena Escuin-Ordinas,et al. (2017) Primary Resistance to PD-1 Blockade Mediated by JAK1/2 Mutations. Cancer Discov 7(2):188-201. [PMID:27903500]</w:t>
      </w:r>
    </w:p>
    <w:p w14:paraId="1FAC276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Moshe Sade-Feldman,Yunxin J Jiao,Jonathan H Chen,et al. (2017) Resistance to checkpoint blockade therapy through inactivation of antigen presentation. Nat Commun 8(1):1136. [PMID:29070816]</w:t>
      </w:r>
    </w:p>
    <w:p w14:paraId="2A703FF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Anusha Kalbasi,Antoni Ribas (2020) Tumour-intrinsic resistance to immune checkpoint blockade. Nat Rev Immunol 20(1):25-39. [PMID:31570880]</w:t>
      </w:r>
    </w:p>
    <w:p w14:paraId="2F5273E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Stefani Spranger,Riyue Bao,Thomas F Gajewski (2015) Melanoma-intrinsic β-catenin signalling prevents anti-tumour immunity. Nature 523(7559):231-5. [PMID:25970248]</w:t>
      </w:r>
    </w:p>
    <w:p w14:paraId="0935D704"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Lin Chen,Qiaodan Zhou,Junjie Liu,et al. (2021) CTNNB1 Alternation Is a Potential Biomarker for Immunotherapy Prognosis in Patients With Hepatocellular Carcinoma. Front Immunol 12:759565. [PMID:34777372]</w:t>
      </w:r>
    </w:p>
    <w:p w14:paraId="7186635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Monica Bernal,Francisco Ruiz-Cabello,Angel Concha,et al. (2012) Implication of the β2-microglobulin gene in the generation of tumor escape phenotypes. Cancer Immunol Immunother 61(9):1359-71. [PMID:22833104]</w:t>
      </w:r>
    </w:p>
    <w:p w14:paraId="4B9E8F0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Scott Gettinger,Jungmin Choi,Katherine Hastings,et al. (2017) Impaired HLA Class I Antigen Processing and Presentation as a Mechanism of Acquired Resistance to Immune Checkpoint Inhibitors in Lung Cancer. Cancer Discov 7(12):1420-1435. [PMID:29025772]</w:t>
      </w:r>
    </w:p>
    <w:p w14:paraId="1CE1A17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Weiyi Peng,Jie Qing Chen,Chengwen Liu,et al. (2016) Loss of PTEN Promotes Resistance to T Cell-Mediated Immunotherapy. Cancer Discov 6(2):202-16. [PMID:26645196]</w:t>
      </w:r>
    </w:p>
    <w:p w14:paraId="16FCF6C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Sara Alavi,Ashleigh Jacqueline Stewart,Richard F Kefford,et al. (2018) Interferon Signaling Is Frequently Downregulated in Melanoma. Front Immunol 9:1414. [PMID:29977240]</w:t>
      </w:r>
    </w:p>
    <w:p w14:paraId="0193026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Yu Chen,Yingying Huang,Xuan Gao,et al. (2020) CCND1 Amplification Contributes to Immunosuppression and Is Associated With a Poor Prognosis to Immune Checkpoint Inhibitors in Solid Tumors. Front Immunol 11:1620. [PMID:32903763]</w:t>
      </w:r>
    </w:p>
    <w:p w14:paraId="7FCF533F"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Kalliopi Domvri,Paul Zarogoulidis,Kaid Darwiche,et al. (2013) Molecular Targeted Drugs and Biomarkers in NSCLC, the Evolving Role of Individualized Therapy. J Cancer 4(9):736-54. [PMID:24312144]</w:t>
      </w:r>
    </w:p>
    <w:p w14:paraId="4FB99C6F"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Anita Midha,Simon Dearden,Rose McCormack (2015) EGFR mutation incidence in non-small-cell lung cancer of adenocarcinoma histology: a systematic review and global map by ethnicity (mutMapII). Am J Cancer Res 5(9):2892-911. [PMID:26609494]</w:t>
      </w:r>
    </w:p>
    <w:p w14:paraId="1EB3402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Patrick Kwok-Shing Ng,Jun Li,Kang Jin Jeong,et al. (2018) Systematic Functional Annotation of Somatic Mutations in Cancer. Cancer Cell 33(3):450-462.e10. [PMID:29533785]</w:t>
      </w:r>
    </w:p>
    <w:p w14:paraId="5DB07B8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Yi-Long Wu,Ying Cheng,Xiangdong Zhou,et al. (2017) Dacomitinib versus gefitinib as first-line treatment for patients with EGFR-mutation-positive non-small-cell lung cancer (ARCHER 1050): a randomised, open-label, phase 3 trial. Lancet Oncol 18(11):1454-1466. [PMID:28958502]</w:t>
      </w:r>
    </w:p>
    <w:p w14:paraId="568074D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Sean Khozin,Gideon M Blumenthal,Xiaoping Jiang,et al. (2014) U.S. Food and Drug Administration approval summary: Erlotinib for the first-line treatment of metastatic non-small cell lung cancer with epidermal growth factor receptor exon 19 deletions or exon 21 (L858R) substitution mutations. Oncologist 19(7):774-9. [PMID:24868098]</w:t>
      </w:r>
    </w:p>
    <w:p w14:paraId="1910154F"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Kazuhiko Nakagawa,Edward B Garon,Takashi Seto,et al. (2019) Ramucirumab plus erlotinib in patients with untreated, EGFR-mutated, advanced non-small-cell lung cancer (RELAY): a randomised, double-blind, placebo-controlled, phase 3 trial. Lancet Oncol 20(12):1655-1669. [PMID:31591063]</w:t>
      </w:r>
    </w:p>
    <w:p w14:paraId="190E351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Yuankai Shi,Gongyan Chen,Xiang Wang,et al. (2022) Furmonertinib (AST2818) versus gefitinib as first-line therapy for Chinese patients with locally advanced or metastatic EGFR mutation-positive non-small-cell lung cancer (FURLONG): a multicentre, double-blind, randomised phase 3 study. Lancet Respir Med S2213-2600(22)00168-0. [PMID:35662408]</w:t>
      </w:r>
    </w:p>
    <w:p w14:paraId="51169DF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Dickran Kazandjian,Gideon M Blumenthal,Weishi Yuan,et al. (2016) FDA Approval of Gefitinib for the Treatment of Patients with Metastatic EGFR Mutation-Positive Non-Small Cell Lung Cancer. Clin Cancer Res 22(6):1307-12. [PMID:26980062]</w:t>
      </w:r>
    </w:p>
    <w:p w14:paraId="6BB645C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Shun Lu,Lin Wu,Hong Jian,et al. (2022) Sintilimab plus bevacizumab biosimilar IBI305 and chemotherapy for patients with EGFR-mutated non-squamous non-small-cell lung cancer who progressed on EGFR tyrosine-kinase inhibitor therapy (ORIENT-31): first interim results from a randomised, double-blind, multicentre, phase 3 trial. Lancet Oncol 23(9):1167-1179. [PMID:35908558]</w:t>
      </w:r>
    </w:p>
    <w:p w14:paraId="4A9F963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Shun Lu,Lin Wu,Hong Jian,et al. (2023) Sintilimab plus chemotherapy for patients with EGFR-mutated non-squamous non-small-cell lung cancer with disease progression after EGFR tyrosine-kinase inhibitor therapy (ORIENT-31): second interim analysis from a double-blind, randomised, placebo-controlled, phase 3 trial. Lancet Respir Med S2213-2600(23)00135-2. [PMID:37156249]</w:t>
      </w:r>
    </w:p>
    <w:p w14:paraId="6753B624"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Qing Zhou,Yan Yu,Ligang Xing,et al.  First-line zorifertinib for EGFR-mutant non-small cell lung cancer with central nervous system metastases: The phase 3 EVEREST trial. Med  [PMID:39389055]</w:t>
      </w:r>
    </w:p>
    <w:p w14:paraId="117F795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Sehhoon Park,Tae Min Kim,Ji-Youn Han,et al. (2024) Phase III, Randomized Study of Atezolizumab Plus Bevacizumab and Chemotherapy in Patients With EGFR - or ALK -Mutated Non-Small-Cell Lung Cancer (ATTLAS, KCSG-LU19-04). J Clin Oncol 42(11):1241-1251. [PMID:37861993]</w:t>
      </w:r>
    </w:p>
    <w:p w14:paraId="625DE40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Hongyun Zhao,Wenxiu Yao,Xuhong Min,et al. (2021) Apatinib Plus Gefitinib as First-Line Treatment in Advanced EGFR-Mutant NSCLC: The Phase III ACTIVE Study (CTONG1706). J Thorac Oncol 16(9):1533-1546. [PMID:34033974]</w:t>
      </w:r>
    </w:p>
    <w:p w14:paraId="4701C4F2"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Daniel S W Tan,Sang-We Kim,Santiago Ponce Aix,et al. (2022) Nazartinib for treatment-naive EGFR-mutant non-small cell lung cancer: Results of a phase 2, single-arm, open-label study. Eur J Cancer 172:276-286. [PMID:35810553]</w:t>
      </w:r>
    </w:p>
    <w:p w14:paraId="29ED610A"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Helena A Yu,Yasushi Goto,Hidetoshi Hayashi,et al. (2023) HERTHENA-Lung01, a Phase II Trial of Patritumab Deruxtecan (HER3-DXd) in Epidermal Growth Factor Receptor-Mutated Non-Small-Cell Lung Cancer After Epidermal Growth Factor Receptor Tyrosine Kinase Inhibitor Therapy and Platinum-Based Chemotherapy. J Clin Oncol JCO2301476. [PMID:37689979]</w:t>
      </w:r>
    </w:p>
    <w:p w14:paraId="12B0906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Kenji Kashima,Hiroki Kawauchi,Hiromi Tanimura,et al. (2020) CH7233163 Overcomes Osimertinib-Resistant EGFR-Del19/T790M/C797S Mutation. Mol Cancer Ther 19(11):2288-2297. [PMID:32943545]</w:t>
      </w:r>
    </w:p>
    <w:p w14:paraId="1AA09C1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Hibiki Udagawa#,Shinichi Hasako#,Akihiro Ohashi,et al. (2019) TAS6417/CLN-081 Is a Pan-Mutation-Selective EGFR Tyrosine Kinase Inhibitor with a Broad Spectrum of Preclinical Activity against Clinically Relevant. Mol Cancer Res 17(11):2233-2243. [PMID:31467113]</w:t>
      </w:r>
    </w:p>
    <w:p w14:paraId="1E9185BD"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Li-Hui Wang,Chun-Fu Wu,Nirmal Rajasekaran,et al. (2018) Loss of Tumor Suppressor Gene Function in Human Cancer: An Overview. Cell Physiol Biochem 51(6):2647-2693. [PMID:30562755]</w:t>
      </w:r>
    </w:p>
    <w:p w14:paraId="4FC4538A"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 Oren,V Rotter (1999) Introduction: p53--the first twenty years. Cell Mol Life Sci 55(1):9-11. [PMID:10065147]</w:t>
      </w:r>
    </w:p>
    <w:p w14:paraId="39C5B198"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William A Freed-Pastor,Carol Prives (2012) Mutant p53: one name, many proteins. Genes Dev 26(12):1268-86. [PMID:22713868]</w:t>
      </w:r>
    </w:p>
    <w:p w14:paraId="703AF39A"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Shunsuke Kato,Shuang-Yin Han,Wen Liu,et al. (2003) Understanding the function-structure and function-mutation relationships of p53 tumor suppressor protein by high-resolution missense mutation analysis. Proc Natl Acad Sci U S A 100(14):8424-9. [PMID:12826609]</w:t>
      </w:r>
    </w:p>
    <w:p w14:paraId="20A03D8E"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Eran Kotler,Odem Shani,Guy Goldfeld,et al. (2018) A Systematic p53 Mutation Library Links Differential Functional Impact to Cancer Mutation Pattern and Evolutionary Conservation. Mol Cell 71(1):178-190.e8. [PMID:29979965]</w:t>
      </w:r>
    </w:p>
    <w:p w14:paraId="3E662590"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Andrew O Giacomelli,Xiaoping Yang,Robert E Lintner,et al. (2018) Mutational processes shape the landscape of TP53 mutations in human cancer. Nat Genet 50(10):1381-1387. [PMID:30224644]</w:t>
      </w:r>
    </w:p>
    <w:p w14:paraId="6FBBC8E5"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Amit M Oza,Maria Estevez-Diz,Eva-Maria Grischke,et al. (2020) A Biomarker-enriched, Randomized Phase II Trial of Adavosertib (AZD1775) Plus Paclitaxel and Carboplatin for Women with Platinum-sensitive. Clin Cancer Res 26(18):4767-4776. [PMID:32611648]</w:t>
      </w:r>
    </w:p>
    <w:p w14:paraId="1216F341"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Thomas Cluzeau,Marie Sebert,Ramy Rahmé,et al. (2021) Eprenetapopt Plus Azacitidine in. J Clin Oncol 39(14):1575-1583. [PMID:33600210]</w:t>
      </w:r>
    </w:p>
    <w:p w14:paraId="157EB40C"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Alaa Embaby,Joachim Kutzera,Jill J Geenen,et al.  WEE1 inhibitor adavosertib in combination with carboplatin in advanced TP53 mutated ovarian cancer: A biomarker-enriched phase II study. Gynecol Oncol  [PMID:37236033]</w:t>
      </w:r>
    </w:p>
    <w:p w14:paraId="38CDE303"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S Fu,M M Hou,A Naing,et al. (2015) Phase I study of pazopanib and vorinostat: a therapeutic approach for inhibiting mutant p53-mediated angiogenesis and facilitating mutant p53 degradation. Ann Oncol 26(5):1012-1018. [PMID:25669829]</w:t>
      </w:r>
    </w:p>
    <w:p w14:paraId="4D8ABBD6"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Matteo Canale,Elisabetta Petracci,Angelo Delmonte,et al. (2017) Impact of TP53 Mutations on Outcome in EGFR -Mutated Patients Treated with First-Line Tyrosine Kinase Inhibitors. Clin Cancer Res 23(9):2195-2202. [PMID:27780855]</w:t>
      </w:r>
    </w:p>
    <w:p w14:paraId="5E54E119"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Dara L Aisner#,Lynette M Sholl#,Lynne D Berry#,et al. (2018) The Impact of Smoking and TP53 Mutations in Lung Adenocarcinoma Patients with Targetable Mutations-The Lung Cancer Mutation Consortium (LCMC2). Clin Cancer Res 24(5):1038-1047. [PMID:29217530]</w:t>
      </w:r>
    </w:p>
    <w:p w14:paraId="794C6C8C"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Xiang-Meng Li,Wen-Feng Li,Jun-Tao Lin,et al. (2021) Predictive and Prognostic Potential of TP53 in Patients With Advanced Non-Small-Cell Lung Cancer Treated With EGFR-TKI: Analysis of a Phase III Randomized Clinical Trial (CTONG 0901). Clin Lung Cancer 22(2):100-109.e3. [PMID:33317922]</w:t>
      </w:r>
    </w:p>
    <w:p w14:paraId="03ED295B"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Suzanne Leijen,Robin M J M van Geel,Anna C Pavlick,et al. (2016) Phase I Study Evaluating WEE1 Inhibitor AZD1775 As Monotherapy and in Combination With Gemcitabine, Cisplatin, or Carboplatin in Patients With Advanced Solid Tumors. J Clin Oncol 34(36):4371-4380. [PMID:27601554]</w:t>
      </w:r>
    </w:p>
    <w:p w14:paraId="3C582A27" w14:textId="77777777" w:rsidR="00256464" w:rsidRDefault="00000000">
      <w:pPr>
        <w:pStyle w:val="af5"/>
        <w:numPr>
          <w:ilvl w:val="3"/>
          <w:numId w:val="6"/>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Kai Shang#,Hongxiang Huang#,Yongkang Xu,et al. (2022) Efficacy and safety analyses of epidermal growth factor receptor tyrosine kinase inhibitors combined with chemotherapy in the treatment of advanced non-small-cell lung cancer with an EGFR/TP53 co-mutation. BMC Cancer 22(1):1295. [PMID:36503478]</w:t>
      </w:r>
    </w:p>
    <w:p w14:paraId="1D55E673" w14:textId="77777777" w:rsidR="00256464" w:rsidRDefault="00000000">
      <w:pPr>
        <w:rPr>
          <w:rFonts w:ascii="思源黑体 CN Light" w:eastAsia="思源黑体 CN Light" w:hAnsi="思源黑体 CN Light" w:hint="eastAsia"/>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6464" w14:paraId="702DDAF0" w14:textId="77777777">
        <w:tc>
          <w:tcPr>
            <w:tcW w:w="4815" w:type="dxa"/>
          </w:tcPr>
          <w:bookmarkStart w:id="13" w:name="_Toc41567102"/>
          <w:bookmarkStart w:id="14" w:name="_Toc41566828"/>
          <w:bookmarkStart w:id="15" w:name="_Toc41567074"/>
          <w:p w14:paraId="037679CF" w14:textId="77777777" w:rsidR="00256464" w:rsidRDefault="00000000">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0192F0B6" wp14:editId="7D2935B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732BBE3B" w14:textId="77777777" w:rsidR="00256464" w:rsidRDefault="0000000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30FF28F1" wp14:editId="47D27B0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A350C9E"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bookmarkStart w:id="16" w:name="_Hlk92455027"/>
      <w:bookmarkStart w:id="17" w:name="_Hlk51703294"/>
      <w:bookmarkEnd w:id="13"/>
      <w:bookmarkEnd w:id="14"/>
      <w:bookmarkEnd w:id="15"/>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256464" w14:paraId="49EB97D9" w14:textId="77777777" w:rsidTr="00256464">
        <w:trPr>
          <w:cnfStyle w:val="100000000000" w:firstRow="1" w:lastRow="0" w:firstColumn="0" w:lastColumn="0" w:oddVBand="0" w:evenVBand="0" w:oddHBand="0" w:evenHBand="0" w:firstRowFirstColumn="0" w:firstRowLastColumn="0" w:lastRowFirstColumn="0" w:lastRowLastColumn="0"/>
          <w:trHeight w:val="454"/>
        </w:trPr>
        <w:tc>
          <w:tcPr>
            <w:tcW w:w="2263" w:type="dxa"/>
            <w:tcBorders>
              <w:right w:val="single" w:sz="4" w:space="0" w:color="FFFFFF"/>
            </w:tcBorders>
          </w:tcPr>
          <w:p w14:paraId="5031E4BC" w14:textId="77777777" w:rsidR="00256464" w:rsidRDefault="00000000">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Borders>
              <w:right w:val="single" w:sz="4" w:space="0" w:color="FFFFFF"/>
            </w:tcBorders>
          </w:tcPr>
          <w:p w14:paraId="2520EA3F" w14:textId="77777777" w:rsidR="00256464" w:rsidRDefault="0000000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AC74694" w14:textId="77777777" w:rsidR="00256464" w:rsidRDefault="0000000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256464" w14:paraId="13E6E69E" w14:textId="77777777" w:rsidTr="00256464">
        <w:trPr>
          <w:trHeight w:val="397"/>
        </w:trPr>
        <w:tc>
          <w:tcPr>
            <w:tcW w:w="2263" w:type="dxa"/>
          </w:tcPr>
          <w:p w14:paraId="6E2D31E0" w14:textId="77777777" w:rsidR="00256464" w:rsidRDefault="00000000">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CDKN2A</w:t>
            </w:r>
          </w:p>
        </w:tc>
        <w:tc>
          <w:tcPr>
            <w:tcW w:w="2410" w:type="dxa"/>
          </w:tcPr>
          <w:p w14:paraId="56DF5A9B" w14:textId="77777777" w:rsidR="00256464"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阳性</w:t>
            </w:r>
          </w:p>
        </w:tc>
        <w:tc>
          <w:tcPr>
            <w:tcW w:w="5669" w:type="dxa"/>
          </w:tcPr>
          <w:p w14:paraId="51A3CC71"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WholeGene，NM_000077.5</w:t>
            </w:r>
          </w:p>
        </w:tc>
      </w:tr>
      <w:tr w:rsidR="00256464" w14:paraId="4CE04253" w14:textId="77777777" w:rsidTr="00256464">
        <w:trPr>
          <w:trHeight w:val="397"/>
        </w:trPr>
        <w:tc>
          <w:tcPr>
            <w:tcW w:w="2263" w:type="dxa"/>
          </w:tcPr>
          <w:p w14:paraId="1C29ED87" w14:textId="77777777" w:rsidR="00256464" w:rsidRDefault="00000000">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CDKN2B</w:t>
            </w:r>
          </w:p>
        </w:tc>
        <w:tc>
          <w:tcPr>
            <w:tcW w:w="2410" w:type="dxa"/>
          </w:tcPr>
          <w:p w14:paraId="0F8A1B61" w14:textId="77777777" w:rsidR="00256464"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阳性</w:t>
            </w:r>
          </w:p>
        </w:tc>
        <w:tc>
          <w:tcPr>
            <w:tcW w:w="5669" w:type="dxa"/>
          </w:tcPr>
          <w:p w14:paraId="404908B8"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WholeGene，NM_004936.4</w:t>
            </w:r>
          </w:p>
        </w:tc>
      </w:tr>
      <w:tr w:rsidR="00256464" w14:paraId="22FDBD2B" w14:textId="77777777" w:rsidTr="00256464">
        <w:trPr>
          <w:trHeight w:val="397"/>
        </w:trPr>
        <w:tc>
          <w:tcPr>
            <w:tcW w:w="2263" w:type="dxa"/>
          </w:tcPr>
          <w:p w14:paraId="525D4EEE" w14:textId="77777777" w:rsidR="00256464" w:rsidRDefault="00000000">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MTAP</w:t>
            </w:r>
          </w:p>
        </w:tc>
        <w:tc>
          <w:tcPr>
            <w:tcW w:w="2410" w:type="dxa"/>
          </w:tcPr>
          <w:p w14:paraId="60A9E610" w14:textId="77777777" w:rsidR="00256464" w:rsidRDefault="0000000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阳性</w:t>
            </w:r>
          </w:p>
        </w:tc>
        <w:tc>
          <w:tcPr>
            <w:tcW w:w="5669" w:type="dxa"/>
          </w:tcPr>
          <w:p w14:paraId="70EBD956" w14:textId="77777777" w:rsidR="00256464" w:rsidRDefault="0000000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WholeGene，NM_002451.4</w:t>
            </w:r>
          </w:p>
        </w:tc>
      </w:tr>
    </w:tbl>
    <w:p w14:paraId="7B4ED716" w14:textId="77777777" w:rsidR="00256464" w:rsidRDefault="0000000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9E573D" w14:textId="77777777" w:rsidR="00256464" w:rsidRDefault="00000000">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47857688" w14:textId="77777777" w:rsidR="00256464" w:rsidRDefault="00000000">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66212229" w14:textId="77777777" w:rsidR="00256464" w:rsidRDefault="00256464"/>
    <w:p w14:paraId="2028682C" w14:textId="77777777" w:rsidR="00256464" w:rsidRDefault="00000000">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256464" w14:paraId="7BF239F5"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9311B54" w14:textId="77777777" w:rsidR="00256464" w:rsidRDefault="00000000">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256464" w14:paraId="77A7CBBF"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661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5B25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7C18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7E634" w14:textId="77777777" w:rsidR="00256464" w:rsidRDefault="00000000">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57D73F6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覆盖范围</w:t>
            </w:r>
          </w:p>
        </w:tc>
      </w:tr>
      <w:tr w:rsidR="00256464" w14:paraId="53EC9C9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0583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8543A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1E38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31F0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AB0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34F068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FD54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6E4B8E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6B9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680A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309E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256464" w14:paraId="3F2C79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E587B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95089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78C2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7B0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7322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256464" w14:paraId="0EF5E87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32BB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3F930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961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CBE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46C9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56464" w14:paraId="022A19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5005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49F56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818F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22CB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3B68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256464" w14:paraId="75D09C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1FEB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A5420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3774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2AC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33E7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256464" w14:paraId="34A62C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552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A26E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34D2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4885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F7F5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56464" w14:paraId="3078B5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4999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85E15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2C77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BA3B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4316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56464" w14:paraId="112351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E5603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A7CBC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28A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D2F8B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B76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256464" w14:paraId="739061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42F5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C8704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70CB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F643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400D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256464" w14:paraId="4BFF9A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FE93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BC4F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02BD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FD25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4522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256464" w14:paraId="4DD8F3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BAF6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52D5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8D5B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BC46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A144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256464" w14:paraId="34CA78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F1EE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051D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F7B9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63B2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94B4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256464" w14:paraId="243E97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7FA02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30A7D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4374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A6E6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A085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256464" w14:paraId="1B3A9B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4BFD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0634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CD81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B6AA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8A47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256464" w14:paraId="0B152D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60433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FECF4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3734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AF88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D760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256464" w14:paraId="2B8848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1599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771E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9F95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F8EF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D80F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56464" w14:paraId="77B110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5D19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5D66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ED26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BBBD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15CC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56464" w14:paraId="46DDA37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3AE7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7E43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AF08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AC0D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3CDD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256464" w14:paraId="5F757C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5536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CF58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3F97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E1C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0D0C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56464" w14:paraId="7BC64F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29415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D21B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250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1B53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2C1E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256464" w14:paraId="6CA876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9A59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832E8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C0D1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F106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64D8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256464" w14:paraId="440062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DACDE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192C2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F678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26E1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66B5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256464" w14:paraId="065B8D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C862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1475C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6BEF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9C13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5EB2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56464" w14:paraId="0406CF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0753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E5C6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AF06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635E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E35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56464" w14:paraId="069EBF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50E05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BBCB0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8A4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B249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6F3A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256464" w14:paraId="375411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3530D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FE18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CCD9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70A8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57C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256464" w14:paraId="4AC1BC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F171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64CCB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DF3F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493F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D00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61B52E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A721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8840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DAA9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5C5C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1779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56464" w14:paraId="46B209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B292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6C54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69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A17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0A5B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56464" w14:paraId="382BBC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1E59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2612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6A41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D298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3D71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56464" w14:paraId="5D8957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E24C4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515E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573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FA40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AFC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256464" w14:paraId="5A3060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E9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46FF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7E6D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FA2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854F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56464" w14:paraId="03DDADF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310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07CF9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4116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D4B3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AE4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56464" w14:paraId="365034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77B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F372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316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3BBD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ACD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56464" w14:paraId="5A889F7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F2022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A514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D4EA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F8DD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294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256464" w14:paraId="153A647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5A289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D30D1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9A0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2F0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7606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256464" w14:paraId="5CABB9A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C747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D715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11A2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508F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5813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256464" w14:paraId="2E7966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E3A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C6E8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9185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8BA7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766A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256464" w14:paraId="5EC4DA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E8DA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6C0B6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DD41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F7D1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F1EF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256464" w14:paraId="792540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4C8C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633E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13F8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F74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934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256464" w14:paraId="3CE74C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15434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2B74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D4F3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4F4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C5234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256464" w14:paraId="56F1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6753A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12F8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8D2D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D4D8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53D6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56464" w14:paraId="3E7B6E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EF06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9366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99E0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F85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6B50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256464" w14:paraId="1D7932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488E9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91F5E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3F66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103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741E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66386B4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256464" w14:paraId="25AAED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9DD2E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10D9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2FE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1818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3A19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256464" w14:paraId="6739C3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664AE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55308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2868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EBAD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2718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56464" w14:paraId="5A79B50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28F7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16A6D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C55F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9900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682E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08491A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21F1A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185E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A41F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154C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F45E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256464" w14:paraId="173770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489F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7EEFB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E8DC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2E14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8C7D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256464" w14:paraId="7FCB24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97F9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CFFA2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B81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9D0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975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256464" w14:paraId="77CCB2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4701E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20E75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57C8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3681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A5A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256464" w14:paraId="7CAF99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EC356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C995A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EC3F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1CB1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8960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56464" w14:paraId="2557C0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1544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B464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37F2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132C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6376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56464" w14:paraId="774A026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3AD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D9A17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3CB6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F670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0DA0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256464" w14:paraId="00C153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4A456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54D46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68E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D43D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06E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256464" w14:paraId="2DCE83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B70C9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A27B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355D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FEE3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1C1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256464" w14:paraId="7170CE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92C8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2A582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514A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5485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61C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56464" w14:paraId="28E2A47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D784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1D090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F157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79FF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FCA5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56464" w14:paraId="115A34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BD4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94BAB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CE7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A9E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55CE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256464" w14:paraId="25A98C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84FF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1AC8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5589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3871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37EF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6C8532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B8B9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A68FE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2A0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7D5E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537A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256464" w14:paraId="689465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6863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B7BD4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529B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DC13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A719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256464" w14:paraId="3EC5A19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C44D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93BE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CD4C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CB74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13D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256464" w14:paraId="193097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4846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7605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8DBE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8FA2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227E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256464" w14:paraId="24F3369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334B5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DD8B1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DC66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1171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0882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56464" w14:paraId="08D31D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278E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5104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E763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B0B6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24BC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256464" w14:paraId="3CA356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5D7F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A734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510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1A60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ACDB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56464" w14:paraId="4F424E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8599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29BB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CF1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D5DE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8723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256464" w14:paraId="52B32C9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D59F0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2D53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A7A9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EDED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8612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12492E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C1A10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4A4D2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F787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D1A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97BA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56464" w14:paraId="336BE4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9166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8C93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BD32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0D51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B9D3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4308F2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5587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C0D24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F0AC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EA96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688B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56464" w14:paraId="7D068D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5021D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2E0BE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C0AA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202D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4895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56464" w14:paraId="18585B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5037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47F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D20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F794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CD3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56464" w14:paraId="77B24B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892C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4CEB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C03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6B8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1A1A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56464" w14:paraId="19E52C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014F1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44741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6291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31A9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F03E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256464" w14:paraId="435CAD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BA45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3C851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A4A8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C7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3A5C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256464" w14:paraId="792732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871C4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54A89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43F5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E8C9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4B8E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256464" w14:paraId="740F24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D44F4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2B6E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FA0D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A720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4940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56464" w14:paraId="6549D2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05E9D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7749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11FF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3654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0160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256464" w14:paraId="34192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AB38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66D6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0FF21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654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4F35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256464" w14:paraId="6199D3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4779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C8BE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F478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6D0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F06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56464" w14:paraId="2835C5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50CF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10907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217E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C56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30B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56464" w14:paraId="461159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36D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DB0A4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F48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7ECC1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9208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56464" w14:paraId="6B165C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AD15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CC72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FE10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8B18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FFFD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256464" w14:paraId="26B60D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A32F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2E04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247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45847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3B9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256464" w14:paraId="1C9018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CA50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2D2E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2DDC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370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FBF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56464" w14:paraId="54FABE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167C5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D46A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CA3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B30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7649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56464" w14:paraId="3EBD35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A310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186CE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6C81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05E81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6029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56464" w14:paraId="0EBF0F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B41B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FAB4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9A02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0B85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D2E8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256464" w14:paraId="0BE145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C03B7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52C4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6B8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AA5D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8E3A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256464" w14:paraId="054DBF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9A09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D2659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F6C0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0282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31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256464" w14:paraId="735632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4972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6961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9E18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DCFB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6408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256464" w14:paraId="1E0F42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BCF2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6309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286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ACCB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CDC6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256464" w14:paraId="37AAE7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192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B918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A05B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AF1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FFDD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256464" w14:paraId="2D5892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E0EA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5292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D37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5B10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5653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256464" w14:paraId="2F27259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F0503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1033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58DF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9BB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6AAE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256464" w14:paraId="1B25BA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A5BF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5E71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FE1F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DB41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21ED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256464" w14:paraId="069090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95A6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DB2F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017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F654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D401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56464" w14:paraId="5FA9C8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0249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8B40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E940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0DE0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383F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256464" w14:paraId="6A6A2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03ED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8A3E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4221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DACE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E986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56464" w14:paraId="11AEA1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ABF1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BA73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AD7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180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179E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56464" w14:paraId="50E383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585E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DE2E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598F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B3E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9F33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06C5A6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02AE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EA161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F339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B3E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C318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256464" w14:paraId="675D4B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599F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F7AD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9084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ED0F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3CA1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256464" w14:paraId="11515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935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C559D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D9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06E1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D96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256464" w14:paraId="5BB9B5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5C1A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23F5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4BE3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A3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3066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256464" w14:paraId="02558C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5A55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54649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34C5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3B55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9DF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56464" w14:paraId="656860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93C4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AC50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5FF8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8B14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6362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56464" w14:paraId="6DC65E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BD13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77339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3935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8DFE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3671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256464" w14:paraId="2EAA1D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DA43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31BAC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84F2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18C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CD02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56464" w14:paraId="5393AE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857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1FFC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F32B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8874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0FE9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56464" w14:paraId="74E21A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AAFD2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DFA4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7A2C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D7BF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9CFB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256464" w14:paraId="4A5467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2C53B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37FF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04E2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386A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0EBD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56464" w14:paraId="0F071B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8166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01F1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5C5F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8844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8433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62E1CF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24F4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74AE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1550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8214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2311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256464" w14:paraId="55C106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E6A3D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80E8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1227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3DA2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55A2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56464" w14:paraId="41A3BB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15A0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74F6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F73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2AA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CA00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256464" w14:paraId="03B92D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5570D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D7736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2005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3FAF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FF57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56464" w14:paraId="2B77BE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21C9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EE68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DB83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09ED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9C8C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56464" w14:paraId="3E366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E54F8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8294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3AC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FAC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75C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22A9C2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DBB04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07265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652B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0D7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A339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56464" w14:paraId="1BF310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8A85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F99C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C392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91AF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BECA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256464" w14:paraId="33A2DF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9D0D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D4DC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E83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3DAA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8A1C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256464" w14:paraId="185355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9EDE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D82BD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6425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C447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B9E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256464" w14:paraId="1BF63D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F5458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8250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15C1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A7341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791E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256464" w14:paraId="1D4BC4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A140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FF29B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FE46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B74C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CDB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256464" w14:paraId="7AE892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9CF9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D0A6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5D12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507E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C064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00A886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DD8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A77F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8CBC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E0F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CA7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256464" w14:paraId="0259EC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C349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9594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2930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EF05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65AE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256464" w14:paraId="14B86C7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732A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C0096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60DE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16F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6CE6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56464" w14:paraId="07A0C1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266D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8E29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8E41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32A2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53EA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256464" w14:paraId="2D16572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2776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1C037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E8E0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C79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C59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56464" w14:paraId="68E839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19A55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7F8D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1C62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B26E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10F6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256464" w14:paraId="668330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4A3F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33A0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6360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44EF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17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256464" w14:paraId="3D3560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D9CF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FC609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565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951B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1CA9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256464" w14:paraId="457E95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280C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26FE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C2AE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6403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AAA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256464" w14:paraId="35A298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398D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ED2DAA"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DA2E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06BF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9AA2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256464" w14:paraId="7F1716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9A9E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7B3E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E36A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2AC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B5CE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741957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D95C9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2231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8E41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37C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C508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256464" w14:paraId="31801AC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3BE66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022C2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3780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08B6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170C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56464" w14:paraId="033320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90C6C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274CE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677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39AB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2521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0B0E87B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81353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4A61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519B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8A5B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A8A0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56464" w14:paraId="1C4DB6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78390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317C3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6BC3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E93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9A7F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256464" w14:paraId="7B1DAD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C4B9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BB69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8B29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9499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8F8C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256464" w14:paraId="4E73C79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8BABB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46777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326F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9C34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5E29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256464" w14:paraId="5250A6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D309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EF6C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E719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9396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CD69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256464" w14:paraId="055F545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DD2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5C100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0DB5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BE59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46A5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256464" w14:paraId="1DE215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30F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E5A9E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453B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D82C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F0C9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256464" w14:paraId="471711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6897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B5024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572C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00D7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230C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r>
      <w:tr w:rsidR="00256464" w14:paraId="435F62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66DD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076F3"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FF15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A5EC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2359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56464" w14:paraId="6229D3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68DF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C16EA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0189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D7EE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B2AE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256464" w14:paraId="63F9CC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06C3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4720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6DCF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D86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4129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256464" w14:paraId="31BDB2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337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702BE"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11AC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DFF5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A8B4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256464" w14:paraId="250BBC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8523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A7DA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3733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8E9D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0A30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256464" w14:paraId="43C690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3B387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F0ED1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55D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BE17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483F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256464" w14:paraId="2588F5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03FB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9D3C9"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E7A3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48D8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5D77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256464" w14:paraId="5EEA92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002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D2106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6AF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3B77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1FE0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256464" w14:paraId="311DCF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9A77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9A67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40C3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5132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CF7D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51DA41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7B2E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56D33C"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268A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6CAC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E1FE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256464" w14:paraId="2169CA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AC7A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A525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4E8E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7F34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DEE3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256464" w14:paraId="1AB25F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A5F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4720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7EAE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AC69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1EE5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256464" w14:paraId="62F02A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B179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440C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7404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ADAF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ED50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56464" w14:paraId="173175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A943A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4BEE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B581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027F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A7AB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256464" w14:paraId="09C9B1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7F08F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89B4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52E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D26A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BB1A9B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256464" w14:paraId="58987F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2765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A2AC0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DE91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34C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078D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256464" w14:paraId="76A2B90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56044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FE03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909D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AC2D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0734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256464" w14:paraId="7C50D3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A19D7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lastRenderedPageBreak/>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26FD6"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958E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39E6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0E07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56464" w14:paraId="06BD38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D5A3D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FC0D41"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56AC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D369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34B5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256464" w14:paraId="76DEA3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39945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4FFC0B4B"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A1F9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B2B3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6AA4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256464" w14:paraId="57264C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E088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D9C0A4"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3C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864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9D8F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256464" w14:paraId="7F4F50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2E97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ED2DE22"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093D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4A8F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33AB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56464" w14:paraId="379820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DB7A4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FADDF"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E0BF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D04C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D133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56464" w14:paraId="5AA2A5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ABC8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F492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558C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B58F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15FB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CA9C4E4" w14:textId="77777777" w:rsidR="00256464" w:rsidRDefault="00256464">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256464" w14:paraId="171FBD53"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7F32D5B" w14:textId="77777777" w:rsidR="00256464" w:rsidRDefault="00000000">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256464" w14:paraId="416E658C"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AED4A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920A05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B3569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0D8872" w14:textId="77777777" w:rsidR="00256464" w:rsidRDefault="00000000">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2C3829A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01A1990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F79247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5579EC6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256464" w14:paraId="7B4C0D8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3A8A4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D74DD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9D0E8B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7DCC7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B19CC5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27C12104"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71C50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543E764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7FA4BB2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B0EE4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1B21700"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29227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D1CAD7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50376D7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96F7A1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44ACD5D2"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3593BC1F"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1EDDAA1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AC31A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FA1BA8"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03A7D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4BAD1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83C3A2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9909C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6BD85C6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665D283D"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0DAFBFD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D4015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844222D"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DFDB5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EE348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2FBE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766E8B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9C058"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3554B4FB"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7221C5E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5ED5CC"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3CCC47"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75791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B425A7"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9154285"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A5D3C3"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7B9CBD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3DCCBAA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29B6467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B206F6"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C1CF55" w14:textId="77777777" w:rsidR="00256464" w:rsidRDefault="00000000">
            <w:pPr>
              <w:widowControl/>
              <w:spacing w:line="240" w:lineRule="exact"/>
              <w:jc w:val="center"/>
              <w:textAlignment w:val="center"/>
              <w:rPr>
                <w:rFonts w:ascii="思源黑体 CN Bold" w:eastAsia="思源黑体 CN Bold" w:hAnsi="思源黑体 CN Bold" w:hint="eastAsia"/>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3B99B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83DC6A"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ABA26E"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7833139"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3F043AB0"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204C49C1" w14:textId="77777777" w:rsidR="00256464" w:rsidRDefault="00000000">
            <w:pPr>
              <w:widowControl/>
              <w:spacing w:line="240" w:lineRule="exact"/>
              <w:jc w:val="center"/>
              <w:textAlignment w:val="center"/>
              <w:rPr>
                <w:rFonts w:ascii="思源黑体 CN Bold" w:eastAsia="思源黑体 CN Bold" w:hAnsi="思源黑体 CN Bold" w:hint="eastAsia"/>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56464" w14:paraId="2E73CB1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B9CC1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D6B90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84863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1D31C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0AF18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6DFDB1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4E523E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559E216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076CB55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42784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0C6C7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A91D8A"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DF25F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4BFCDE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D4B86C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357DD13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36D0E84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2C2C29C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752BC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A1E8B4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0D2E06A"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F81B6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3EF5B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364232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3A63EB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4BC0529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5448739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4B1AA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D4B037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D1A56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C450B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58671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A771666"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25A3205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E1DB227"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7D4EA78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8801C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BA4FB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921B7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339BB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E970E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09D3B6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4AFC2D4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47615D8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179DEC4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7D3CC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90B52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83128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96AB21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3DF4AA"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CE00A54"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9F919E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046451A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61A66F2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7E53D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3E04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9F2CC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8692B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5B7FD4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E7B80F9"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30FD2E9"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611AF14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416F2B1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0326E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F734F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B6EC06"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89804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B761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ABF319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3DD6B6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206E458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56464" w14:paraId="2EA5656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D49DF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7BC142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55EABD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F3E28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46131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5956F5C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81EC0E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EDA7ACA"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56464" w14:paraId="0E4EF9A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A2F3DD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632CE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BE79A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4EC0E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4C57A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DCAAE47"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38CBE20"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9668D7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56464" w14:paraId="5BEE815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CB940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AFB3BD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32A84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6D8B9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13916"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047C5E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C80F32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9FC379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56464" w14:paraId="77A2C4C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E4B17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78C0F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8F163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55654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1B07F8"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90D9155"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588D345B"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C1E7607"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56464" w14:paraId="35897DB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6314A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61B295A"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0E1266"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E4AF71"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12B5A77"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73A6DF6"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7992B0C"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A151313"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56464" w14:paraId="55393CC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A8D00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42D5F2"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16808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4E80A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AB7CC9"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2DDF023D"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5F65A21E"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9094F6F" w14:textId="77777777" w:rsidR="00256464" w:rsidRDefault="00000000">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7"/>
    </w:tbl>
    <w:p w14:paraId="0FDE5865" w14:textId="77777777" w:rsidR="00256464" w:rsidRDefault="00256464">
      <w:pPr>
        <w:widowControl/>
        <w:jc w:val="left"/>
        <w:rPr>
          <w:rFonts w:ascii="微软雅黑" w:eastAsia="微软雅黑" w:hAnsi="微软雅黑" w:hint="eastAsia"/>
          <w:b/>
          <w:bCs/>
          <w:color w:val="1E7648"/>
          <w:sz w:val="18"/>
          <w:szCs w:val="18"/>
        </w:rPr>
      </w:pPr>
    </w:p>
    <w:sectPr w:rsidR="00256464">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030A" w14:textId="77777777" w:rsidR="007B7F5F" w:rsidRDefault="007B7F5F">
      <w:r>
        <w:separator/>
      </w:r>
    </w:p>
  </w:endnote>
  <w:endnote w:type="continuationSeparator" w:id="0">
    <w:p w14:paraId="58ACA069" w14:textId="77777777" w:rsidR="007B7F5F" w:rsidRDefault="007B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1529144" w14:textId="4F26DDF0" w:rsidR="00256464" w:rsidRDefault="00000000">
                        <w:pPr>
                          <w:pStyle w:val="a9"/>
                          <w:pBdr>
                            <w:top w:val="single" w:sz="4" w:space="0" w:color="D9D9D9" w:themeColor="background1" w:themeShade="D9"/>
                          </w:pBdr>
                          <w:ind w:right="180"/>
                          <w:jc w:val="right"/>
                          <w:rPr>
                            <w:rFonts w:ascii="思源黑体 CN Light" w:eastAsia="思源黑体 CN Light" w:hAnsi="思源黑体 CN Light" w:hint="eastAsia"/>
                            <w:b/>
                            <w:bCs/>
                          </w:rPr>
                        </w:pPr>
                        <w:r>
                          <w:rPr>
                            <w:rFonts w:ascii="思源黑体 CN Light" w:eastAsia="思源黑体 CN Light" w:hAnsi="思源黑体 CN Light"/>
                            <w:sz w:val="15"/>
                            <w:szCs w:val="15"/>
                          </w:rPr>
                          <w:tab/>
                          <w:t xml:space="preserve">    </w:t>
                        </w:r>
                        <w:r>
                          <w:rPr>
                            <w:rFonts w:ascii="思源黑体 CN Light" w:eastAsia="思源黑体 CN Light" w:hAnsi="思源黑体 CN Light" w:hint="eastAsia"/>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C5160">
                          <w:rPr>
                            <w:rFonts w:ascii="思源黑体 CN Light" w:eastAsia="思源黑体 CN Light" w:hAnsi="思源黑体 CN Light" w:cs="Arial" w:hint="eastAsia"/>
                            <w:noProof/>
                            <w:color w:val="191919"/>
                            <w:shd w:val="clear" w:color="auto" w:fill="FFFFFF"/>
                          </w:rPr>
                          <w:instrText>44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C5160">
                          <w:rPr>
                            <w:rFonts w:ascii="思源黑体 CN Light" w:eastAsia="思源黑体 CN Light" w:hAnsi="思源黑体 CN Light" w:hint="eastAsia"/>
                            <w:b/>
                            <w:bCs/>
                            <w:noProof/>
                          </w:rPr>
                          <w:t>41</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8B2F5" w14:textId="77777777" w:rsidR="007B7F5F" w:rsidRDefault="007B7F5F">
      <w:r>
        <w:separator/>
      </w:r>
    </w:p>
  </w:footnote>
  <w:footnote w:type="continuationSeparator" w:id="0">
    <w:p w14:paraId="393D815E" w14:textId="77777777" w:rsidR="007B7F5F" w:rsidRDefault="007B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20FE" w14:textId="77777777" w:rsidR="00256464" w:rsidRDefault="00256464">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23BF" w14:textId="77777777" w:rsidR="00256464" w:rsidRDefault="00256464">
    <w:pPr>
      <w:pStyle w:val="ab"/>
      <w:pBdr>
        <w:bottom w:val="single" w:sz="8" w:space="1" w:color="BFBFBF" w:themeColor="background1" w:themeShade="BF"/>
      </w:pBdr>
      <w:wordWrap w:val="0"/>
      <w:rPr>
        <w:rFonts w:ascii="思源黑体 CN Normal" w:eastAsia="思源黑体 CN Normal" w:hAnsi="思源黑体 CN Normal" w:hint="eastAs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6422861">
    <w:abstractNumId w:val="1"/>
  </w:num>
  <w:num w:numId="2" w16cid:durableId="2079590293">
    <w:abstractNumId w:val="3"/>
  </w:num>
  <w:num w:numId="3" w16cid:durableId="690688436">
    <w:abstractNumId w:val="0"/>
  </w:num>
  <w:num w:numId="4" w16cid:durableId="2090155116">
    <w:abstractNumId w:val="4"/>
  </w:num>
  <w:num w:numId="5" w16cid:durableId="1438478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993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FmOTBlYmIwN2Y3MTk3MjZmZTExZTA0NTA0NDg2ZTAifQ=="/>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0EA6"/>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E78CB"/>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3645"/>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4B"/>
    <w:rsid w:val="00255312"/>
    <w:rsid w:val="0025551E"/>
    <w:rsid w:val="00255707"/>
    <w:rsid w:val="00255A9F"/>
    <w:rsid w:val="00256308"/>
    <w:rsid w:val="00256464"/>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B7F5F"/>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80E"/>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16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0E6C"/>
    <w:rsid w:val="00CD206B"/>
    <w:rsid w:val="00CD26A2"/>
    <w:rsid w:val="00CD2CCD"/>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46EB3CE3"/>
    <w:rsid w:val="7C441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FA309D"/>
  <w15:docId w15:val="{2F8531F0-3051-42DA-AB5E-6A0723743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pPr>
      <w:tabs>
        <w:tab w:val="right" w:pos="9600"/>
      </w:tabs>
      <w:spacing w:line="480" w:lineRule="auto"/>
    </w:pPr>
  </w:style>
  <w:style w:type="paragraph" w:styleId="TOC2">
    <w:name w:val="toc 2"/>
    <w:basedOn w:val="a"/>
    <w:next w:val="a"/>
    <w:uiPriority w:val="39"/>
    <w:unhideWhenUsed/>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qFormat/>
    <w:pPr>
      <w:widowControl/>
      <w:ind w:firstLineChars="300" w:firstLine="450"/>
      <w:jc w:val="left"/>
    </w:pPr>
    <w:rPr>
      <w:rFonts w:ascii="Times New Roman" w:eastAsia="宋体" w:hAnsi="Times New Roman" w:cs="Times New Roman"/>
      <w:kern w:val="0"/>
      <w:sz w:val="15"/>
      <w:szCs w:val="15"/>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next w:val="TOC5"/>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Pr>
      <w:rFonts w:ascii="Times New Roman" w:hAnsi="Times New Roman" w:cs="Times New Roman"/>
      <w:sz w:val="32"/>
      <w:szCs w:val="24"/>
    </w:rPr>
  </w:style>
  <w:style w:type="paragraph" w:customStyle="1" w:styleId="EndNoteBibliography">
    <w:name w:val="EndNote Bibliography"/>
    <w:basedOn w:val="a"/>
    <w:link w:val="EndNoteBibliographyChar"/>
    <w:qFormat/>
    <w:pPr>
      <w:jc w:val="center"/>
    </w:pPr>
    <w:rPr>
      <w:rFonts w:ascii="Times New Roman" w:hAnsi="Times New Roman" w:cs="Times New Roman"/>
      <w:sz w:val="32"/>
      <w:szCs w:val="24"/>
    </w:rPr>
  </w:style>
  <w:style w:type="paragraph" w:customStyle="1" w:styleId="msonormal0">
    <w:name w:val="msonormal"/>
    <w:basedOn w:val="a"/>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hidden/>
    <w:uiPriority w:val="99"/>
    <w:semiHidden/>
    <w:qFormat/>
    <w:rPr>
      <w:rFonts w:ascii="Times New Roman" w:eastAsia="宋体" w:hAnsi="Times New Roman" w:cs="Times New Roman"/>
      <w:kern w:val="2"/>
      <w:sz w:val="21"/>
      <w:szCs w:val="24"/>
    </w:rPr>
  </w:style>
  <w:style w:type="paragraph" w:customStyle="1" w:styleId="25">
    <w:name w:val="列出段落2"/>
    <w:basedOn w:val="a"/>
    <w:uiPriority w:val="34"/>
    <w:qFormat/>
    <w:pPr>
      <w:ind w:firstLineChars="200" w:firstLine="420"/>
    </w:pPr>
    <w:rPr>
      <w:rFonts w:ascii="Calibri" w:eastAsia="宋体" w:hAnsi="Calibri" w:cs="Times New Roman"/>
    </w:rPr>
  </w:style>
  <w:style w:type="paragraph" w:customStyle="1" w:styleId="32">
    <w:name w:val="列出段落3"/>
    <w:basedOn w:val="a"/>
    <w:uiPriority w:val="34"/>
    <w:qFormat/>
    <w:pPr>
      <w:ind w:firstLineChars="200" w:firstLine="420"/>
    </w:pPr>
    <w:rPr>
      <w:rFonts w:ascii="Calibri" w:eastAsia="宋体" w:hAnsi="Calibri" w:cs="Times New Roman"/>
    </w:rPr>
  </w:style>
  <w:style w:type="paragraph" w:customStyle="1" w:styleId="16">
    <w:name w:val="列表段落1"/>
    <w:basedOn w:val="a"/>
    <w:next w:val="af5"/>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11912</Words>
  <Characters>67904</Characters>
  <Application>Microsoft Office Word</Application>
  <DocSecurity>0</DocSecurity>
  <Lines>565</Lines>
  <Paragraphs>159</Paragraphs>
  <ScaleCrop>false</ScaleCrop>
  <Company>Microsoft</Company>
  <LinksUpToDate>false</LinksUpToDate>
  <CharactersWithSpaces>79657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4</cp:revision>
  <cp:lastPrinted>2025-12-09T07:37:00Z</cp:lastPrinted>
  <dcterms:created xsi:type="dcterms:W3CDTF">2026-06-02T02:03:00Z</dcterms:created>
  <dcterms:modified xsi:type="dcterms:W3CDTF">2026-06-02T06:47:00Z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A2BA05CD900744BF8FDDA2892AB1F370_12</vt:lpwstr>
  </property>
</Properties>
</file>