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43695BA2" w:rsid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3BED2CEB" w14:textId="5DAE38F2" w:rsidR="00BE43B8" w:rsidRDefault="00BE43B8" w:rsidP="00BE43B8">
      <w:pPr>
        <w:pStyle w:val="a8"/>
        <w:widowControl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该模块用来展示GEP结果</w:t>
      </w:r>
    </w:p>
    <w:p w14:paraId="50D80D82" w14:textId="2FDFD908" w:rsidR="008A38DC" w:rsidRDefault="008A38DC" w:rsidP="00BE43B8">
      <w:pPr>
        <w:pStyle w:val="a8"/>
        <w:widowControl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2024.06.20：非配对的cut-off改为5.14，配对的不变</w:t>
      </w:r>
    </w:p>
    <w:p w14:paraId="3995C8DF" w14:textId="3EA1D5A7" w:rsidR="008C689F" w:rsidRPr="00BE43B8" w:rsidRDefault="008C689F" w:rsidP="00BE43B8">
      <w:pPr>
        <w:pStyle w:val="a8"/>
        <w:widowControl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024.08.28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：配对的cut-off改为5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.14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12C615F" w14:textId="27F59B1A" w:rsidR="008A38DC" w:rsidRPr="000E6D74" w:rsidRDefault="00427F4D" w:rsidP="000E6D74">
      <w:pPr>
        <w:widowControl/>
        <w:jc w:val="left"/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</w:pP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</w:t>
      </w:r>
      <w:r w:rsidRPr="00BA50B4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as</w:t>
      </w:r>
      <w:r w:rsidRPr="00752ED1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e_report.</w:t>
      </w:r>
      <w:r w:rsidR="00752ED1" w:rsidRPr="00752ED1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dyn_1_Overview_Immunity_GEP</w:t>
      </w:r>
      <w:r w:rsidRPr="00752ED1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Pr="00752ED1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type 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== “</w:t>
      </w:r>
      <w:proofErr w:type="gramStart"/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W w:w="5000" w:type="pct"/>
        <w:jc w:val="center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Look w:val="04A0" w:firstRow="1" w:lastRow="0" w:firstColumn="1" w:lastColumn="0" w:noHBand="0" w:noVBand="1"/>
      </w:tblPr>
      <w:tblGrid>
        <w:gridCol w:w="1674"/>
        <w:gridCol w:w="8668"/>
      </w:tblGrid>
      <w:tr w:rsidR="008A38DC" w14:paraId="01F273EE" w14:textId="77777777" w:rsidTr="003B4922">
        <w:trPr>
          <w:trHeight w:val="413"/>
          <w:jc w:val="center"/>
        </w:trPr>
        <w:tc>
          <w:tcPr>
            <w:tcW w:w="10342" w:type="dxa"/>
            <w:gridSpan w:val="2"/>
            <w:tcBorders>
              <w:bottom w:val="single" w:sz="4" w:space="0" w:color="31849B"/>
            </w:tcBorders>
            <w:shd w:val="clear" w:color="auto" w:fill="1E7648"/>
            <w:vAlign w:val="center"/>
          </w:tcPr>
          <w:p w14:paraId="44E0DFB1" w14:textId="77777777" w:rsidR="008A38DC" w:rsidRPr="00FE06CE" w:rsidRDefault="008A38DC" w:rsidP="003B4922">
            <w:pPr>
              <w:adjustRightInd w:val="0"/>
              <w:snapToGrid w:val="0"/>
              <w:ind w:firstLineChars="100" w:firstLine="180"/>
              <w:jc w:val="center"/>
              <w:rPr>
                <w:rFonts w:ascii="宋体" w:eastAsia="宋体" w:hAnsi="宋体" w:cs="宋体"/>
                <w:b/>
                <w:color w:val="31849B"/>
                <w:kern w:val="0"/>
                <w:szCs w:val="20"/>
              </w:rPr>
            </w:pPr>
            <w:r w:rsidRPr="00FE06CE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G</w:t>
            </w:r>
            <w:r w:rsidRPr="00FE06CE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EP</w:t>
            </w:r>
            <w:r w:rsidRPr="00FE06CE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分析</w:t>
            </w:r>
          </w:p>
        </w:tc>
      </w:tr>
      <w:tr w:rsidR="008A38DC" w14:paraId="4950509E" w14:textId="77777777" w:rsidTr="003B4922">
        <w:trPr>
          <w:trHeight w:val="374"/>
          <w:jc w:val="center"/>
        </w:trPr>
        <w:tc>
          <w:tcPr>
            <w:tcW w:w="1674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D5610C8" w14:textId="77777777" w:rsidR="008A38DC" w:rsidRPr="00FE06CE" w:rsidRDefault="008A38DC" w:rsidP="003B49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bCs/>
                <w:color w:val="000000" w:themeColor="text1"/>
                <w:sz w:val="18"/>
                <w:szCs w:val="18"/>
              </w:rPr>
            </w:pPr>
            <w:r w:rsidRPr="00FE06CE">
              <w:rPr>
                <w:rFonts w:ascii="思源黑体 CN Bold" w:eastAsia="思源黑体 CN Bold" w:hAnsi="思源黑体 CN Bold" w:cs="思源黑体 CN Light" w:hint="eastAsia"/>
                <w:b/>
                <w:bCs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8668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79CE9FA6" w14:textId="77777777" w:rsidR="008A38DC" w:rsidRDefault="008A38DC" w:rsidP="003B4922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gep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gep.gep_score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  <w:p w14:paraId="06CF8FBB" w14:textId="293F21EA" w:rsidR="008A38DC" w:rsidRDefault="008A38DC" w:rsidP="003B4922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286DD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GEP分值为{{</w:t>
            </w:r>
            <w:proofErr w:type="spellStart"/>
            <w:r w:rsidRPr="00286DD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gep.gep_score</w:t>
            </w:r>
            <w:proofErr w:type="spellEnd"/>
            <w:r w:rsidRPr="00286DD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 xml:space="preserve">}}，提示对免疫检查点抑制剂治疗的响应概率{%if </w:t>
            </w:r>
            <w:proofErr w:type="spellStart"/>
            <w:r w:rsidRPr="00286DD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gep.gep_score|float</w:t>
            </w:r>
            <w:proofErr w:type="spellEnd"/>
            <w:r w:rsidRPr="00286DD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 xml:space="preserve"> &gt;=</w:t>
            </w:r>
            <w:r w:rsidR="000E6D7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5.14</w:t>
            </w:r>
            <w:r w:rsidRPr="00286DD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%}较高{%else%}较低{%endif%}。</w:t>
            </w:r>
          </w:p>
          <w:p w14:paraId="63C9A61D" w14:textId="77777777" w:rsidR="008A38DC" w:rsidRDefault="008A38DC" w:rsidP="003B4922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%p else%}</w:t>
            </w:r>
          </w:p>
          <w:p w14:paraId="49F694AE" w14:textId="77777777" w:rsidR="008A38DC" w:rsidRPr="003675F4" w:rsidRDefault="008A38DC" w:rsidP="003B4922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Light"/>
                <w:color w:val="FF0000"/>
                <w:sz w:val="17"/>
                <w:szCs w:val="17"/>
              </w:rPr>
            </w:pPr>
            <w:r w:rsidRPr="003675F4">
              <w:rPr>
                <w:rFonts w:ascii="思源黑体 CN Normal" w:eastAsia="思源黑体 CN Normal" w:hAnsi="思源黑体 CN Normal" w:cs="思源黑体 CN Light" w:hint="eastAsia"/>
                <w:color w:val="FF0000"/>
                <w:sz w:val="17"/>
                <w:szCs w:val="17"/>
              </w:rPr>
              <w:t>未提取到GEP分值！</w:t>
            </w:r>
          </w:p>
          <w:p w14:paraId="13B2B181" w14:textId="77777777" w:rsidR="008A38DC" w:rsidRPr="00895F5F" w:rsidRDefault="008A38DC" w:rsidP="003B4922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</w:tc>
      </w:tr>
      <w:tr w:rsidR="008A38DC" w14:paraId="4CCDC897" w14:textId="77777777" w:rsidTr="003B4922">
        <w:trPr>
          <w:trHeight w:val="6393"/>
          <w:jc w:val="center"/>
        </w:trPr>
        <w:tc>
          <w:tcPr>
            <w:tcW w:w="1674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931A46D" w14:textId="77777777" w:rsidR="008A38DC" w:rsidRPr="00FE06CE" w:rsidRDefault="008A38DC" w:rsidP="003B4922">
            <w:pPr>
              <w:adjustRightInd w:val="0"/>
              <w:snapToGrid w:val="0"/>
              <w:jc w:val="left"/>
              <w:rPr>
                <w:rFonts w:ascii="思源黑体 CN Bold" w:eastAsia="思源黑体 CN Bold" w:hAnsi="思源黑体 CN Bold" w:cs="思源黑体 CN Light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707DBA11" w14:textId="77777777" w:rsidR="008A38DC" w:rsidRDefault="008A38DC" w:rsidP="003B49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{%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 xml:space="preserve">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image.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gep</w:t>
            </w:r>
            <w:proofErr w:type="spellEnd"/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%}</w:t>
            </w:r>
          </w:p>
          <w:p w14:paraId="22582187" w14:textId="77777777" w:rsidR="008A38DC" w:rsidRDefault="008A38DC" w:rsidP="003B49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</w:t>
            </w:r>
            <w:proofErr w:type="spellStart"/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image.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gep</w:t>
            </w:r>
            <w:proofErr w:type="spellEnd"/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}}</w:t>
            </w:r>
          </w:p>
          <w:p w14:paraId="2A0AFB8E" w14:textId="77777777" w:rsidR="008A38DC" w:rsidRDefault="008A38DC" w:rsidP="003B49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{%p else%}</w:t>
            </w:r>
          </w:p>
          <w:p w14:paraId="02614351" w14:textId="77777777" w:rsidR="008A38DC" w:rsidRDefault="008A38DC" w:rsidP="003B49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未提取到图片</w:t>
            </w:r>
          </w:p>
          <w:p w14:paraId="68602DE6" w14:textId="77777777" w:rsidR="008A38DC" w:rsidRDefault="008A38DC" w:rsidP="003B49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{%p endif%}</w:t>
            </w:r>
          </w:p>
        </w:tc>
      </w:tr>
      <w:tr w:rsidR="008A38DC" w14:paraId="2022B5B9" w14:textId="77777777" w:rsidTr="003B4922">
        <w:trPr>
          <w:trHeight w:val="558"/>
          <w:jc w:val="center"/>
        </w:trPr>
        <w:tc>
          <w:tcPr>
            <w:tcW w:w="1674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D953940" w14:textId="77777777" w:rsidR="008A38DC" w:rsidRPr="00FE06CE" w:rsidRDefault="008A38DC" w:rsidP="003B49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bCs/>
                <w:color w:val="000000" w:themeColor="text1"/>
                <w:sz w:val="18"/>
                <w:szCs w:val="18"/>
              </w:rPr>
            </w:pPr>
            <w:r w:rsidRPr="00FE06CE">
              <w:rPr>
                <w:rFonts w:ascii="思源黑体 CN Bold" w:eastAsia="思源黑体 CN Bold" w:hAnsi="思源黑体 CN Bold" w:cs="思源黑体 CN Light" w:hint="eastAsia"/>
                <w:b/>
                <w:bCs/>
                <w:color w:val="000000" w:themeColor="text1"/>
                <w:sz w:val="18"/>
                <w:szCs w:val="18"/>
              </w:rPr>
              <w:t>检测意义</w:t>
            </w:r>
          </w:p>
        </w:tc>
        <w:tc>
          <w:tcPr>
            <w:tcW w:w="86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30C21169" w14:textId="77777777" w:rsidR="008A38DC" w:rsidRPr="00895F5F" w:rsidRDefault="008A38DC" w:rsidP="003B4922">
            <w:pPr>
              <w:adjustRightInd w:val="0"/>
              <w:snapToGrid w:val="0"/>
              <w:ind w:firstLineChars="200" w:firstLine="34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来自</w:t>
            </w:r>
            <w:r w:rsidRPr="00895F5F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Ayers et al.</w:t>
            </w:r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的临床研究表明，IFN-γ是癌症和宿主细胞中程序性死亡配体1（PD-L1）表达的关键驱动器，并且基线肿瘤内T细胞浸润可能会提高对抗PD-</w:t>
            </w:r>
            <w:r w:rsidRPr="00895F5F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L</w:t>
            </w:r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1</w:t>
            </w:r>
            <w:r w:rsidRPr="00895F5F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/PD</w:t>
            </w:r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-</w:t>
            </w:r>
            <w:r w:rsidRPr="00895F5F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1</w:t>
            </w:r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抗体的反应可能性。该研究分析了接受</w:t>
            </w:r>
            <w:proofErr w:type="gramStart"/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帕博利珠单</w:t>
            </w:r>
            <w:proofErr w:type="gramEnd"/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抗治疗的9种癌症的220名患者的基线肿瘤样本中RNA基因表达谱（GEP）数据，并根据疗效数据训练模型，确定了基于</w:t>
            </w:r>
            <w:proofErr w:type="gramStart"/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泛瘤种的</w:t>
            </w:r>
            <w:proofErr w:type="gramEnd"/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肿瘤T细胞浸润的GEP模型，并在另一个独立的96例头颈部鳞状细胞癌患者的数据集中进行了验证。该GEP模型包含与抗原呈递、趋化因子表达、细胞毒性活性和适应性免疫抵抗等通路有关的IFN-γ基因集（PMID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: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28650338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，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J Clin Invest. 2017;127(8):2930-2940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）。另一项来自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Cristescu et al.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的研究评估了四项KEYNOTE临床试验中22种肿瘤类型的300例晚期实体瘤和黑色素瘤患者样本中TMB和T细胞浸润的GEP模型共同预测对</w:t>
            </w:r>
            <w:proofErr w:type="gramStart"/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帕博利珠单</w:t>
            </w:r>
            <w:proofErr w:type="gramEnd"/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抗的临床反应的潜力。结果显示TMB和GEP仅表现出轻度的相关性，并在不同KEYNOTE临床数据集中能独立预测</w:t>
            </w:r>
            <w:proofErr w:type="gramStart"/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帕博利珠单</w:t>
            </w:r>
            <w:proofErr w:type="gramEnd"/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抗的药物反应。GEP高+TMB高患者的客观缓解率（O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RR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）最高（37％至57％），GEP高+TMB低患者（12％至35％）和GEP低+TMB高患者（11％至42％）O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RR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中等，而GEP低+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TMB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低患者O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RR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最低（0至9％）。此外，在TMB和GEP含量较高的患者中观察到更长的无进展生存时间（PMID: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</w:t>
            </w:r>
            <w:r w:rsidRPr="000C177C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30309915，</w:t>
            </w:r>
            <w:r w:rsidRPr="000C177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C</w:t>
            </w:r>
            <w:r w:rsidRPr="00895F5F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ristescu et al., Science 362, eaar3593 (2018)</w:t>
            </w:r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）。该分析表明，TMB、GEP和PD-L1表达等标记物可从不同维度分别预测癌症</w:t>
            </w:r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lastRenderedPageBreak/>
              <w:t>患者对</w:t>
            </w:r>
            <w:proofErr w:type="gramStart"/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帕博利珠单</w:t>
            </w:r>
            <w:proofErr w:type="gramEnd"/>
            <w:r w:rsidRPr="00895F5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抗治疗的响应。请结合临床实际情况确定免疫治疗方案。</w:t>
            </w:r>
          </w:p>
        </w:tc>
      </w:tr>
    </w:tbl>
    <w:p w14:paraId="6EA2461B" w14:textId="77777777" w:rsidR="008A38DC" w:rsidRPr="00D358CD" w:rsidRDefault="008A38DC" w:rsidP="008A38DC">
      <w:pP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D358CD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62687A16" w14:textId="3C3F5748" w:rsidR="008A38DC" w:rsidRDefault="008A38DC" w:rsidP="008A38DC">
      <w:pPr>
        <w:ind w:firstLineChars="200" w:firstLine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GEP模型</w:t>
      </w:r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是</w:t>
      </w: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基于</w:t>
      </w:r>
      <w:r w:rsidRPr="00D358CD">
        <w:rPr>
          <w:rFonts w:ascii="思源黑体 CN Normal" w:eastAsia="思源黑体 CN Normal" w:hAnsi="思源黑体 CN Normal"/>
          <w:i/>
          <w:iCs/>
          <w:color w:val="000000" w:themeColor="text1"/>
          <w:sz w:val="16"/>
          <w:szCs w:val="16"/>
        </w:rPr>
        <w:t xml:space="preserve">TIGIT, CD27, CD8A, </w:t>
      </w:r>
      <w:r w:rsidRPr="00D358CD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CD274</w:t>
      </w:r>
      <w:r w:rsidRPr="00D358CD">
        <w:rPr>
          <w:rFonts w:ascii="思源黑体 CN Normal" w:eastAsia="思源黑体 CN Normal" w:hAnsi="思源黑体 CN Normal"/>
          <w:i/>
          <w:iCs/>
          <w:color w:val="000000" w:themeColor="text1"/>
          <w:sz w:val="16"/>
          <w:szCs w:val="16"/>
        </w:rPr>
        <w:t xml:space="preserve">, </w:t>
      </w:r>
      <w:r w:rsidRPr="00D358CD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PDCD1LG2</w:t>
      </w:r>
      <w:r w:rsidRPr="00D358CD">
        <w:rPr>
          <w:rFonts w:ascii="思源黑体 CN Normal" w:eastAsia="思源黑体 CN Normal" w:hAnsi="思源黑体 CN Normal"/>
          <w:i/>
          <w:iCs/>
          <w:color w:val="000000" w:themeColor="text1"/>
          <w:sz w:val="16"/>
          <w:szCs w:val="16"/>
        </w:rPr>
        <w:t>, LAG3, CXCR6, CMKLR1, NKG7, CCL5, PSMB10, IDO1, CXCL9, HLA-DQA1, CD276, STAT1, HLA-DRB1, HLA-E</w:t>
      </w: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18个基因表达谱</w:t>
      </w:r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建立</w:t>
      </w: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，在</w:t>
      </w:r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艾</w:t>
      </w:r>
      <w:proofErr w:type="gramStart"/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德</w:t>
      </w: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内部</w:t>
      </w:r>
      <w:proofErr w:type="gramEnd"/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肺癌免疫</w:t>
      </w:r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检查点抑制剂</w:t>
      </w: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疗效数据集上进行验证，确认cut-off为</w:t>
      </w:r>
      <w:r w:rsidR="000E6D7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5.14</w:t>
      </w: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，GEP分值</w:t>
      </w:r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＜</w:t>
      </w:r>
      <w:r w:rsidR="000E6D7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5.14</w:t>
      </w: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推测对免疫检查点抑制剂</w:t>
      </w:r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治疗</w:t>
      </w:r>
      <w:r w:rsidRPr="00D358C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响应概率较低，反之则较高。</w:t>
      </w:r>
      <w:r w:rsidRPr="00D358C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此模型仍处于临床探索研究阶段，检测结果仅供参考，请结合临床实际情况确定免疫检查点抑制剂治疗方案。</w:t>
      </w:r>
    </w:p>
    <w:p w14:paraId="0CF4C2DC" w14:textId="2C0250EE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34BDE" w14:textId="77777777" w:rsidR="00B254AD" w:rsidRDefault="00B254AD" w:rsidP="00E54B88">
      <w:r>
        <w:separator/>
      </w:r>
    </w:p>
  </w:endnote>
  <w:endnote w:type="continuationSeparator" w:id="0">
    <w:p w14:paraId="7976E209" w14:textId="77777777" w:rsidR="00B254AD" w:rsidRDefault="00B254AD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64426" w14:textId="77777777" w:rsidR="00B254AD" w:rsidRDefault="00B254AD" w:rsidP="00E54B88">
      <w:r>
        <w:separator/>
      </w:r>
    </w:p>
  </w:footnote>
  <w:footnote w:type="continuationSeparator" w:id="0">
    <w:p w14:paraId="4BF3BB3B" w14:textId="77777777" w:rsidR="00B254AD" w:rsidRDefault="00B254AD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3F153E"/>
    <w:multiLevelType w:val="hybridMultilevel"/>
    <w:tmpl w:val="E28E1BA0"/>
    <w:lvl w:ilvl="0" w:tplc="E53840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1FEF"/>
    <w:rsid w:val="000252CB"/>
    <w:rsid w:val="00042C6C"/>
    <w:rsid w:val="000604A5"/>
    <w:rsid w:val="000C28CE"/>
    <w:rsid w:val="000C3E6A"/>
    <w:rsid w:val="000C630B"/>
    <w:rsid w:val="000D1A94"/>
    <w:rsid w:val="000E0628"/>
    <w:rsid w:val="000E6D74"/>
    <w:rsid w:val="0010598B"/>
    <w:rsid w:val="00123AD2"/>
    <w:rsid w:val="001266E7"/>
    <w:rsid w:val="001347B7"/>
    <w:rsid w:val="00154DC9"/>
    <w:rsid w:val="00184F26"/>
    <w:rsid w:val="00190E2B"/>
    <w:rsid w:val="001958E2"/>
    <w:rsid w:val="001B5765"/>
    <w:rsid w:val="002438E2"/>
    <w:rsid w:val="00265E5F"/>
    <w:rsid w:val="00267577"/>
    <w:rsid w:val="002753E3"/>
    <w:rsid w:val="002D7F9E"/>
    <w:rsid w:val="002E32DE"/>
    <w:rsid w:val="00302CAA"/>
    <w:rsid w:val="00344A8E"/>
    <w:rsid w:val="003675F4"/>
    <w:rsid w:val="00373575"/>
    <w:rsid w:val="00384010"/>
    <w:rsid w:val="00390F9F"/>
    <w:rsid w:val="003A0BF7"/>
    <w:rsid w:val="003A7391"/>
    <w:rsid w:val="003B6F96"/>
    <w:rsid w:val="003E50EE"/>
    <w:rsid w:val="00427F4D"/>
    <w:rsid w:val="004851C5"/>
    <w:rsid w:val="0048635A"/>
    <w:rsid w:val="004E7E73"/>
    <w:rsid w:val="004F0503"/>
    <w:rsid w:val="0052625C"/>
    <w:rsid w:val="00562E3B"/>
    <w:rsid w:val="0056600B"/>
    <w:rsid w:val="00582538"/>
    <w:rsid w:val="00592C44"/>
    <w:rsid w:val="00594CFA"/>
    <w:rsid w:val="005B4CCC"/>
    <w:rsid w:val="005E55DA"/>
    <w:rsid w:val="005E72BC"/>
    <w:rsid w:val="00604F44"/>
    <w:rsid w:val="006127E2"/>
    <w:rsid w:val="006472C3"/>
    <w:rsid w:val="00651104"/>
    <w:rsid w:val="00652F02"/>
    <w:rsid w:val="006631EA"/>
    <w:rsid w:val="0069575F"/>
    <w:rsid w:val="006A7CC5"/>
    <w:rsid w:val="006D278B"/>
    <w:rsid w:val="006D2905"/>
    <w:rsid w:val="006F3A53"/>
    <w:rsid w:val="006F3BE2"/>
    <w:rsid w:val="006F6ABF"/>
    <w:rsid w:val="0072425F"/>
    <w:rsid w:val="00737978"/>
    <w:rsid w:val="00750485"/>
    <w:rsid w:val="00752ED1"/>
    <w:rsid w:val="00754402"/>
    <w:rsid w:val="00790F5C"/>
    <w:rsid w:val="007B381F"/>
    <w:rsid w:val="007B6BA6"/>
    <w:rsid w:val="007B7350"/>
    <w:rsid w:val="008214FA"/>
    <w:rsid w:val="00827BE1"/>
    <w:rsid w:val="00845B28"/>
    <w:rsid w:val="0085317D"/>
    <w:rsid w:val="008856BC"/>
    <w:rsid w:val="008A38DC"/>
    <w:rsid w:val="008B255D"/>
    <w:rsid w:val="008C689F"/>
    <w:rsid w:val="008C7FDF"/>
    <w:rsid w:val="008E1A45"/>
    <w:rsid w:val="008F470F"/>
    <w:rsid w:val="009019A6"/>
    <w:rsid w:val="009213AE"/>
    <w:rsid w:val="00982A67"/>
    <w:rsid w:val="009C396D"/>
    <w:rsid w:val="009D34C7"/>
    <w:rsid w:val="00A13079"/>
    <w:rsid w:val="00A162C8"/>
    <w:rsid w:val="00A179F7"/>
    <w:rsid w:val="00A544E4"/>
    <w:rsid w:val="00A940DB"/>
    <w:rsid w:val="00A96377"/>
    <w:rsid w:val="00AA3453"/>
    <w:rsid w:val="00AA47FA"/>
    <w:rsid w:val="00AB3A9E"/>
    <w:rsid w:val="00AB69A3"/>
    <w:rsid w:val="00AC0040"/>
    <w:rsid w:val="00AF5017"/>
    <w:rsid w:val="00B04B47"/>
    <w:rsid w:val="00B254AD"/>
    <w:rsid w:val="00B3508A"/>
    <w:rsid w:val="00B43C44"/>
    <w:rsid w:val="00B82E77"/>
    <w:rsid w:val="00B87FA4"/>
    <w:rsid w:val="00BA50B4"/>
    <w:rsid w:val="00BA76AE"/>
    <w:rsid w:val="00BC2CC6"/>
    <w:rsid w:val="00BD2E12"/>
    <w:rsid w:val="00BD4166"/>
    <w:rsid w:val="00BE43B8"/>
    <w:rsid w:val="00BF1C0D"/>
    <w:rsid w:val="00C470D1"/>
    <w:rsid w:val="00C632C3"/>
    <w:rsid w:val="00C668D5"/>
    <w:rsid w:val="00C834D7"/>
    <w:rsid w:val="00CE09BC"/>
    <w:rsid w:val="00D164E7"/>
    <w:rsid w:val="00D47749"/>
    <w:rsid w:val="00D67743"/>
    <w:rsid w:val="00D9230F"/>
    <w:rsid w:val="00D92AE4"/>
    <w:rsid w:val="00D947AA"/>
    <w:rsid w:val="00DB57E5"/>
    <w:rsid w:val="00E221D8"/>
    <w:rsid w:val="00E27FF7"/>
    <w:rsid w:val="00E43B7F"/>
    <w:rsid w:val="00E54B88"/>
    <w:rsid w:val="00E5614C"/>
    <w:rsid w:val="00E7041E"/>
    <w:rsid w:val="00E9778B"/>
    <w:rsid w:val="00E97E3D"/>
    <w:rsid w:val="00EA0777"/>
    <w:rsid w:val="00EB196E"/>
    <w:rsid w:val="00EB6259"/>
    <w:rsid w:val="00EC65F2"/>
    <w:rsid w:val="00EC761B"/>
    <w:rsid w:val="00ED2765"/>
    <w:rsid w:val="00EE2CEB"/>
    <w:rsid w:val="00EE52DE"/>
    <w:rsid w:val="00EE59D9"/>
    <w:rsid w:val="00F01808"/>
    <w:rsid w:val="00F0650B"/>
    <w:rsid w:val="00F07C8E"/>
    <w:rsid w:val="00F223BE"/>
    <w:rsid w:val="00F32168"/>
    <w:rsid w:val="00F5102E"/>
    <w:rsid w:val="00F618A7"/>
    <w:rsid w:val="00F65EF3"/>
    <w:rsid w:val="00F84F30"/>
    <w:rsid w:val="00F91F95"/>
    <w:rsid w:val="00FD1B5C"/>
    <w:rsid w:val="00FF61C9"/>
    <w:rsid w:val="00FF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113</cp:revision>
  <dcterms:created xsi:type="dcterms:W3CDTF">2022-12-16T07:07:00Z</dcterms:created>
  <dcterms:modified xsi:type="dcterms:W3CDTF">2024-08-28T05:31:00Z</dcterms:modified>
</cp:coreProperties>
</file>