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278EBA6C"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sample.report_date</w:t>
            </w:r>
            <w:proofErr w:type="spellEnd"/>
            <w:r w:rsidR="00BB7201" w:rsidRPr="002551B0">
              <w:rPr>
                <w:rFonts w:ascii="Times New Roman" w:hAnsi="Times New Roman"/>
                <w:sz w:val="24"/>
                <w:szCs w:val="24"/>
              </w:rPr>
              <w:t>}}</w:t>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6350393E" w:rsidR="00A20E8A" w:rsidRDefault="008C1445">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1&amp;BRCA2</w:t>
            </w:r>
            <w:r>
              <w:rPr>
                <w:rFonts w:ascii="Times New Roman" w:hAnsi="Times New Roman" w:hint="eastAsia"/>
                <w:sz w:val="24"/>
                <w:szCs w:val="24"/>
                <w:lang w:val="en-CA"/>
              </w:rPr>
              <w:t>（组织）</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18CF021D">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77777777" w:rsidR="00A20E8A" w:rsidRDefault="0073083C">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4CB7239B" w14:textId="77777777" w:rsidTr="00671A5D">
        <w:tc>
          <w:tcPr>
            <w:tcW w:w="709" w:type="dxa"/>
            <w:shd w:val="clear" w:color="auto" w:fill="auto"/>
            <w:vAlign w:val="center"/>
          </w:tcPr>
          <w:p w14:paraId="2202AC0A" w14:textId="67D4C6BD"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w:t>
            </w:r>
            <w:r w:rsidRPr="00E4798F">
              <w:rPr>
                <w:rFonts w:ascii="Times New Roman" w:hAnsi="Times New Roman" w:hint="eastAsia"/>
                <w:sz w:val="21"/>
                <w:szCs w:val="21"/>
              </w:rPr>
              <w:lastRenderedPageBreak/>
              <w:t>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0EC3559C" w14:textId="02D99687"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B10ACA3"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9BBD51C"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5EB829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76B803C1" w14:textId="76FDB883" w:rsidR="00671A5D" w:rsidRPr="00B17118"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F3AF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51A35D9D"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034B2741"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752DAC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74425393"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F8D2CF5"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13DBE78" w14:textId="560284E6" w:rsidR="00671A5D" w:rsidRPr="00B17118"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03DA4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67CE982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7BB0B86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45A05C1B"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FA534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55A5C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8C0ACC1" w14:textId="168D4FCF"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E1AE67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r w:rsidRPr="00E4798F">
              <w:rPr>
                <w:rFonts w:ascii="Times New Roman" w:hAnsi="Times New Roman"/>
                <w:sz w:val="21"/>
                <w:szCs w:val="21"/>
              </w:rPr>
              <w:lastRenderedPageBreak/>
              <w:t xml:space="preserve">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536AB52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FB3E086"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FE50AB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D7C78D"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475A94" w14:paraId="4F28D348" w14:textId="77777777" w:rsidTr="00671A5D">
        <w:tc>
          <w:tcPr>
            <w:tcW w:w="709" w:type="dxa"/>
            <w:shd w:val="clear" w:color="auto" w:fill="auto"/>
            <w:vAlign w:val="center"/>
          </w:tcPr>
          <w:p w14:paraId="2F2D787B" w14:textId="17C56005"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3B1AED26" w14:textId="181A79C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D99FEB6"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7CD8E31"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3D4D43B"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B8DE3DD"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0D6B9D95"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74892030"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4BA4C115"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0A900EFC"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539B908B"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7814F72D" w14:textId="12050AC7" w:rsidR="00475A94" w:rsidRPr="00B17118"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667B2572"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1D586640"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635764F0"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2AC8342A"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D85F517"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718584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75B7188" w14:textId="7BFFB5B1" w:rsidR="00475A94"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EA4B1A"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4306A8C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185DCBE"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7BE0673"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0A57C7"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475A94"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77777777"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EF18DE" w:rsidRDefault="0073083C">
      <w:pPr>
        <w:pStyle w:val="Default"/>
        <w:snapToGrid w:val="0"/>
        <w:jc w:val="both"/>
        <w:rPr>
          <w:rFonts w:ascii="Times New Roman" w:eastAsia="宋体" w:hAnsi="Times New Roman" w:cs="Times New Roman"/>
          <w:bCs/>
          <w:color w:val="auto"/>
          <w:sz w:val="18"/>
          <w:szCs w:val="18"/>
        </w:rPr>
      </w:pPr>
      <w:r w:rsidRPr="00EF18DE">
        <w:rPr>
          <w:rFonts w:ascii="Times New Roman" w:eastAsia="宋体" w:hAnsi="Times New Roman" w:cs="Times New Roman"/>
          <w:bCs/>
          <w:color w:val="auto"/>
          <w:sz w:val="18"/>
          <w:szCs w:val="18"/>
        </w:rPr>
        <w:t>注：</w:t>
      </w:r>
    </w:p>
    <w:p w14:paraId="0660F522" w14:textId="77777777" w:rsidR="00A20E8A" w:rsidRDefault="0073083C">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1.</w:t>
      </w:r>
      <w:r>
        <w:rPr>
          <w:rFonts w:ascii="Times New Roman" w:hAnsi="Times New Roman"/>
          <w:color w:val="3B3838"/>
          <w:sz w:val="18"/>
          <w:szCs w:val="18"/>
          <w:lang w:val="en-CA"/>
        </w:rPr>
        <w:tab/>
      </w:r>
      <w:r>
        <w:rPr>
          <w:rFonts w:ascii="Times New Roman" w:hAnsi="Times New Roman" w:hint="eastAsia"/>
          <w:color w:val="3B3838"/>
          <w:sz w:val="18"/>
          <w:szCs w:val="18"/>
          <w:lang w:val="en-CA"/>
        </w:rPr>
        <w:t>参照</w:t>
      </w:r>
      <w:r>
        <w:rPr>
          <w:rFonts w:ascii="Times New Roman" w:hAnsi="Times New Roman" w:hint="eastAsia"/>
          <w:color w:val="3B3838"/>
          <w:sz w:val="18"/>
          <w:szCs w:val="18"/>
          <w:lang w:val="en-CA"/>
        </w:rPr>
        <w:t>AMP/ASCO/CAP</w:t>
      </w:r>
      <w:r>
        <w:rPr>
          <w:rFonts w:ascii="Times New Roman" w:hAnsi="Times New Roman" w:hint="eastAsia"/>
          <w:color w:val="3B3838"/>
          <w:sz w:val="18"/>
          <w:szCs w:val="18"/>
          <w:lang w:val="en-CA"/>
        </w:rPr>
        <w:t>指南</w:t>
      </w:r>
      <w:r>
        <w:rPr>
          <w:rFonts w:ascii="Times New Roman" w:hAnsi="Times New Roman" w:hint="eastAsia"/>
          <w:color w:val="3B3838"/>
          <w:sz w:val="18"/>
          <w:szCs w:val="18"/>
          <w:lang w:val="en-CA"/>
        </w:rPr>
        <w:t>(Li, Marilyn M., et al. 2017)</w:t>
      </w:r>
      <w:r>
        <w:rPr>
          <w:rFonts w:ascii="Times New Roman" w:hAnsi="Times New Roman" w:hint="eastAsia"/>
          <w:color w:val="3B3838"/>
          <w:sz w:val="18"/>
          <w:szCs w:val="18"/>
          <w:lang w:val="en-CA"/>
        </w:rPr>
        <w:t>及</w:t>
      </w:r>
      <w:proofErr w:type="spellStart"/>
      <w:r>
        <w:rPr>
          <w:rFonts w:ascii="Times New Roman" w:hAnsi="Times New Roman" w:hint="eastAsia"/>
          <w:color w:val="3B3838"/>
          <w:sz w:val="18"/>
          <w:szCs w:val="18"/>
          <w:lang w:val="en-CA"/>
        </w:rPr>
        <w:t>oncoKB</w:t>
      </w:r>
      <w:proofErr w:type="spellEnd"/>
      <w:r>
        <w:rPr>
          <w:rFonts w:ascii="Times New Roman" w:hAnsi="Times New Roman" w:hint="eastAsia"/>
          <w:color w:val="3B3838"/>
          <w:sz w:val="18"/>
          <w:szCs w:val="18"/>
          <w:lang w:val="en-CA"/>
        </w:rPr>
        <w:t>等公共数据库，本内部数据库将基因变异所对应的靶向药物敏感性分为</w:t>
      </w:r>
      <w:r>
        <w:rPr>
          <w:rFonts w:ascii="Times New Roman" w:hAnsi="Times New Roman" w:hint="eastAsia"/>
          <w:color w:val="3B3838"/>
          <w:sz w:val="18"/>
          <w:szCs w:val="18"/>
          <w:lang w:val="en-CA"/>
        </w:rPr>
        <w:t>ABCD</w:t>
      </w:r>
      <w:r>
        <w:rPr>
          <w:rFonts w:ascii="Times New Roman" w:hAnsi="Times New Roman" w:hint="eastAsia"/>
          <w:color w:val="3B3838"/>
          <w:sz w:val="18"/>
          <w:szCs w:val="18"/>
          <w:lang w:val="en-CA"/>
        </w:rPr>
        <w:t>四个等级：</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w:t>
      </w:r>
      <w:r>
        <w:rPr>
          <w:rFonts w:ascii="Times New Roman" w:hAnsi="Times New Roman" w:hint="eastAsia"/>
          <w:color w:val="3B3838"/>
          <w:sz w:val="18"/>
          <w:szCs w:val="18"/>
          <w:lang w:val="en-CA"/>
        </w:rPr>
        <w:t>FDA/NMPA</w:t>
      </w:r>
      <w:r>
        <w:rPr>
          <w:rFonts w:ascii="Times New Roman" w:hAnsi="Times New Roman" w:hint="eastAsia"/>
          <w:color w:val="3B3838"/>
          <w:sz w:val="18"/>
          <w:szCs w:val="18"/>
          <w:lang w:val="en-CA"/>
        </w:rPr>
        <w:t>批准，或来自于专业临床指南；</w:t>
      </w:r>
      <w:r>
        <w:rPr>
          <w:rFonts w:ascii="Times New Roman" w:hAnsi="Times New Roman" w:hint="eastAsia"/>
          <w:color w:val="3B3838"/>
          <w:sz w:val="18"/>
          <w:szCs w:val="18"/>
          <w:lang w:val="en-CA"/>
        </w:rPr>
        <w:t>B</w:t>
      </w:r>
      <w:r>
        <w:rPr>
          <w:rFonts w:ascii="Times New Roman" w:hAnsi="Times New Roman" w:hint="eastAsia"/>
          <w:color w:val="3B3838"/>
          <w:sz w:val="18"/>
          <w:szCs w:val="18"/>
          <w:lang w:val="en-CA"/>
        </w:rPr>
        <w:t>级，较大规模的临床研究证实，且取得临床专</w:t>
      </w:r>
      <w:r>
        <w:rPr>
          <w:rFonts w:ascii="Times New Roman" w:hAnsi="Times New Roman" w:hint="eastAsia"/>
          <w:color w:val="3B3838"/>
          <w:sz w:val="18"/>
          <w:szCs w:val="18"/>
          <w:lang w:val="en-CA"/>
        </w:rPr>
        <w:lastRenderedPageBreak/>
        <w:t>家共识；</w:t>
      </w:r>
      <w:r>
        <w:rPr>
          <w:rFonts w:ascii="Times New Roman" w:hAnsi="Times New Roman" w:hint="eastAsia"/>
          <w:color w:val="3B3838"/>
          <w:sz w:val="18"/>
          <w:szCs w:val="18"/>
          <w:lang w:val="en-CA"/>
        </w:rPr>
        <w:t>C</w:t>
      </w:r>
      <w:r>
        <w:rPr>
          <w:rFonts w:ascii="Times New Roman" w:hAnsi="Times New Roman" w:hint="eastAsia"/>
          <w:color w:val="3B3838"/>
          <w:sz w:val="18"/>
          <w:szCs w:val="18"/>
          <w:lang w:val="en-CA"/>
        </w:rPr>
        <w:t>级，在其他癌种中的</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级证据、或者已作为临床试验的筛选入组标准、或者有多个小型研究支持；</w:t>
      </w:r>
      <w:r>
        <w:rPr>
          <w:rFonts w:ascii="Times New Roman" w:hAnsi="Times New Roman" w:hint="eastAsia"/>
          <w:color w:val="3B3838"/>
          <w:sz w:val="18"/>
          <w:szCs w:val="18"/>
          <w:lang w:val="en-CA"/>
        </w:rPr>
        <w:t>D</w:t>
      </w:r>
      <w:r>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50A8C9AE" w14:textId="48C7E865" w:rsidR="00A20E8A" w:rsidRDefault="0073083C">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hint="eastAsia"/>
          <w:color w:val="3B3838"/>
          <w:sz w:val="18"/>
          <w:szCs w:val="18"/>
          <w:lang w:val="en-CA"/>
        </w:rPr>
        <w:t>2</w:t>
      </w:r>
      <w:r>
        <w:rPr>
          <w:rFonts w:ascii="Times New Roman" w:hAnsi="Times New Roman"/>
          <w:color w:val="3B3838"/>
          <w:sz w:val="18"/>
          <w:szCs w:val="18"/>
          <w:lang w:val="en-CA"/>
        </w:rPr>
        <w:t>.</w:t>
      </w:r>
      <w:r>
        <w:rPr>
          <w:rFonts w:ascii="Times New Roman" w:hAnsi="Times New Roman"/>
          <w:color w:val="3B3838"/>
          <w:sz w:val="18"/>
          <w:szCs w:val="18"/>
          <w:lang w:val="en-CA"/>
        </w:rPr>
        <w:tab/>
      </w:r>
      <w:r>
        <w:rPr>
          <w:rFonts w:ascii="Times New Roman" w:hAnsi="Times New Roman" w:hint="eastAsia"/>
          <w:color w:val="3B3838"/>
          <w:sz w:val="18"/>
          <w:szCs w:val="18"/>
          <w:lang w:val="en-CA"/>
        </w:rPr>
        <w:t>综合伴随诊断、临床指南、数据库或文献证据、药物敏感性证据等级等，将写入报告的体细胞基因变异分为</w:t>
      </w:r>
      <w:r>
        <w:rPr>
          <w:rFonts w:ascii="Times New Roman" w:hAnsi="Times New Roman" w:hint="eastAsia"/>
          <w:color w:val="3B3838"/>
          <w:sz w:val="18"/>
          <w:szCs w:val="18"/>
          <w:lang w:val="en-CA"/>
        </w:rPr>
        <w:t>I-IV</w:t>
      </w:r>
      <w:r>
        <w:rPr>
          <w:rFonts w:ascii="Times New Roman" w:hAnsi="Times New Roman" w:hint="eastAsia"/>
          <w:color w:val="3B3838"/>
          <w:sz w:val="18"/>
          <w:szCs w:val="18"/>
          <w:lang w:val="en-CA"/>
        </w:rPr>
        <w:t>四类：</w:t>
      </w:r>
      <w:r>
        <w:rPr>
          <w:rFonts w:ascii="Times New Roman" w:hAnsi="Times New Roman"/>
          <w:color w:val="3B3838"/>
          <w:sz w:val="18"/>
          <w:szCs w:val="18"/>
          <w:lang w:val="en-CA"/>
        </w:rPr>
        <w:t>Ⅰ</w:t>
      </w:r>
      <w:r>
        <w:rPr>
          <w:rFonts w:ascii="Times New Roman" w:hAnsi="Times New Roman" w:hint="eastAsia"/>
          <w:color w:val="3B3838"/>
          <w:sz w:val="18"/>
          <w:szCs w:val="18"/>
          <w:lang w:val="en-CA"/>
        </w:rPr>
        <w:t>类，具有明确临床意义（涵盖</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级或</w:t>
      </w:r>
      <w:r>
        <w:rPr>
          <w:rFonts w:ascii="Times New Roman" w:hAnsi="Times New Roman" w:hint="eastAsia"/>
          <w:color w:val="3B3838"/>
          <w:sz w:val="18"/>
          <w:szCs w:val="18"/>
          <w:lang w:val="en-CA"/>
        </w:rPr>
        <w:t>B</w:t>
      </w:r>
      <w:r>
        <w:rPr>
          <w:rFonts w:ascii="Times New Roman" w:hAnsi="Times New Roman" w:hint="eastAsia"/>
          <w:color w:val="3B3838"/>
          <w:sz w:val="18"/>
          <w:szCs w:val="18"/>
          <w:lang w:val="en-CA"/>
        </w:rPr>
        <w:t>级证据）；</w:t>
      </w:r>
      <w:r>
        <w:rPr>
          <w:rFonts w:ascii="Times New Roman" w:hAnsi="Times New Roman"/>
          <w:color w:val="3B3838"/>
          <w:sz w:val="18"/>
          <w:szCs w:val="18"/>
          <w:lang w:val="en-CA"/>
        </w:rPr>
        <w:t>Ⅱ</w:t>
      </w:r>
      <w:r>
        <w:rPr>
          <w:rFonts w:ascii="Times New Roman" w:hAnsi="Times New Roman" w:hint="eastAsia"/>
          <w:color w:val="3B3838"/>
          <w:sz w:val="18"/>
          <w:szCs w:val="18"/>
          <w:lang w:val="en-CA"/>
        </w:rPr>
        <w:t>类，具有潜在临床意义（涵盖</w:t>
      </w:r>
      <w:r>
        <w:rPr>
          <w:rFonts w:ascii="Times New Roman" w:hAnsi="Times New Roman" w:hint="eastAsia"/>
          <w:color w:val="3B3838"/>
          <w:sz w:val="18"/>
          <w:szCs w:val="18"/>
          <w:lang w:val="en-CA"/>
        </w:rPr>
        <w:t>C</w:t>
      </w:r>
      <w:r>
        <w:rPr>
          <w:rFonts w:ascii="Times New Roman" w:hAnsi="Times New Roman" w:hint="eastAsia"/>
          <w:color w:val="3B3838"/>
          <w:sz w:val="18"/>
          <w:szCs w:val="18"/>
          <w:lang w:val="en-CA"/>
        </w:rPr>
        <w:t>级或</w:t>
      </w:r>
      <w:r>
        <w:rPr>
          <w:rFonts w:ascii="Times New Roman" w:hAnsi="Times New Roman" w:hint="eastAsia"/>
          <w:color w:val="3B3838"/>
          <w:sz w:val="18"/>
          <w:szCs w:val="18"/>
          <w:lang w:val="en-CA"/>
        </w:rPr>
        <w:t>D</w:t>
      </w:r>
      <w:r>
        <w:rPr>
          <w:rFonts w:ascii="Times New Roman" w:hAnsi="Times New Roman" w:hint="eastAsia"/>
          <w:color w:val="3B3838"/>
          <w:sz w:val="18"/>
          <w:szCs w:val="18"/>
          <w:lang w:val="en-CA"/>
        </w:rPr>
        <w:t>级证据）；</w:t>
      </w:r>
      <w:r>
        <w:rPr>
          <w:rFonts w:ascii="Times New Roman" w:hAnsi="Times New Roman"/>
          <w:color w:val="3B3838"/>
          <w:sz w:val="18"/>
          <w:szCs w:val="18"/>
          <w:lang w:val="en-CA"/>
        </w:rPr>
        <w:t>Ⅲ</w:t>
      </w:r>
      <w:r>
        <w:rPr>
          <w:rFonts w:ascii="Times New Roman" w:hAnsi="Times New Roman" w:hint="eastAsia"/>
          <w:color w:val="3B3838"/>
          <w:sz w:val="18"/>
          <w:szCs w:val="18"/>
          <w:lang w:val="en-CA"/>
        </w:rPr>
        <w:t>类，临床意义尚不明确；</w:t>
      </w:r>
      <w:r>
        <w:rPr>
          <w:rFonts w:ascii="Times New Roman" w:hAnsi="Times New Roman" w:hint="eastAsia"/>
          <w:color w:val="3B3838"/>
          <w:sz w:val="18"/>
          <w:szCs w:val="18"/>
          <w:lang w:val="en-CA"/>
        </w:rPr>
        <w:t>IV</w:t>
      </w:r>
      <w:r>
        <w:rPr>
          <w:rFonts w:ascii="Times New Roman" w:hAnsi="Times New Roman" w:hint="eastAsia"/>
          <w:color w:val="3B3838"/>
          <w:sz w:val="18"/>
          <w:szCs w:val="18"/>
          <w:lang w:val="en-CA"/>
        </w:rPr>
        <w:t>类，良性或可能良性变异。本报告中仅列出</w:t>
      </w:r>
      <w:r>
        <w:rPr>
          <w:rFonts w:ascii="Times New Roman" w:hAnsi="Times New Roman" w:hint="eastAsia"/>
          <w:color w:val="3B3838"/>
          <w:sz w:val="18"/>
          <w:szCs w:val="18"/>
          <w:lang w:val="en-CA"/>
        </w:rPr>
        <w:t>I-</w:t>
      </w:r>
      <w:r w:rsidR="00514D78">
        <w:rPr>
          <w:rFonts w:ascii="Times New Roman" w:hAnsi="Times New Roman" w:hint="eastAsia"/>
          <w:color w:val="3B3838"/>
          <w:sz w:val="18"/>
          <w:szCs w:val="18"/>
          <w:lang w:val="en-CA"/>
        </w:rPr>
        <w:t>III</w:t>
      </w:r>
      <w:r>
        <w:rPr>
          <w:rFonts w:ascii="Times New Roman" w:hAnsi="Times New Roman" w:hint="eastAsia"/>
          <w:color w:val="3B3838"/>
          <w:sz w:val="18"/>
          <w:szCs w:val="18"/>
          <w:lang w:val="en-CA"/>
        </w:rPr>
        <w:t>类变异。</w:t>
      </w:r>
    </w:p>
    <w:p w14:paraId="764E039D" w14:textId="244C3A68" w:rsidR="00A20E8A" w:rsidRDefault="0073083C">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Pr>
          <w:rFonts w:ascii="Times New Roman" w:hAnsi="Times New Roman"/>
          <w:color w:val="3B3838"/>
          <w:sz w:val="18"/>
          <w:szCs w:val="18"/>
          <w:lang w:val="en-CA"/>
        </w:rPr>
        <w:tab/>
      </w:r>
      <w:r>
        <w:rPr>
          <w:rFonts w:ascii="Times New Roman" w:hAnsi="Times New Roman"/>
          <w:color w:val="3B3838"/>
          <w:sz w:val="18"/>
          <w:szCs w:val="18"/>
          <w:lang w:val="en-CA"/>
        </w:rPr>
        <w:t>突变丰度：该位点所有等位基因中，突变等位基因的具体占比。如突变丰度</w:t>
      </w:r>
      <w:r>
        <w:rPr>
          <w:rFonts w:ascii="Times New Roman" w:hAnsi="Times New Roman"/>
          <w:color w:val="3B3838"/>
          <w:sz w:val="18"/>
          <w:szCs w:val="18"/>
          <w:lang w:val="en-CA"/>
        </w:rPr>
        <w:t>5%</w:t>
      </w:r>
      <w:r>
        <w:rPr>
          <w:rFonts w:ascii="Times New Roman" w:hAnsi="Times New Roman"/>
          <w:color w:val="3B3838"/>
          <w:sz w:val="18"/>
          <w:szCs w:val="18"/>
          <w:lang w:val="en-CA"/>
        </w:rPr>
        <w:t>意为该位点含有</w:t>
      </w:r>
      <w:r>
        <w:rPr>
          <w:rFonts w:ascii="Times New Roman" w:hAnsi="Times New Roman"/>
          <w:color w:val="3B3838"/>
          <w:sz w:val="18"/>
          <w:szCs w:val="18"/>
          <w:lang w:val="en-CA"/>
        </w:rPr>
        <w:t>5%</w:t>
      </w:r>
      <w:r>
        <w:rPr>
          <w:rFonts w:ascii="Times New Roman" w:hAnsi="Times New Roman"/>
          <w:color w:val="3B3838"/>
          <w:sz w:val="18"/>
          <w:szCs w:val="18"/>
          <w:lang w:val="en-CA"/>
        </w:rPr>
        <w:t>的突变等位基因和</w:t>
      </w:r>
      <w:r>
        <w:rPr>
          <w:rFonts w:ascii="Times New Roman" w:hAnsi="Times New Roman"/>
          <w:color w:val="3B3838"/>
          <w:sz w:val="18"/>
          <w:szCs w:val="18"/>
          <w:lang w:val="en-CA"/>
        </w:rPr>
        <w:t>95%</w:t>
      </w:r>
      <w:r>
        <w:rPr>
          <w:rFonts w:ascii="Times New Roman" w:hAnsi="Times New Roman"/>
          <w:color w:val="3B3838"/>
          <w:sz w:val="18"/>
          <w:szCs w:val="18"/>
          <w:lang w:val="en-CA"/>
        </w:rPr>
        <w:t>的野生型等位基因。</w:t>
      </w:r>
    </w:p>
    <w:p w14:paraId="1A0AB0DC" w14:textId="5C506A0D" w:rsidR="00A20E8A" w:rsidRDefault="006F3382">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73083C">
        <w:rPr>
          <w:rFonts w:ascii="Times New Roman" w:hAnsi="Times New Roman"/>
          <w:color w:val="3B3838"/>
          <w:sz w:val="18"/>
          <w:szCs w:val="18"/>
          <w:lang w:val="en-CA"/>
        </w:rPr>
        <w:t>.</w:t>
      </w:r>
      <w:r w:rsidR="0073083C">
        <w:rPr>
          <w:rFonts w:ascii="Times New Roman" w:hAnsi="Times New Roman"/>
          <w:color w:val="3B3838"/>
          <w:sz w:val="18"/>
          <w:szCs w:val="18"/>
          <w:lang w:val="en-CA"/>
        </w:rPr>
        <w:tab/>
      </w:r>
      <w:r w:rsidR="0073083C">
        <w:rPr>
          <w:rFonts w:ascii="Times New Roman" w:hAnsi="Times New Roman"/>
          <w:color w:val="3B3838"/>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95488C" w:rsidRDefault="0073083C">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5488C">
        <w:rPr>
          <w:rFonts w:ascii="Times New Roman" w:hAnsi="Times New Roman"/>
          <w:bCs/>
          <w:color w:val="3B3838"/>
        </w:rPr>
        <w:t>本检测只适用于检测特定肿瘤基因的</w:t>
      </w:r>
      <w:r w:rsidRPr="0095488C">
        <w:rPr>
          <w:rFonts w:ascii="Times New Roman" w:hAnsi="Times New Roman"/>
          <w:bCs/>
          <w:color w:val="3B3838"/>
        </w:rPr>
        <w:t>DNA</w:t>
      </w:r>
      <w:r w:rsidRPr="0095488C">
        <w:rPr>
          <w:rFonts w:ascii="Times New Roman" w:hAnsi="Times New Roman"/>
          <w:bCs/>
          <w:color w:val="3B3838"/>
        </w:rPr>
        <w:t>水平变异，不涉及蛋白质水平和</w:t>
      </w:r>
      <w:r w:rsidRPr="0095488C">
        <w:rPr>
          <w:rFonts w:ascii="Times New Roman" w:hAnsi="Times New Roman"/>
          <w:bCs/>
          <w:color w:val="3B3838"/>
        </w:rPr>
        <w:t>RNA</w:t>
      </w:r>
      <w:r w:rsidRPr="0095488C">
        <w:rPr>
          <w:rFonts w:ascii="Times New Roman" w:hAnsi="Times New Roman"/>
          <w:bCs/>
          <w:color w:val="3B3838"/>
        </w:rPr>
        <w:t>水平。</w:t>
      </w:r>
    </w:p>
    <w:p w14:paraId="47EB4938" w14:textId="77777777" w:rsidR="00A20E8A" w:rsidRPr="0095488C" w:rsidRDefault="0073083C">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5488C">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95488C" w:rsidRDefault="0073083C">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5488C">
        <w:rPr>
          <w:rFonts w:ascii="Times New Roman" w:hAnsi="Times New Roman"/>
          <w:bCs/>
          <w:color w:val="3B3838"/>
        </w:rPr>
        <w:t>当肿瘤细胞含量</w:t>
      </w:r>
      <w:r w:rsidR="00C74DAA">
        <w:rPr>
          <w:rFonts w:ascii="Times New Roman" w:hAnsi="Times New Roman" w:hint="eastAsia"/>
          <w:bCs/>
          <w:color w:val="3B3838"/>
        </w:rPr>
        <w:t>＜</w:t>
      </w:r>
      <w:r w:rsidR="00312E0B">
        <w:rPr>
          <w:rFonts w:ascii="Times New Roman" w:hAnsi="Times New Roman"/>
          <w:bCs/>
          <w:color w:val="3B3838"/>
        </w:rPr>
        <w:t>2</w:t>
      </w:r>
      <w:r w:rsidRPr="0095488C">
        <w:rPr>
          <w:rFonts w:ascii="Times New Roman" w:hAnsi="Times New Roman"/>
          <w:bCs/>
          <w:color w:val="3B3838"/>
        </w:rPr>
        <w:t>0%</w:t>
      </w:r>
      <w:r w:rsidRPr="0095488C">
        <w:rPr>
          <w:rFonts w:ascii="Times New Roman" w:hAnsi="Times New Roman"/>
          <w:bCs/>
          <w:color w:val="3B3838"/>
        </w:rPr>
        <w:t>时，</w:t>
      </w:r>
      <w:r w:rsidRPr="0095488C">
        <w:rPr>
          <w:rFonts w:ascii="Times New Roman" w:hAnsi="Times New Roman"/>
          <w:bCs/>
          <w:color w:val="3B3838"/>
        </w:rPr>
        <w:t>DNA</w:t>
      </w:r>
      <w:r w:rsidRPr="0095488C">
        <w:rPr>
          <w:rFonts w:ascii="Times New Roman" w:hAnsi="Times New Roman"/>
          <w:bCs/>
          <w:color w:val="3B3838"/>
        </w:rPr>
        <w:t>变异检出的敏感性可能受限，结果可能不准确。</w:t>
      </w:r>
    </w:p>
    <w:p w14:paraId="21822304" w14:textId="367A901E" w:rsidR="001A40C6" w:rsidRPr="0095488C" w:rsidRDefault="001A40C6" w:rsidP="001A40C6">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5488C">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4933F8D5" w14:textId="77777777" w:rsidR="00A20E8A" w:rsidRPr="0095488C" w:rsidRDefault="0073083C">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6" w:name="_Hlk28026152"/>
      <w:r w:rsidRPr="0095488C">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Pr>
                <w:rFonts w:ascii="Times New Roman" w:hAnsi="Times New Roman"/>
                <w:color w:val="3B3838"/>
                <w:lang w:eastAsia="en-US"/>
              </w:rPr>
              <w:t>肿瘤细胞含量</w:t>
            </w:r>
            <w:proofErr w:type="spellEnd"/>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1B92C0C7"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color w:val="3B3838"/>
              </w:rPr>
              <w:t>/</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0BE230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color w:val="3B3838"/>
              </w:rPr>
              <w:t>/</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4594629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color w:val="3B3838"/>
              </w:rPr>
              <w:t>/</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6EAD75BF" w14:textId="14C7D5C6"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color w:val="3B3838"/>
              </w:rPr>
              <w:t>/</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9EB2404" w14:textId="2B2B0D4C"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qc.dna_data_qc.depth_ssbc_num</w:t>
            </w:r>
            <w:proofErr w:type="spellEnd"/>
            <w:r w:rsidRPr="00E37344">
              <w:rPr>
                <w:rFonts w:ascii="Times New Roman" w:hAnsi="Times New Roman"/>
                <w:color w:val="3B3838"/>
                <w:highlight w:val="yellow"/>
                <w:lang w:eastAsia="en-US"/>
              </w:rPr>
              <w:t xml:space="preserve"> &gt;= 300 %}</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lastRenderedPageBreak/>
              <w:t>风险</w:t>
            </w:r>
            <w:proofErr w:type="spellEnd"/>
          </w:p>
          <w:p w14:paraId="006D59C5" w14:textId="25A94184" w:rsidR="00A20E8A" w:rsidRPr="00FA63C9" w:rsidRDefault="00E37344" w:rsidP="00E37344">
            <w:pPr>
              <w:spacing w:after="0" w:line="240" w:lineRule="exact"/>
              <w:jc w:val="center"/>
              <w:rPr>
                <w:rFonts w:ascii="思源黑体 CN Normal" w:eastAsia="思源黑体 CN Normal" w:hAnsi="思源黑体 CN Normal"/>
                <w:color w:val="3B3838"/>
              </w:rPr>
            </w:pPr>
            <w:r w:rsidRPr="00E37344">
              <w:rPr>
                <w:rFonts w:ascii="Times New Roman" w:hAnsi="Times New Roman"/>
                <w:color w:val="3B3838"/>
                <w:highlight w:val="yellow"/>
                <w:lang w:eastAsia="en-US"/>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77777777" w:rsidR="0006067A" w:rsidRPr="002A4EF5" w:rsidRDefault="0006067A" w:rsidP="0006067A">
      <w:pPr>
        <w:rPr>
          <w:b/>
          <w:bCs/>
          <w:sz w:val="24"/>
          <w:szCs w:val="24"/>
        </w:rPr>
      </w:pPr>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51E22608" w14:textId="77777777" w:rsidR="00FD612F" w:rsidRPr="00DD7D94" w:rsidRDefault="00FD612F" w:rsidP="00FD612F">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DD7D94">
        <w:rPr>
          <w:rFonts w:ascii="Times New Roman" w:hAnsi="Times New Roman" w:hint="eastAsia"/>
          <w:color w:val="595959" w:themeColor="text1" w:themeTint="A6"/>
          <w:kern w:val="2"/>
          <w:sz w:val="18"/>
          <w:szCs w:val="18"/>
        </w:rPr>
        <w:t>检测范围包括：</w:t>
      </w:r>
      <w:r w:rsidRPr="00DD7D94">
        <w:rPr>
          <w:rFonts w:ascii="Times New Roman" w:hAnsi="Times New Roman"/>
          <w:color w:val="595959" w:themeColor="text1" w:themeTint="A6"/>
          <w:kern w:val="2"/>
          <w:sz w:val="18"/>
          <w:szCs w:val="18"/>
        </w:rPr>
        <w:t>BRCA1</w:t>
      </w:r>
      <w:r w:rsidRPr="00DD7D94">
        <w:rPr>
          <w:rFonts w:ascii="Times New Roman" w:hAnsi="Times New Roman" w:hint="eastAsia"/>
          <w:color w:val="595959" w:themeColor="text1" w:themeTint="A6"/>
          <w:kern w:val="2"/>
          <w:sz w:val="18"/>
          <w:szCs w:val="18"/>
        </w:rPr>
        <w:t>、</w:t>
      </w:r>
      <w:r w:rsidRPr="00DD7D94">
        <w:rPr>
          <w:rFonts w:ascii="Times New Roman" w:hAnsi="Times New Roman"/>
          <w:color w:val="595959" w:themeColor="text1" w:themeTint="A6"/>
          <w:kern w:val="2"/>
          <w:sz w:val="18"/>
          <w:szCs w:val="18"/>
        </w:rPr>
        <w:t>BRCA2</w:t>
      </w:r>
      <w:r w:rsidRPr="00DD7D94">
        <w:rPr>
          <w:rFonts w:ascii="Times New Roman" w:hAnsi="Times New Roman" w:hint="eastAsia"/>
          <w:color w:val="595959" w:themeColor="text1" w:themeTint="A6"/>
          <w:kern w:val="2"/>
          <w:sz w:val="18"/>
          <w:szCs w:val="18"/>
        </w:rPr>
        <w:t>基因全编码区、外显子</w:t>
      </w:r>
      <w:r w:rsidRPr="00DD7D94">
        <w:rPr>
          <w:rFonts w:ascii="Times New Roman" w:hAnsi="Times New Roman"/>
          <w:color w:val="595959" w:themeColor="text1" w:themeTint="A6"/>
          <w:kern w:val="2"/>
          <w:sz w:val="18"/>
          <w:szCs w:val="18"/>
        </w:rPr>
        <w:t>-</w:t>
      </w:r>
      <w:r w:rsidRPr="00DD7D94">
        <w:rPr>
          <w:rFonts w:ascii="Times New Roman" w:hAnsi="Times New Roman" w:hint="eastAsia"/>
          <w:color w:val="595959" w:themeColor="text1" w:themeTint="A6"/>
          <w:kern w:val="2"/>
          <w:sz w:val="18"/>
          <w:szCs w:val="18"/>
        </w:rPr>
        <w:t>内含子连接区、部分内含子和</w:t>
      </w:r>
      <w:r w:rsidRPr="00DD7D94">
        <w:rPr>
          <w:rFonts w:ascii="Times New Roman" w:hAnsi="Times New Roman"/>
          <w:color w:val="595959" w:themeColor="text1" w:themeTint="A6"/>
          <w:kern w:val="2"/>
          <w:sz w:val="18"/>
          <w:szCs w:val="18"/>
        </w:rPr>
        <w:t>UTR</w:t>
      </w:r>
      <w:r w:rsidRPr="00DD7D94">
        <w:rPr>
          <w:rFonts w:ascii="Times New Roman" w:hAnsi="Times New Roman" w:hint="eastAsia"/>
          <w:color w:val="595959" w:themeColor="text1" w:themeTint="A6"/>
          <w:kern w:val="2"/>
          <w:sz w:val="18"/>
          <w:szCs w:val="18"/>
        </w:rPr>
        <w:t>区热点突变。</w:t>
      </w:r>
    </w:p>
    <w:p w14:paraId="461780B9" w14:textId="77777777" w:rsidR="0006067A" w:rsidRPr="00FD612F" w:rsidRDefault="0006067A" w:rsidP="0006067A">
      <w:pPr>
        <w:widowControl w:val="0"/>
        <w:autoSpaceDE w:val="0"/>
        <w:autoSpaceDN w:val="0"/>
        <w:adjustRightInd w:val="0"/>
        <w:spacing w:after="0" w:line="240" w:lineRule="auto"/>
        <w:rPr>
          <w:rFonts w:ascii="Times New Roman" w:hAnsi="Times New Roman"/>
          <w:b/>
          <w:bCs/>
          <w:sz w:val="24"/>
          <w:szCs w:val="24"/>
        </w:rPr>
      </w:pPr>
    </w:p>
    <w:p w14:paraId="0EB20CD5" w14:textId="77777777" w:rsidR="0006067A" w:rsidRDefault="0006067A" w:rsidP="0006067A">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p w14:paraId="08A88FF7"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中华医学会病理学分会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国家病理质控中心</w:t>
      </w:r>
      <w:r w:rsidRPr="00C814DB">
        <w:rPr>
          <w:rFonts w:ascii="Times New Roman" w:eastAsia="宋体" w:hAnsi="Times New Roman" w:hint="eastAsia"/>
          <w:b w:val="0"/>
          <w:bCs/>
          <w:color w:val="3B3838"/>
          <w:sz w:val="24"/>
          <w:szCs w:val="24"/>
          <w:shd w:val="clear" w:color="auto" w:fill="FFFFFF"/>
        </w:rPr>
        <w:t>. BRCA1/2</w:t>
      </w:r>
      <w:r w:rsidRPr="00C814DB">
        <w:rPr>
          <w:rFonts w:ascii="Times New Roman" w:eastAsia="宋体" w:hAnsi="Times New Roman" w:hint="eastAsia"/>
          <w:b w:val="0"/>
          <w:bCs/>
          <w:color w:val="3B3838"/>
          <w:sz w:val="24"/>
          <w:szCs w:val="24"/>
          <w:shd w:val="clear" w:color="auto" w:fill="FFFFFF"/>
        </w:rPr>
        <w:t>数据解读中国专家共识（</w:t>
      </w:r>
      <w:r w:rsidRPr="00C814DB">
        <w:rPr>
          <w:rFonts w:ascii="Times New Roman" w:eastAsia="宋体" w:hAnsi="Times New Roman" w:hint="eastAsia"/>
          <w:b w:val="0"/>
          <w:bCs/>
          <w:color w:val="3B3838"/>
          <w:sz w:val="24"/>
          <w:szCs w:val="24"/>
          <w:shd w:val="clear" w:color="auto" w:fill="FFFFFF"/>
        </w:rPr>
        <w:t>2021</w:t>
      </w:r>
      <w:r w:rsidRPr="00C814DB">
        <w:rPr>
          <w:rFonts w:ascii="Times New Roman" w:eastAsia="宋体" w:hAnsi="Times New Roman" w:hint="eastAsia"/>
          <w:b w:val="0"/>
          <w:bCs/>
          <w:color w:val="3B3838"/>
          <w:sz w:val="24"/>
          <w:szCs w:val="24"/>
          <w:shd w:val="clear" w:color="auto" w:fill="FFFFFF"/>
        </w:rPr>
        <w:t>版）</w:t>
      </w:r>
      <w:r w:rsidRPr="00C814DB">
        <w:rPr>
          <w:rFonts w:ascii="Times New Roman" w:eastAsia="宋体" w:hAnsi="Times New Roman" w:hint="eastAsia"/>
          <w:b w:val="0"/>
          <w:bCs/>
          <w:color w:val="3B3838"/>
          <w:sz w:val="24"/>
          <w:szCs w:val="24"/>
          <w:shd w:val="clear" w:color="auto" w:fill="FFFFFF"/>
        </w:rPr>
        <w:t>[J] .</w:t>
      </w:r>
      <w:r w:rsidRPr="00C814DB">
        <w:rPr>
          <w:rFonts w:ascii="Times New Roman" w:eastAsia="宋体" w:hAnsi="Times New Roman" w:hint="eastAsia"/>
          <w:b w:val="0"/>
          <w:bCs/>
          <w:color w:val="3B3838"/>
          <w:sz w:val="24"/>
          <w:szCs w:val="24"/>
          <w:shd w:val="clear" w:color="auto" w:fill="FFFFFF"/>
        </w:rPr>
        <w:t>中华病理学杂志</w:t>
      </w:r>
      <w:r w:rsidRPr="00C814DB">
        <w:rPr>
          <w:rFonts w:ascii="Times New Roman" w:eastAsia="宋体" w:hAnsi="Times New Roman" w:hint="eastAsia"/>
          <w:b w:val="0"/>
          <w:bCs/>
          <w:color w:val="3B3838"/>
          <w:sz w:val="24"/>
          <w:szCs w:val="24"/>
          <w:shd w:val="clear" w:color="auto" w:fill="FFFFFF"/>
        </w:rPr>
        <w:t>, 2021, 50(6): 565-571.</w:t>
      </w:r>
    </w:p>
    <w:p w14:paraId="45A79959"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中国医师协会精准治疗委员会乳腺癌专业委员会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中华医学会肿瘤学分会乳腺肿瘤学组</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中国抗癌协会乳腺癌专业委员会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中国乳腺癌患者</w:t>
      </w:r>
      <w:r w:rsidRPr="00C814DB">
        <w:rPr>
          <w:rFonts w:ascii="Times New Roman" w:eastAsia="宋体" w:hAnsi="Times New Roman" w:hint="eastAsia"/>
          <w:b w:val="0"/>
          <w:bCs/>
          <w:color w:val="3B3838"/>
          <w:sz w:val="24"/>
          <w:szCs w:val="24"/>
          <w:shd w:val="clear" w:color="auto" w:fill="FFFFFF"/>
        </w:rPr>
        <w:t>BRCA1/2</w:t>
      </w:r>
      <w:r w:rsidRPr="00C814DB">
        <w:rPr>
          <w:rFonts w:ascii="Times New Roman" w:eastAsia="宋体" w:hAnsi="Times New Roman" w:hint="eastAsia"/>
          <w:b w:val="0"/>
          <w:bCs/>
          <w:color w:val="3B3838"/>
          <w:sz w:val="24"/>
          <w:szCs w:val="24"/>
          <w:shd w:val="clear" w:color="auto" w:fill="FFFFFF"/>
        </w:rPr>
        <w:t>基因检测与临床应用专家共识（</w:t>
      </w:r>
      <w:r w:rsidRPr="00C814DB">
        <w:rPr>
          <w:rFonts w:ascii="Times New Roman" w:eastAsia="宋体" w:hAnsi="Times New Roman" w:hint="eastAsia"/>
          <w:b w:val="0"/>
          <w:bCs/>
          <w:color w:val="3B3838"/>
          <w:sz w:val="24"/>
          <w:szCs w:val="24"/>
          <w:shd w:val="clear" w:color="auto" w:fill="FFFFFF"/>
        </w:rPr>
        <w:t>2018</w:t>
      </w:r>
      <w:r w:rsidRPr="00C814DB">
        <w:rPr>
          <w:rFonts w:ascii="Times New Roman" w:eastAsia="宋体" w:hAnsi="Times New Roman" w:hint="eastAsia"/>
          <w:b w:val="0"/>
          <w:bCs/>
          <w:color w:val="3B3838"/>
          <w:sz w:val="24"/>
          <w:szCs w:val="24"/>
          <w:shd w:val="clear" w:color="auto" w:fill="FFFFFF"/>
        </w:rPr>
        <w:t>年版）</w:t>
      </w:r>
      <w:r w:rsidRPr="00C814DB">
        <w:rPr>
          <w:rFonts w:ascii="Times New Roman" w:eastAsia="宋体" w:hAnsi="Times New Roman" w:hint="eastAsia"/>
          <w:b w:val="0"/>
          <w:bCs/>
          <w:color w:val="3B3838"/>
          <w:sz w:val="24"/>
          <w:szCs w:val="24"/>
          <w:shd w:val="clear" w:color="auto" w:fill="FFFFFF"/>
        </w:rPr>
        <w:t>[J].</w:t>
      </w:r>
      <w:r w:rsidRPr="00C814DB">
        <w:rPr>
          <w:rFonts w:ascii="Times New Roman" w:eastAsia="宋体" w:hAnsi="Times New Roman" w:hint="eastAsia"/>
          <w:b w:val="0"/>
          <w:bCs/>
          <w:color w:val="3B3838"/>
          <w:sz w:val="24"/>
          <w:szCs w:val="24"/>
          <w:shd w:val="clear" w:color="auto" w:fill="FFFFFF"/>
        </w:rPr>
        <w:t>中国癌症杂志</w:t>
      </w:r>
      <w:r w:rsidRPr="00C814DB">
        <w:rPr>
          <w:rFonts w:ascii="Times New Roman" w:eastAsia="宋体" w:hAnsi="Times New Roman" w:hint="eastAsia"/>
          <w:b w:val="0"/>
          <w:bCs/>
          <w:color w:val="3B3838"/>
          <w:sz w:val="24"/>
          <w:szCs w:val="24"/>
          <w:shd w:val="clear" w:color="auto" w:fill="FFFFFF"/>
        </w:rPr>
        <w:t>, 2018, 28(10): 787-800.</w:t>
      </w:r>
    </w:p>
    <w:p w14:paraId="49B2CD86"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中国抗癌协会肿瘤标志专业委员会遗传性肿瘤标志物协作组</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中华医学会病理学分会分子病理学组</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同源重组修复缺陷临床检测与应用专家共识（</w:t>
      </w:r>
      <w:r w:rsidRPr="00C814DB">
        <w:rPr>
          <w:rFonts w:ascii="Times New Roman" w:eastAsia="宋体" w:hAnsi="Times New Roman" w:hint="eastAsia"/>
          <w:b w:val="0"/>
          <w:bCs/>
          <w:color w:val="3B3838"/>
          <w:sz w:val="24"/>
          <w:szCs w:val="24"/>
          <w:shd w:val="clear" w:color="auto" w:fill="FFFFFF"/>
        </w:rPr>
        <w:t>2021</w:t>
      </w:r>
      <w:r w:rsidRPr="00C814DB">
        <w:rPr>
          <w:rFonts w:ascii="Times New Roman" w:eastAsia="宋体" w:hAnsi="Times New Roman" w:hint="eastAsia"/>
          <w:b w:val="0"/>
          <w:bCs/>
          <w:color w:val="3B3838"/>
          <w:sz w:val="24"/>
          <w:szCs w:val="24"/>
          <w:shd w:val="clear" w:color="auto" w:fill="FFFFFF"/>
        </w:rPr>
        <w:t>版）</w:t>
      </w:r>
      <w:r w:rsidRPr="00C814DB">
        <w:rPr>
          <w:rFonts w:ascii="Times New Roman" w:eastAsia="宋体" w:hAnsi="Times New Roman" w:hint="eastAsia"/>
          <w:b w:val="0"/>
          <w:bCs/>
          <w:color w:val="3B3838"/>
          <w:sz w:val="24"/>
          <w:szCs w:val="24"/>
          <w:shd w:val="clear" w:color="auto" w:fill="FFFFFF"/>
        </w:rPr>
        <w:t>[J].</w:t>
      </w:r>
      <w:r w:rsidRPr="00C814DB">
        <w:rPr>
          <w:rFonts w:ascii="Times New Roman" w:eastAsia="宋体" w:hAnsi="Times New Roman" w:hint="eastAsia"/>
          <w:b w:val="0"/>
          <w:bCs/>
          <w:color w:val="3B3838"/>
          <w:sz w:val="24"/>
          <w:szCs w:val="24"/>
          <w:shd w:val="clear" w:color="auto" w:fill="FFFFFF"/>
        </w:rPr>
        <w:t>中国癌症防治杂志</w:t>
      </w:r>
      <w:r w:rsidRPr="00C814DB">
        <w:rPr>
          <w:rFonts w:ascii="Times New Roman" w:eastAsia="宋体" w:hAnsi="Times New Roman" w:hint="eastAsia"/>
          <w:b w:val="0"/>
          <w:bCs/>
          <w:color w:val="3B3838"/>
          <w:sz w:val="24"/>
          <w:szCs w:val="24"/>
          <w:shd w:val="clear" w:color="auto" w:fill="FFFFFF"/>
        </w:rPr>
        <w:t>, 2021, 13(4): 329-338.</w:t>
      </w:r>
    </w:p>
    <w:p w14:paraId="6B837C46"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中华医学会妇科肿瘤学分会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卵巢癌</w:t>
      </w:r>
      <w:r w:rsidRPr="00C814DB">
        <w:rPr>
          <w:rFonts w:ascii="Times New Roman" w:eastAsia="宋体" w:hAnsi="Times New Roman" w:hint="eastAsia"/>
          <w:b w:val="0"/>
          <w:bCs/>
          <w:color w:val="3B3838"/>
          <w:sz w:val="24"/>
          <w:szCs w:val="24"/>
          <w:shd w:val="clear" w:color="auto" w:fill="FFFFFF"/>
        </w:rPr>
        <w:t>PARP</w:t>
      </w:r>
      <w:r w:rsidRPr="00C814DB">
        <w:rPr>
          <w:rFonts w:ascii="Times New Roman" w:eastAsia="宋体" w:hAnsi="Times New Roman" w:hint="eastAsia"/>
          <w:b w:val="0"/>
          <w:bCs/>
          <w:color w:val="3B3838"/>
          <w:sz w:val="24"/>
          <w:szCs w:val="24"/>
          <w:shd w:val="clear" w:color="auto" w:fill="FFFFFF"/>
        </w:rPr>
        <w:t>抑制剂临床应用指南（</w:t>
      </w:r>
      <w:r w:rsidRPr="00C814DB">
        <w:rPr>
          <w:rFonts w:ascii="Times New Roman" w:eastAsia="宋体" w:hAnsi="Times New Roman" w:hint="eastAsia"/>
          <w:b w:val="0"/>
          <w:bCs/>
          <w:color w:val="3B3838"/>
          <w:sz w:val="24"/>
          <w:szCs w:val="24"/>
          <w:shd w:val="clear" w:color="auto" w:fill="FFFFFF"/>
        </w:rPr>
        <w:t>2022</w:t>
      </w:r>
      <w:r w:rsidRPr="00C814DB">
        <w:rPr>
          <w:rFonts w:ascii="Times New Roman" w:eastAsia="宋体" w:hAnsi="Times New Roman" w:hint="eastAsia"/>
          <w:b w:val="0"/>
          <w:bCs/>
          <w:color w:val="3B3838"/>
          <w:sz w:val="24"/>
          <w:szCs w:val="24"/>
          <w:shd w:val="clear" w:color="auto" w:fill="FFFFFF"/>
        </w:rPr>
        <w:t>版）</w:t>
      </w:r>
      <w:r w:rsidRPr="00C814DB">
        <w:rPr>
          <w:rFonts w:ascii="Times New Roman" w:eastAsia="宋体" w:hAnsi="Times New Roman" w:hint="eastAsia"/>
          <w:b w:val="0"/>
          <w:bCs/>
          <w:color w:val="3B3838"/>
          <w:sz w:val="24"/>
          <w:szCs w:val="24"/>
          <w:shd w:val="clear" w:color="auto" w:fill="FFFFFF"/>
        </w:rPr>
        <w:t>[J].</w:t>
      </w:r>
      <w:r w:rsidRPr="00C814DB">
        <w:rPr>
          <w:rFonts w:ascii="Times New Roman" w:eastAsia="宋体" w:hAnsi="Times New Roman" w:hint="eastAsia"/>
          <w:b w:val="0"/>
          <w:bCs/>
          <w:color w:val="3B3838"/>
          <w:sz w:val="24"/>
          <w:szCs w:val="24"/>
          <w:shd w:val="clear" w:color="auto" w:fill="FFFFFF"/>
        </w:rPr>
        <w:t>现代妇产科进展</w:t>
      </w:r>
      <w:r w:rsidRPr="00C814DB">
        <w:rPr>
          <w:rFonts w:ascii="Times New Roman" w:eastAsia="宋体" w:hAnsi="Times New Roman" w:hint="eastAsia"/>
          <w:b w:val="0"/>
          <w:bCs/>
          <w:color w:val="3B3838"/>
          <w:sz w:val="24"/>
          <w:szCs w:val="24"/>
          <w:shd w:val="clear" w:color="auto" w:fill="FFFFFF"/>
        </w:rPr>
        <w:t>,2022,31(8):561-572.</w:t>
      </w:r>
    </w:p>
    <w:p w14:paraId="2E43672B"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中国抗癌协会泌尿男生殖系肿瘤专业委员会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中国临床肿瘤学会前列腺癌专业委员会</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中国前列腺癌患者基因检测专家共识（</w:t>
      </w:r>
      <w:r w:rsidRPr="00C814DB">
        <w:rPr>
          <w:rFonts w:ascii="Times New Roman" w:eastAsia="宋体" w:hAnsi="Times New Roman" w:hint="eastAsia"/>
          <w:b w:val="0"/>
          <w:bCs/>
          <w:color w:val="3B3838"/>
          <w:sz w:val="24"/>
          <w:szCs w:val="24"/>
          <w:shd w:val="clear" w:color="auto" w:fill="FFFFFF"/>
        </w:rPr>
        <w:t>2020</w:t>
      </w:r>
      <w:r w:rsidRPr="00C814DB">
        <w:rPr>
          <w:rFonts w:ascii="Times New Roman" w:eastAsia="宋体" w:hAnsi="Times New Roman" w:hint="eastAsia"/>
          <w:b w:val="0"/>
          <w:bCs/>
          <w:color w:val="3B3838"/>
          <w:sz w:val="24"/>
          <w:szCs w:val="24"/>
          <w:shd w:val="clear" w:color="auto" w:fill="FFFFFF"/>
        </w:rPr>
        <w:t>年版）</w:t>
      </w:r>
      <w:r w:rsidRPr="00C814DB">
        <w:rPr>
          <w:rFonts w:ascii="Times New Roman" w:eastAsia="宋体" w:hAnsi="Times New Roman" w:hint="eastAsia"/>
          <w:b w:val="0"/>
          <w:bCs/>
          <w:color w:val="3B3838"/>
          <w:sz w:val="24"/>
          <w:szCs w:val="24"/>
          <w:shd w:val="clear" w:color="auto" w:fill="FFFFFF"/>
        </w:rPr>
        <w:t>[J].</w:t>
      </w:r>
      <w:r w:rsidRPr="00C814DB">
        <w:rPr>
          <w:rFonts w:ascii="Times New Roman" w:eastAsia="宋体" w:hAnsi="Times New Roman" w:hint="eastAsia"/>
          <w:b w:val="0"/>
          <w:bCs/>
          <w:color w:val="3B3838"/>
          <w:sz w:val="24"/>
          <w:szCs w:val="24"/>
          <w:shd w:val="clear" w:color="auto" w:fill="FFFFFF"/>
        </w:rPr>
        <w:t>中国癌症杂志</w:t>
      </w:r>
      <w:r w:rsidRPr="00C814DB">
        <w:rPr>
          <w:rFonts w:ascii="Times New Roman" w:eastAsia="宋体" w:hAnsi="Times New Roman" w:hint="eastAsia"/>
          <w:b w:val="0"/>
          <w:bCs/>
          <w:color w:val="3B3838"/>
          <w:sz w:val="24"/>
          <w:szCs w:val="24"/>
          <w:shd w:val="clear" w:color="auto" w:fill="FFFFFF"/>
        </w:rPr>
        <w:t>, 2020, 30(7): 551-560.</w:t>
      </w:r>
    </w:p>
    <w:p w14:paraId="6AD99916"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NCCN Clinical Practice Guidelines in Oncology-Genetic/Familial High-Risk Assessment: Breast, Ovarian, and Pancreatic. (version 2.2024)[EB/OL]. http://www.nccn.org</w:t>
      </w:r>
    </w:p>
    <w:p w14:paraId="38D2D13C"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NCCN Clinical Practice Guidelines in Oncology-Breast Cancer Risk Reduction. (version 1.2024)[EB/OL]. http://www.nccn.org</w:t>
      </w:r>
    </w:p>
    <w:p w14:paraId="0AB1C889"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NCCN Clinical Practice Guidelines in Oncology-Ovarian Cancer Including Fallopian Tube Cancer and Primary Peritoneal Cancer. (version 2.2023)[EB/OL]. http://www.nccn.org</w:t>
      </w:r>
    </w:p>
    <w:p w14:paraId="6166EC29"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NCCN Clinical Practice Guidelines in Oncology-Breast Cancer. (version 4.2023)[EB/OL]. http://www.nccn.org</w:t>
      </w:r>
    </w:p>
    <w:p w14:paraId="447ECA2B"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NCCN Clinical Practice Guidelines in Oncology-Prostate Cancer. (version 4.2023)[EB/OL]. http://www.nccn.org</w:t>
      </w:r>
    </w:p>
    <w:p w14:paraId="4F1EB554"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NCCN Clinical Practice Guidelines in Oncology-Pancreatic Adenocarcinoma. (version 2.2023)[EB/OL]. http://www.nccn.org</w:t>
      </w:r>
    </w:p>
    <w:p w14:paraId="681F2BF5"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64B0C"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王秋菊</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沈亦平</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邬玲仟</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陈少科</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陈子江</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方向东</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傅松滨</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龚瑶琴</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黄国英</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黄国宁</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黄荷凤</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黄山</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郝晓柯</w:t>
      </w:r>
      <w:r w:rsidRPr="00C814DB">
        <w:rPr>
          <w:rFonts w:ascii="Times New Roman" w:eastAsia="宋体" w:hAnsi="Times New Roman" w:hint="eastAsia"/>
          <w:b w:val="0"/>
          <w:bCs/>
          <w:color w:val="3B3838"/>
          <w:sz w:val="24"/>
          <w:szCs w:val="24"/>
          <w:shd w:val="clear" w:color="auto" w:fill="FFFFFF"/>
        </w:rPr>
        <w:t xml:space="preserve"> 12, </w:t>
      </w:r>
      <w:r w:rsidRPr="00C814DB">
        <w:rPr>
          <w:rFonts w:ascii="Times New Roman" w:eastAsia="宋体" w:hAnsi="Times New Roman" w:hint="eastAsia"/>
          <w:b w:val="0"/>
          <w:bCs/>
          <w:color w:val="3B3838"/>
          <w:sz w:val="24"/>
          <w:szCs w:val="24"/>
          <w:shd w:val="clear" w:color="auto" w:fill="FFFFFF"/>
        </w:rPr>
        <w:t>冀小平</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李红</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梁波</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廖灿</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乔杰</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苏海翔</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魏军</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王磊</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王树玉</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王晓红</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邢清和</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徐湘民</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袁慧军</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杨正林</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周从容</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周文浩</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曾勇</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张学军</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黄涛生</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郑茜</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秦胜营</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于世辉</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关静</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王洪阳</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lastRenderedPageBreak/>
        <w:t>王大勇</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赵立东</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王慧君</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孔令印</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宣黎明</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冒燕</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祝轶君</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徐君玲</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王剑青</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王莉</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赵婷</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秦一丁</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夏滢颖</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樊丽霞</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赵丁丁</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邱浩</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贺林</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遗传变异分类标准与指南</w:t>
      </w:r>
      <w:r w:rsidRPr="00C814DB">
        <w:rPr>
          <w:rFonts w:ascii="Times New Roman" w:eastAsia="宋体" w:hAnsi="Times New Roman" w:hint="eastAsia"/>
          <w:b w:val="0"/>
          <w:bCs/>
          <w:color w:val="3B3838"/>
          <w:sz w:val="24"/>
          <w:szCs w:val="24"/>
          <w:shd w:val="clear" w:color="auto" w:fill="FFFFFF"/>
        </w:rPr>
        <w:t xml:space="preserve">[J]. </w:t>
      </w:r>
      <w:r w:rsidRPr="00C814DB">
        <w:rPr>
          <w:rFonts w:ascii="Times New Roman" w:eastAsia="宋体" w:hAnsi="Times New Roman" w:hint="eastAsia"/>
          <w:b w:val="0"/>
          <w:bCs/>
          <w:color w:val="3B3838"/>
          <w:sz w:val="24"/>
          <w:szCs w:val="24"/>
          <w:shd w:val="clear" w:color="auto" w:fill="FFFFFF"/>
        </w:rPr>
        <w:t>中国科学：生命科学</w:t>
      </w:r>
      <w:r w:rsidRPr="00C814DB">
        <w:rPr>
          <w:rFonts w:ascii="Times New Roman" w:eastAsia="宋体" w:hAnsi="Times New Roman" w:hint="eastAsia"/>
          <w:b w:val="0"/>
          <w:bCs/>
          <w:color w:val="3B3838"/>
          <w:sz w:val="24"/>
          <w:szCs w:val="24"/>
          <w:shd w:val="clear" w:color="auto" w:fill="FFFFFF"/>
        </w:rPr>
        <w:t>, 2017, 47(6): 668-688.</w:t>
      </w:r>
    </w:p>
    <w:p w14:paraId="33D9B432" w14:textId="77777777"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b w:val="0"/>
          <w:bCs/>
          <w:color w:val="3B3838"/>
          <w:sz w:val="24"/>
          <w:szCs w:val="24"/>
          <w:shd w:val="clear" w:color="auto" w:fill="FFFFFF"/>
        </w:rPr>
        <w:t xml:space="preserve">Li MM, Datto M, </w:t>
      </w:r>
      <w:proofErr w:type="spellStart"/>
      <w:r w:rsidRPr="00C814DB">
        <w:rPr>
          <w:rFonts w:ascii="Times New Roman" w:eastAsia="宋体" w:hAnsi="Times New Roman"/>
          <w:b w:val="0"/>
          <w:bCs/>
          <w:color w:val="3B3838"/>
          <w:sz w:val="24"/>
          <w:szCs w:val="24"/>
          <w:shd w:val="clear" w:color="auto" w:fill="FFFFFF"/>
        </w:rPr>
        <w:t>Duncavage</w:t>
      </w:r>
      <w:proofErr w:type="spellEnd"/>
      <w:r w:rsidRPr="00C814DB">
        <w:rPr>
          <w:rFonts w:ascii="Times New Roman" w:eastAsia="宋体" w:hAnsi="Times New Roman"/>
          <w:b w:val="0"/>
          <w:bCs/>
          <w:color w:val="3B3838"/>
          <w:sz w:val="24"/>
          <w:szCs w:val="24"/>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191F6ED" w14:textId="14A41F1B" w:rsidR="00C814DB" w:rsidRPr="00C814DB" w:rsidRDefault="00C814DB" w:rsidP="00C814D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C814DB">
        <w:rPr>
          <w:rFonts w:ascii="Times New Roman" w:eastAsia="宋体" w:hAnsi="Times New Roman" w:hint="eastAsia"/>
          <w:b w:val="0"/>
          <w:bCs/>
          <w:color w:val="3B3838"/>
          <w:sz w:val="24"/>
          <w:szCs w:val="24"/>
          <w:shd w:val="clear" w:color="auto" w:fill="FFFFFF"/>
        </w:rPr>
        <w:t>二代测序临床报告解读专家组</w:t>
      </w:r>
      <w:r w:rsidRPr="00C814DB">
        <w:rPr>
          <w:rFonts w:ascii="Times New Roman" w:eastAsia="宋体" w:hAnsi="Times New Roman" w:hint="eastAsia"/>
          <w:b w:val="0"/>
          <w:bCs/>
          <w:color w:val="3B3838"/>
          <w:sz w:val="24"/>
          <w:szCs w:val="24"/>
          <w:shd w:val="clear" w:color="auto" w:fill="FFFFFF"/>
        </w:rPr>
        <w:t xml:space="preserve">. </w:t>
      </w:r>
      <w:r w:rsidRPr="00C814DB">
        <w:rPr>
          <w:rFonts w:ascii="Times New Roman" w:eastAsia="宋体" w:hAnsi="Times New Roman" w:hint="eastAsia"/>
          <w:b w:val="0"/>
          <w:bCs/>
          <w:color w:val="3B3838"/>
          <w:sz w:val="24"/>
          <w:szCs w:val="24"/>
          <w:shd w:val="clear" w:color="auto" w:fill="FFFFFF"/>
        </w:rPr>
        <w:t>二代测序临床报告解读指引</w:t>
      </w:r>
      <w:r w:rsidRPr="00C814DB">
        <w:rPr>
          <w:rFonts w:ascii="Times New Roman" w:eastAsia="宋体" w:hAnsi="Times New Roman" w:hint="eastAsia"/>
          <w:b w:val="0"/>
          <w:bCs/>
          <w:color w:val="3B3838"/>
          <w:sz w:val="24"/>
          <w:szCs w:val="24"/>
          <w:shd w:val="clear" w:color="auto" w:fill="FFFFFF"/>
        </w:rPr>
        <w:t xml:space="preserve">[J]. </w:t>
      </w:r>
      <w:r w:rsidRPr="00C814DB">
        <w:rPr>
          <w:rFonts w:ascii="Times New Roman" w:eastAsia="宋体" w:hAnsi="Times New Roman" w:hint="eastAsia"/>
          <w:b w:val="0"/>
          <w:bCs/>
          <w:color w:val="3B3838"/>
          <w:sz w:val="24"/>
          <w:szCs w:val="24"/>
          <w:shd w:val="clear" w:color="auto" w:fill="FFFFFF"/>
        </w:rPr>
        <w:t>循证医学</w:t>
      </w:r>
      <w:r w:rsidRPr="00C814DB">
        <w:rPr>
          <w:rFonts w:ascii="Times New Roman" w:eastAsia="宋体" w:hAnsi="Times New Roman" w:hint="eastAsia"/>
          <w:b w:val="0"/>
          <w:bCs/>
          <w:color w:val="3B3838"/>
          <w:sz w:val="24"/>
          <w:szCs w:val="24"/>
          <w:shd w:val="clear" w:color="auto" w:fill="FFFFFF"/>
        </w:rPr>
        <w:t>, 2020, 20(4): 193-202.</w:t>
      </w:r>
    </w:p>
    <w:p w14:paraId="3C773427" w14:textId="62A0CB47" w:rsidR="00D46E74" w:rsidRPr="006D6184" w:rsidRDefault="00D46E74" w:rsidP="00D46E7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for a in </w:t>
      </w:r>
      <w:r>
        <w:rPr>
          <w:rFonts w:ascii="Times New Roman" w:eastAsia="宋体" w:hAnsi="Times New Roman"/>
          <w:b w:val="0"/>
          <w:bCs/>
          <w:color w:val="3B3838"/>
          <w:sz w:val="24"/>
          <w:szCs w:val="24"/>
          <w:shd w:val="clear" w:color="auto" w:fill="FFFFFF"/>
        </w:rPr>
        <w:t>(</w:t>
      </w:r>
      <w:r w:rsidRPr="00912BEE">
        <w:rPr>
          <w:rFonts w:ascii="Times New Roman" w:eastAsia="宋体" w:hAnsi="Times New Roman"/>
          <w:b w:val="0"/>
          <w:bCs/>
          <w:color w:val="3B3838"/>
          <w:sz w:val="24"/>
          <w:szCs w:val="24"/>
          <w:shd w:val="clear" w:color="auto" w:fill="FFFFFF"/>
        </w:rPr>
        <w:t>refer.dynamic.</w:t>
      </w:r>
      <w:r w:rsidRPr="00D46E74">
        <w:rPr>
          <w:rFonts w:ascii="Times New Roman" w:eastAsia="宋体" w:hAnsi="Times New Roman"/>
          <w:b w:val="0"/>
          <w:bCs/>
          <w:color w:val="3B3838"/>
          <w:sz w:val="24"/>
          <w:szCs w:val="24"/>
          <w:shd w:val="clear" w:color="auto" w:fill="FFFFFF"/>
        </w:rPr>
        <w:t>s_var12_gene</w:t>
      </w:r>
      <w:r>
        <w:rPr>
          <w:rFonts w:ascii="Times New Roman" w:eastAsia="宋体" w:hAnsi="Times New Roman"/>
          <w:b w:val="0"/>
          <w:bCs/>
          <w:color w:val="3B3838"/>
          <w:sz w:val="24"/>
          <w:szCs w:val="24"/>
          <w:shd w:val="clear" w:color="auto" w:fill="FFFFFF"/>
        </w:rPr>
        <w:t xml:space="preserve"> + </w:t>
      </w:r>
      <w:r w:rsidRPr="00912BEE">
        <w:rPr>
          <w:rFonts w:ascii="Times New Roman" w:eastAsia="宋体" w:hAnsi="Times New Roman"/>
          <w:b w:val="0"/>
          <w:bCs/>
          <w:color w:val="3B3838"/>
          <w:sz w:val="24"/>
          <w:szCs w:val="24"/>
          <w:shd w:val="clear" w:color="auto" w:fill="FFFFFF"/>
        </w:rPr>
        <w:t>refer.dynamic.</w:t>
      </w:r>
      <w:r w:rsidRPr="00D46E74">
        <w:rPr>
          <w:rFonts w:ascii="Times New Roman" w:eastAsia="宋体" w:hAnsi="Times New Roman"/>
          <w:b w:val="0"/>
          <w:bCs/>
          <w:color w:val="3B3838"/>
          <w:sz w:val="24"/>
          <w:szCs w:val="24"/>
          <w:shd w:val="clear" w:color="auto" w:fill="FFFFFF"/>
        </w:rPr>
        <w:t>s_var12_inter</w:t>
      </w:r>
      <w:r>
        <w:rPr>
          <w:rFonts w:ascii="Times New Roman" w:eastAsia="宋体" w:hAnsi="Times New Roman"/>
          <w:b w:val="0"/>
          <w:bCs/>
          <w:color w:val="3B3838"/>
          <w:sz w:val="24"/>
          <w:szCs w:val="24"/>
          <w:shd w:val="clear" w:color="auto" w:fill="FFFFFF"/>
        </w:rPr>
        <w:t>)</w:t>
      </w:r>
      <w:r w:rsidRPr="006D6184">
        <w:rPr>
          <w:rFonts w:ascii="Times New Roman" w:eastAsia="宋体" w:hAnsi="Times New Roman"/>
          <w:b w:val="0"/>
          <w:bCs/>
          <w:color w:val="3B3838"/>
          <w:sz w:val="24"/>
          <w:szCs w:val="24"/>
          <w:shd w:val="clear" w:color="auto" w:fill="FFFFFF"/>
        </w:rPr>
        <w:t>|unique %}</w:t>
      </w:r>
    </w:p>
    <w:p w14:paraId="44188A51" w14:textId="77777777" w:rsidR="00D46E74" w:rsidRPr="006D6184" w:rsidRDefault="00D46E74" w:rsidP="00D46E7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{{a}}</w:t>
      </w:r>
    </w:p>
    <w:p w14:paraId="265C42B0" w14:textId="120A1DD6" w:rsidR="00D46E74" w:rsidRPr="00D46E74" w:rsidRDefault="00D46E74" w:rsidP="00D46E7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w:t>
      </w:r>
      <w:proofErr w:type="spellStart"/>
      <w:r w:rsidRPr="006D6184">
        <w:rPr>
          <w:rFonts w:ascii="Times New Roman" w:eastAsia="宋体" w:hAnsi="Times New Roman"/>
          <w:b w:val="0"/>
          <w:bCs/>
          <w:color w:val="3B3838"/>
          <w:sz w:val="24"/>
          <w:szCs w:val="24"/>
          <w:shd w:val="clear" w:color="auto" w:fill="FFFFFF"/>
        </w:rPr>
        <w:t>endfor</w:t>
      </w:r>
      <w:proofErr w:type="spellEnd"/>
      <w:r w:rsidRPr="006D6184">
        <w:rPr>
          <w:rFonts w:ascii="Times New Roman" w:eastAsia="宋体" w:hAnsi="Times New Roman"/>
          <w:b w:val="0"/>
          <w:bCs/>
          <w:color w:val="3B3838"/>
          <w:sz w:val="24"/>
          <w:szCs w:val="24"/>
          <w:shd w:val="clear" w:color="auto" w:fill="FFFFFF"/>
        </w:rPr>
        <w:t>%}</w:t>
      </w:r>
    </w:p>
    <w:sectPr w:rsidR="00D46E74" w:rsidRPr="00D46E7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CC08A" w14:textId="77777777" w:rsidR="007A1143" w:rsidRDefault="007A1143">
      <w:pPr>
        <w:spacing w:line="240" w:lineRule="auto"/>
      </w:pPr>
      <w:r>
        <w:separator/>
      </w:r>
    </w:p>
  </w:endnote>
  <w:endnote w:type="continuationSeparator" w:id="0">
    <w:p w14:paraId="5289294E" w14:textId="77777777" w:rsidR="007A1143" w:rsidRDefault="007A11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4A36D364" w14:textId="77777777">
      <w:tc>
        <w:tcPr>
          <w:tcW w:w="386" w:type="pct"/>
        </w:tcPr>
        <w:p w14:paraId="4F7FFF47"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C71152A"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945EC5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77CE0"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ACE5F9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6BE3EBF6" w14:textId="77777777">
      <w:tc>
        <w:tcPr>
          <w:tcW w:w="386" w:type="pct"/>
          <w:tcBorders>
            <w:bottom w:val="single" w:sz="18" w:space="0" w:color="1654B0"/>
          </w:tcBorders>
          <w:shd w:val="clear" w:color="auto" w:fill="FFFFFF"/>
        </w:tcPr>
        <w:p w14:paraId="34587680"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0C6D7CE"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51C25E"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69A6366"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323B4A5A" w14:textId="77777777">
      <w:trPr>
        <w:trHeight w:val="322"/>
      </w:trPr>
      <w:tc>
        <w:tcPr>
          <w:tcW w:w="386" w:type="pct"/>
          <w:tcBorders>
            <w:top w:val="single" w:sz="18" w:space="0" w:color="1654B0"/>
          </w:tcBorders>
        </w:tcPr>
        <w:p w14:paraId="21E02724"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4A63C6"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3E278A6"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27A03491" w14:textId="77777777" w:rsidR="00A20E8A" w:rsidRDefault="00A20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120CF260" w14:textId="77777777">
      <w:tc>
        <w:tcPr>
          <w:tcW w:w="386" w:type="pct"/>
        </w:tcPr>
        <w:p w14:paraId="3F34FEFD"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6F270DCB"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849157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6C84AB8"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CE7574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2D95392D" w14:textId="77777777">
      <w:tc>
        <w:tcPr>
          <w:tcW w:w="386" w:type="pct"/>
          <w:tcBorders>
            <w:bottom w:val="single" w:sz="18" w:space="0" w:color="1654B0"/>
          </w:tcBorders>
          <w:shd w:val="clear" w:color="auto" w:fill="FFFFFF"/>
        </w:tcPr>
        <w:p w14:paraId="15BB18B5"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5AF8456"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7974B400"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D2A5F43"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5ACC80B0" w14:textId="77777777">
      <w:trPr>
        <w:trHeight w:val="322"/>
      </w:trPr>
      <w:tc>
        <w:tcPr>
          <w:tcW w:w="386" w:type="pct"/>
          <w:tcBorders>
            <w:top w:val="single" w:sz="18" w:space="0" w:color="1654B0"/>
          </w:tcBorders>
        </w:tcPr>
        <w:p w14:paraId="50BF30CA"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F8D20"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C95D300"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7271CA09" w14:textId="77777777" w:rsidR="00A20E8A"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7DE7A" w14:textId="77777777" w:rsidR="007A1143" w:rsidRDefault="007A1143">
      <w:pPr>
        <w:spacing w:after="0"/>
      </w:pPr>
      <w:r>
        <w:separator/>
      </w:r>
    </w:p>
  </w:footnote>
  <w:footnote w:type="continuationSeparator" w:id="0">
    <w:p w14:paraId="58B3DAE0" w14:textId="77777777" w:rsidR="007A1143" w:rsidRDefault="007A11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77777777" w:rsidR="00A20E8A" w:rsidRDefault="0073083C">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2A41305C" wp14:editId="21E90421">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D78"/>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1574</TotalTime>
  <Pages>9</Pages>
  <Words>1587</Words>
  <Characters>9046</Characters>
  <Application>Microsoft Office Word</Application>
  <DocSecurity>0</DocSecurity>
  <Lines>75</Lines>
  <Paragraphs>21</Paragraphs>
  <ScaleCrop>false</ScaleCrop>
  <Company>P R C</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95</cp:revision>
  <cp:lastPrinted>2024-05-24T10:36:00Z</cp:lastPrinted>
  <dcterms:created xsi:type="dcterms:W3CDTF">2024-05-24T07:03:00Z</dcterms:created>
  <dcterms:modified xsi:type="dcterms:W3CDTF">2024-11-05T02:49:00Z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