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77777777" w:rsidR="005F7B00" w:rsidRDefault="00902839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8670F54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5F7B00" w14:paraId="7531C833" w14:textId="77777777" w:rsidTr="003E7638">
        <w:trPr>
          <w:trHeight w:hRule="exact" w:val="567"/>
        </w:trPr>
        <w:tc>
          <w:tcPr>
            <w:tcW w:w="9526" w:type="dxa"/>
            <w:gridSpan w:val="2"/>
            <w:shd w:val="clear" w:color="auto" w:fill="00653B"/>
            <w:vAlign w:val="center"/>
          </w:tcPr>
          <w:p w14:paraId="65FEA5F6" w14:textId="52069F1A" w:rsidR="005F7B00" w:rsidRDefault="00902839" w:rsidP="00B574E4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5F7B00" w14:paraId="7AFE5EDF" w14:textId="77777777" w:rsidTr="003E7638">
        <w:trPr>
          <w:trHeight w:hRule="exact" w:val="567"/>
        </w:trPr>
        <w:tc>
          <w:tcPr>
            <w:tcW w:w="9526" w:type="dxa"/>
            <w:gridSpan w:val="2"/>
            <w:vAlign w:val="center"/>
          </w:tcPr>
          <w:p w14:paraId="11DA33B5" w14:textId="19DB6076" w:rsidR="005F7B00" w:rsidRPr="009B124E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62BF8352" w14:textId="77777777" w:rsidTr="003E7638">
        <w:trPr>
          <w:trHeight w:hRule="exact" w:val="567"/>
        </w:trPr>
        <w:tc>
          <w:tcPr>
            <w:tcW w:w="4763" w:type="dxa"/>
            <w:vAlign w:val="center"/>
          </w:tcPr>
          <w:p w14:paraId="0B8A9317" w14:textId="4BC1CFC3" w:rsidR="005F7B00" w:rsidRPr="009B124E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 xml:space="preserve"> 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763" w:type="dxa"/>
            <w:vAlign w:val="center"/>
          </w:tcPr>
          <w:p w14:paraId="5E39996B" w14:textId="2B9ABA63" w:rsidR="005F7B00" w:rsidRPr="009B124E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0BA75196" w14:textId="77777777" w:rsidTr="003E7638">
        <w:trPr>
          <w:trHeight w:hRule="exact" w:val="567"/>
        </w:trPr>
        <w:tc>
          <w:tcPr>
            <w:tcW w:w="4763" w:type="dxa"/>
            <w:vAlign w:val="center"/>
          </w:tcPr>
          <w:p w14:paraId="180D0FED" w14:textId="77777777" w:rsidR="009B124E" w:rsidRPr="009B124E" w:rsidRDefault="009B124E" w:rsidP="009B124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{%p if 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sample.gender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==</w:t>
            </w:r>
            <w:proofErr w:type="gram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%}</w:t>
            </w:r>
          </w:p>
          <w:p w14:paraId="4828C88B" w14:textId="77777777" w:rsidR="009B124E" w:rsidRPr="009B124E" w:rsidRDefault="009B124E" w:rsidP="009B124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5FA26758" w14:textId="77777777" w:rsidR="009B124E" w:rsidRPr="009B124E" w:rsidRDefault="009B124E" w:rsidP="009B124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else%}</w:t>
            </w:r>
          </w:p>
          <w:p w14:paraId="7463758E" w14:textId="77777777" w:rsidR="009B124E" w:rsidRPr="009B124E" w:rsidRDefault="009B124E" w:rsidP="009B124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681DDEBE" w14:textId="26A1B994" w:rsidR="005F7B00" w:rsidRPr="009B124E" w:rsidRDefault="009B124E" w:rsidP="009B124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5CF705D3" w14:textId="346519E0" w:rsidR="005F7B00" w:rsidRPr="009B124E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 w:rsidR="009E79FC"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 xml:space="preserve"> }}</w:t>
            </w:r>
          </w:p>
        </w:tc>
      </w:tr>
      <w:tr w:rsidR="005F7B00" w14:paraId="4E25F2FF" w14:textId="77777777" w:rsidTr="003E7638">
        <w:trPr>
          <w:trHeight w:hRule="exact" w:val="567"/>
        </w:trPr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CF1AA7B" w14:textId="2078823D" w:rsidR="005F7B00" w:rsidRDefault="00902839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F7B00" w14:paraId="7DFBC08C" w14:textId="77777777" w:rsidTr="003E7638">
        <w:trPr>
          <w:trHeight w:hRule="exact" w:val="567"/>
        </w:trPr>
        <w:tc>
          <w:tcPr>
            <w:tcW w:w="4763" w:type="dxa"/>
            <w:vAlign w:val="center"/>
          </w:tcPr>
          <w:p w14:paraId="20E7F0F6" w14:textId="278CC221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9B124E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="009B124E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7D13DC6A" w14:textId="67F9BDD5" w:rsidR="005F7B00" w:rsidRDefault="00902839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sample.visit</w:t>
            </w:r>
            <w:proofErr w:type="gram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_name</w:t>
            </w:r>
            <w:proofErr w:type="spellEnd"/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5F7B00" w14:paraId="5AD0F27C" w14:textId="77777777" w:rsidTr="003E7638">
        <w:trPr>
          <w:trHeight w:hRule="exact" w:val="567"/>
        </w:trPr>
        <w:tc>
          <w:tcPr>
            <w:tcW w:w="4763" w:type="dxa"/>
            <w:vAlign w:val="center"/>
          </w:tcPr>
          <w:p w14:paraId="3E16A662" w14:textId="403445E1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ample.specimen</w:t>
            </w:r>
            <w:proofErr w:type="gramEnd"/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5F9CA42" w14:textId="695CB8C0" w:rsidR="005F7B00" w:rsidRDefault="00902839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F7B00" w14:paraId="37079802" w14:textId="77777777" w:rsidTr="003E7638">
        <w:trPr>
          <w:trHeight w:hRule="exact" w:val="567"/>
        </w:trPr>
        <w:tc>
          <w:tcPr>
            <w:tcW w:w="4763" w:type="dxa"/>
            <w:vAlign w:val="center"/>
          </w:tcPr>
          <w:p w14:paraId="1CF354D8" w14:textId="48040FD2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  <w:r w:rsidR="0090283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9B124E">
              <w:t xml:space="preserve"> 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3E0A951F" w14:textId="4EE5DE17" w:rsidR="005F7B00" w:rsidRDefault="005F5F2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  <w:r w:rsidR="009E79FC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：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</w:p>
    <w:p w14:paraId="24C180A8" w14:textId="5AF08AE5" w:rsidR="00B574E4" w:rsidRPr="003E7638" w:rsidRDefault="00902839" w:rsidP="00B574E4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基因突变检测结果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418"/>
        <w:gridCol w:w="1417"/>
        <w:gridCol w:w="1843"/>
        <w:gridCol w:w="1134"/>
      </w:tblGrid>
      <w:tr w:rsidR="00B574E4" w14:paraId="0036D006" w14:textId="77777777" w:rsidTr="003E7638">
        <w:trPr>
          <w:trHeight w:hRule="exact" w:val="719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3"/>
          <w:p w14:paraId="49860B2E" w14:textId="77777777" w:rsidR="005F7B00" w:rsidRPr="003E7638" w:rsidRDefault="00902839" w:rsidP="00B574E4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67BA1B" w14:textId="77777777" w:rsidR="005F7B00" w:rsidRPr="003E7638" w:rsidRDefault="00902839" w:rsidP="00B574E4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45B61D8" w14:textId="77777777" w:rsidR="005F7B00" w:rsidRPr="003E7638" w:rsidRDefault="00902839" w:rsidP="00B574E4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0C5729D" w14:textId="77777777" w:rsidR="005F7B00" w:rsidRPr="003E7638" w:rsidRDefault="00902839" w:rsidP="00B574E4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1CAAE07" w14:textId="77777777" w:rsidR="005F7B00" w:rsidRPr="003E7638" w:rsidRDefault="00902839" w:rsidP="00B574E4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78316D7" w14:textId="77777777" w:rsidR="005F7B00" w:rsidRPr="003E7638" w:rsidRDefault="00902839" w:rsidP="00B574E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</w:tcPr>
          <w:p w14:paraId="0B100259" w14:textId="77777777" w:rsidR="005F7B00" w:rsidRPr="003E7638" w:rsidRDefault="00902839" w:rsidP="00B574E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Cs w:val="21"/>
              </w:rPr>
              <w:t>是否为注册检位点</w:t>
            </w:r>
          </w:p>
        </w:tc>
      </w:tr>
      <w:tr w:rsidR="009B124E" w14:paraId="5DEC9ED7" w14:textId="77777777" w:rsidTr="00D0689A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20AE6886" w14:textId="7596B3AB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 xml:space="preserve">%tr if </w:t>
            </w:r>
            <w:proofErr w:type="spellStart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qc.dna_data_qc</w:t>
            </w:r>
            <w:proofErr w:type="spellEnd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 xml:space="preserve"> and </w:t>
            </w:r>
            <w:proofErr w:type="spellStart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qc.dna_data_</w:t>
            </w:r>
            <w:proofErr w:type="gramStart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qc.final</w:t>
            </w:r>
            <w:proofErr w:type="spellEnd"/>
            <w:proofErr w:type="gramEnd"/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 xml:space="preserve"> != “F”%}</w:t>
            </w:r>
          </w:p>
        </w:tc>
      </w:tr>
      <w:tr w:rsidR="009B124E" w14:paraId="2C390564" w14:textId="77777777" w:rsidTr="00D0689A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367B1DF5" w14:textId="317798DD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if 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124E" w14:paraId="7692F1E5" w14:textId="77777777" w:rsidTr="00D0689A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2141DB9E" w14:textId="543025EF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124E" w14:paraId="7735FBB2" w14:textId="77777777" w:rsidTr="003E7638">
        <w:trPr>
          <w:trHeight w:hRule="exact" w:val="567"/>
        </w:trPr>
        <w:tc>
          <w:tcPr>
            <w:tcW w:w="1134" w:type="dxa"/>
            <w:shd w:val="clear" w:color="auto" w:fill="FFFFFF"/>
            <w:noWrap/>
            <w:vAlign w:val="center"/>
          </w:tcPr>
          <w:p w14:paraId="339A6987" w14:textId="4B7EF5C9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GFR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5CF305E" w14:textId="79AF262E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a.transcript</w:t>
            </w:r>
            <w:proofErr w:type="gramEnd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_primary</w:t>
            </w:r>
            <w:r w:rsidR="00A13A77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_</w:t>
            </w:r>
            <w:r w:rsidR="00A13A7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simple</w:t>
            </w:r>
            <w:proofErr w:type="spellEnd"/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87F5533" w14:textId="29E3BF2B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7F45135" w14:textId="2129AA0B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2DC2343" w14:textId="566D1E2B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241A659" w14:textId="332B3DF9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a.freq</w:t>
            </w:r>
            <w:proofErr w:type="gram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_str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}}({{</w:t>
            </w:r>
            <w:proofErr w:type="spell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a.var_ss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}}/{{</w:t>
            </w:r>
            <w:proofErr w:type="spellStart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a.depth_ss</w:t>
            </w:r>
            <w:proofErr w:type="spellEnd"/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}})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F557F2" w14:textId="77777777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in [“p.(L858R)”, “p.(T790M)”] or “EGFR Exon19 del” in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a.var_category_names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or “EGFR Exon20 ins” in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a.var_category_names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  <w:p w14:paraId="0B3B9444" w14:textId="77777777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是</w:t>
            </w:r>
          </w:p>
          <w:p w14:paraId="07B3B4C5" w14:textId="77777777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{%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 else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%}</w:t>
            </w:r>
          </w:p>
          <w:p w14:paraId="142AA8A9" w14:textId="77777777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否</w:t>
            </w:r>
            <w:proofErr w:type="gramEnd"/>
          </w:p>
          <w:p w14:paraId="7B97521C" w14:textId="43950C9F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{%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p endif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%}</w:t>
            </w:r>
          </w:p>
        </w:tc>
      </w:tr>
      <w:tr w:rsidR="009B124E" w14:paraId="579F7594" w14:textId="77777777" w:rsidTr="0074010F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5880934A" w14:textId="66F58535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9B124E" w14:paraId="0DF0CFD4" w14:textId="77777777" w:rsidTr="0074010F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245FE56A" w14:textId="74043B8F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9B124E" w14:paraId="398210B1" w14:textId="77777777" w:rsidTr="003E7638">
        <w:trPr>
          <w:trHeight w:hRule="exact" w:val="567"/>
        </w:trPr>
        <w:tc>
          <w:tcPr>
            <w:tcW w:w="1134" w:type="dxa"/>
            <w:shd w:val="clear" w:color="auto" w:fill="FFFFFF"/>
            <w:noWrap/>
            <w:vAlign w:val="center"/>
          </w:tcPr>
          <w:p w14:paraId="51D738CA" w14:textId="651E2230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EGFR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8AA8995" w14:textId="7F101B56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16CE614" w14:textId="2D39BE5C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9C37C02" w14:textId="4A7BC493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B794466" w14:textId="3E13BA26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641D792" w14:textId="449DFCC3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未检出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6F7BFB4" w14:textId="3DCAFB0D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9B124E" w14:paraId="1057B890" w14:textId="77777777" w:rsidTr="001647FB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60E01A24" w14:textId="5678DD72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  <w:tr w:rsidR="009B124E" w14:paraId="2FD3EC56" w14:textId="77777777" w:rsidTr="001647FB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77F291E5" w14:textId="75D4448A" w:rsidR="009B124E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else%}</w:t>
            </w:r>
          </w:p>
        </w:tc>
      </w:tr>
      <w:tr w:rsidR="009B124E" w14:paraId="2B9399F8" w14:textId="77777777" w:rsidTr="003E7638">
        <w:trPr>
          <w:trHeight w:hRule="exact" w:val="567"/>
        </w:trPr>
        <w:tc>
          <w:tcPr>
            <w:tcW w:w="1134" w:type="dxa"/>
            <w:shd w:val="clear" w:color="auto" w:fill="FFFFFF"/>
            <w:noWrap/>
            <w:vAlign w:val="center"/>
          </w:tcPr>
          <w:p w14:paraId="4DC727E6" w14:textId="01A2FCD8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C5274F9" w14:textId="499EDB2B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25E6D2B" w14:textId="48D3F0BA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B8ED612" w14:textId="3DBE12BE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1B76D5E" w14:textId="58E284F0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4EBA0AA" w14:textId="3B59F802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E7F7AB6" w14:textId="71F83EF2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9B124E" w14:paraId="23F02C79" w14:textId="77777777" w:rsidTr="00E02FE3">
        <w:trPr>
          <w:trHeight w:hRule="exact" w:val="567"/>
        </w:trPr>
        <w:tc>
          <w:tcPr>
            <w:tcW w:w="9781" w:type="dxa"/>
            <w:gridSpan w:val="7"/>
            <w:shd w:val="clear" w:color="auto" w:fill="FFFFFF"/>
            <w:noWrap/>
            <w:vAlign w:val="center"/>
          </w:tcPr>
          <w:p w14:paraId="327A9699" w14:textId="3B1C21CE" w:rsidR="009B124E" w:rsidRPr="003E7638" w:rsidRDefault="009B124E" w:rsidP="009B124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{%tr endif%}</w:t>
            </w:r>
          </w:p>
        </w:tc>
      </w:tr>
    </w:tbl>
    <w:p w14:paraId="4FE6DCF9" w14:textId="77777777" w:rsidR="005F7B00" w:rsidRDefault="005F7B00">
      <w:pPr>
        <w:pStyle w:val="af7"/>
        <w:spacing w:line="500" w:lineRule="exact"/>
        <w:ind w:firstLineChars="0" w:firstLine="0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3DDAA330" w14:textId="436EBCE3" w:rsidR="005F7B00" w:rsidRDefault="005F7B00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A513433" w14:textId="4E9B8AE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402C4FBA" w14:textId="7EFB78EB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105AD439" w14:textId="078C4422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B1E9363" w14:textId="4F08F7EF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61C63CB" w14:textId="2A2D1FA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0248A16" w14:textId="34D232D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EF5AC42" w14:textId="31DE62B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B7E5210" w14:textId="781EF72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6FC1D48" w14:textId="20FC411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85961A7" w14:textId="6803FEC9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C524AEB" w14:textId="7C111AC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73CEC15" w14:textId="3739A67D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9B4E07A" w14:textId="77777777" w:rsidR="00F4003A" w:rsidRDefault="00F4003A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 w:hint="eastAsia"/>
          <w:b/>
          <w:szCs w:val="21"/>
        </w:rPr>
      </w:pPr>
    </w:p>
    <w:p w14:paraId="08F86EE6" w14:textId="77777777" w:rsidR="005F7B00" w:rsidRDefault="005F7B00" w:rsidP="00690F02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DC32108" w14:textId="2C00BB8F" w:rsidR="005F7B00" w:rsidRDefault="00902839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检测人：                  </w:t>
      </w:r>
      <w:r w:rsidR="00FD4394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</w:t>
      </w:r>
      <w:r w:rsidR="004D17B5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>复核人：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</w:t>
      </w:r>
      <w:r w:rsidR="0069155F">
        <w:rPr>
          <w:rFonts w:ascii="思源黑体 CN Bold" w:eastAsia="思源黑体 CN Bold" w:hAnsi="思源黑体 CN Bold" w:cs="思源黑体 CN Bold" w:hint="eastAsia"/>
          <w:b/>
          <w:szCs w:val="21"/>
        </w:rPr>
        <w:t>审批人：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77777777" w:rsidR="005F7B00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166320C3" w14:textId="77777777" w:rsidR="005F7B00" w:rsidRDefault="005F7B0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6CE9508E" w14:textId="4DC44D73" w:rsidR="005F7B00" w:rsidRDefault="00B574E4" w:rsidP="00B574E4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62AA692E" w14:textId="4E56C39F" w:rsidR="005F7B00" w:rsidRDefault="00902839" w:rsidP="00B574E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CN500。</w:t>
      </w:r>
      <w:bookmarkStart w:id="4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</w:t>
      </w:r>
      <w:bookmarkEnd w:id="4"/>
      <w:r w:rsidR="00B574E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报告</w:t>
      </w:r>
      <w:r w:rsidR="00B574E4">
        <w:rPr>
          <w:rFonts w:ascii="思源黑体 CN Normal" w:eastAsia="思源黑体 CN Normal" w:hAnsi="思源黑体 CN Normal" w:cs="思源黑体 CN Normal" w:hint="eastAsia"/>
          <w:bCs/>
          <w:i/>
          <w:iCs/>
          <w:szCs w:val="21"/>
        </w:rPr>
        <w:t>E</w:t>
      </w:r>
      <w:r w:rsidR="00B574E4"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GFR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基因突变结果。</w:t>
      </w:r>
    </w:p>
    <w:p w14:paraId="3E91FAA1" w14:textId="77777777" w:rsidR="005F7B00" w:rsidRDefault="005F7B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77777777" w:rsidR="005F7B00" w:rsidRDefault="00902839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8.0627402X024I</w:t>
            </w:r>
          </w:p>
        </w:tc>
      </w:tr>
    </w:tbl>
    <w:p w14:paraId="24185651" w14:textId="77777777" w:rsidR="005F7B00" w:rsidRDefault="005F7B0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54B414C0" w14:textId="4285416A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i/>
          <w:iCs/>
          <w:color w:val="00653B"/>
          <w:kern w:val="0"/>
          <w:sz w:val="36"/>
          <w:szCs w:val="36"/>
        </w:rPr>
        <w:t>EGFR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2956"/>
        <w:gridCol w:w="2956"/>
      </w:tblGrid>
      <w:tr w:rsidR="00DA061D" w14:paraId="35D27BB5" w14:textId="77777777" w:rsidTr="009A33C4">
        <w:trPr>
          <w:trHeight w:hRule="exact" w:val="567"/>
          <w:jc w:val="center"/>
        </w:trPr>
        <w:tc>
          <w:tcPr>
            <w:tcW w:w="2956" w:type="dxa"/>
            <w:shd w:val="clear" w:color="auto" w:fill="00653B"/>
            <w:noWrap/>
            <w:vAlign w:val="center"/>
          </w:tcPr>
          <w:p w14:paraId="1B8CF3DA" w14:textId="7777777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956" w:type="dxa"/>
            <w:shd w:val="clear" w:color="auto" w:fill="00653B"/>
            <w:noWrap/>
            <w:vAlign w:val="center"/>
          </w:tcPr>
          <w:p w14:paraId="37B0A2D6" w14:textId="18AE5C8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外显子</w:t>
            </w:r>
          </w:p>
        </w:tc>
        <w:tc>
          <w:tcPr>
            <w:tcW w:w="2956" w:type="dxa"/>
            <w:shd w:val="clear" w:color="auto" w:fill="00653B"/>
            <w:vAlign w:val="center"/>
          </w:tcPr>
          <w:p w14:paraId="0973AD78" w14:textId="24037D15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DA061D" w14:paraId="3C3E427F" w14:textId="77777777" w:rsidTr="009A33C4">
        <w:trPr>
          <w:trHeight w:hRule="exact" w:val="567"/>
          <w:jc w:val="center"/>
        </w:trPr>
        <w:tc>
          <w:tcPr>
            <w:tcW w:w="2956" w:type="dxa"/>
            <w:noWrap/>
            <w:vAlign w:val="center"/>
          </w:tcPr>
          <w:p w14:paraId="66E0A18C" w14:textId="77777777" w:rsidR="00DA061D" w:rsidRPr="00DA061D" w:rsidRDefault="00DA061D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/>
                <w:sz w:val="18"/>
                <w:szCs w:val="18"/>
              </w:rPr>
              <w:t>EGFR</w:t>
            </w:r>
          </w:p>
        </w:tc>
        <w:tc>
          <w:tcPr>
            <w:tcW w:w="2956" w:type="dxa"/>
            <w:noWrap/>
            <w:vAlign w:val="center"/>
          </w:tcPr>
          <w:p w14:paraId="3F5EB4AC" w14:textId="6F4DB578" w:rsidR="00DA061D" w:rsidRPr="00DA061D" w:rsidRDefault="00DA061D" w:rsidP="00DA061D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18、19、20、21</w:t>
            </w:r>
          </w:p>
        </w:tc>
        <w:tc>
          <w:tcPr>
            <w:tcW w:w="2956" w:type="dxa"/>
            <w:vAlign w:val="center"/>
          </w:tcPr>
          <w:p w14:paraId="52A26D0C" w14:textId="1EF59CCC" w:rsidR="00DA061D" w:rsidRDefault="00DA061D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</w:tbl>
    <w:p w14:paraId="3B89D382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184061B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</w:p>
    <w:p w14:paraId="177194D2" w14:textId="58F75693" w:rsidR="00996067" w:rsidRPr="004D17B5" w:rsidRDefault="00D0619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如未检出指定的基因变异，可能由于该样本中该突变的丰度低于本项目的检测限（0.3％）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2BBDD235" w14:textId="77777777" w:rsidR="005F7B00" w:rsidRDefault="005F7B00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4A4EAA3A" w14:textId="46E5421F" w:rsidR="00902839" w:rsidRDefault="001C3B70" w:rsidP="001C3B70">
      <w:pPr>
        <w:widowControl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30419D7F" w14:textId="0B5E9845" w:rsidR="005F7B00" w:rsidRDefault="00902839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9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7"/>
        <w:gridCol w:w="1926"/>
        <w:gridCol w:w="1927"/>
      </w:tblGrid>
      <w:tr w:rsidR="006A5F20" w14:paraId="7A8227B2" w14:textId="77777777" w:rsidTr="0054533D">
        <w:trPr>
          <w:trHeight w:val="351"/>
          <w:jc w:val="center"/>
        </w:trPr>
        <w:tc>
          <w:tcPr>
            <w:tcW w:w="3852" w:type="dxa"/>
            <w:gridSpan w:val="2"/>
            <w:vMerge w:val="restart"/>
            <w:shd w:val="clear" w:color="auto" w:fill="00653B"/>
            <w:vAlign w:val="center"/>
          </w:tcPr>
          <w:p w14:paraId="4A0267A2" w14:textId="38012380" w:rsidR="006A5F20" w:rsidRPr="002B5959" w:rsidRDefault="006A5F20" w:rsidP="005F5F2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853" w:type="dxa"/>
            <w:gridSpan w:val="2"/>
            <w:shd w:val="clear" w:color="auto" w:fill="00653B"/>
            <w:vAlign w:val="center"/>
          </w:tcPr>
          <w:p w14:paraId="345D81F7" w14:textId="4416BA92" w:rsidR="006A5F20" w:rsidRPr="002B5959" w:rsidRDefault="006A5F20" w:rsidP="003006BE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48649CD2" w14:textId="5CA68B59" w:rsidR="006A5F20" w:rsidRPr="002B5959" w:rsidRDefault="006A5F20" w:rsidP="005F5F2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6A5F20" w14:paraId="399193C4" w14:textId="77777777" w:rsidTr="0054533D">
        <w:trPr>
          <w:trHeight w:hRule="exact" w:val="350"/>
          <w:jc w:val="center"/>
        </w:trPr>
        <w:tc>
          <w:tcPr>
            <w:tcW w:w="3852" w:type="dxa"/>
            <w:gridSpan w:val="2"/>
            <w:vMerge/>
            <w:shd w:val="clear" w:color="auto" w:fill="00653B"/>
            <w:vAlign w:val="center"/>
          </w:tcPr>
          <w:p w14:paraId="20C5B63E" w14:textId="77777777" w:rsidR="006A5F20" w:rsidRPr="002B5959" w:rsidRDefault="006A5F20" w:rsidP="006A5F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5BED207E" w14:textId="221EFF13" w:rsidR="006A5F20" w:rsidRPr="002B5959" w:rsidRDefault="006A5F20" w:rsidP="006A5F20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6" w:type="dxa"/>
            <w:shd w:val="clear" w:color="auto" w:fill="00653B"/>
            <w:vAlign w:val="center"/>
          </w:tcPr>
          <w:p w14:paraId="330475EA" w14:textId="304CDDEE" w:rsidR="006A5F20" w:rsidRPr="002B5959" w:rsidRDefault="006A5F20" w:rsidP="006A5F20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4D2C5A50" w14:textId="77777777" w:rsidR="006A5F20" w:rsidRPr="002B5959" w:rsidRDefault="006A5F20" w:rsidP="006A5F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54533D" w14:paraId="7116022D" w14:textId="77777777" w:rsidTr="0054533D">
        <w:trPr>
          <w:trHeight w:hRule="exact" w:val="567"/>
          <w:jc w:val="center"/>
        </w:trPr>
        <w:tc>
          <w:tcPr>
            <w:tcW w:w="1926" w:type="dxa"/>
            <w:vAlign w:val="center"/>
          </w:tcPr>
          <w:p w14:paraId="6F9D5AE8" w14:textId="4019D595" w:rsidR="0054533D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提取质控</w:t>
            </w:r>
          </w:p>
        </w:tc>
        <w:tc>
          <w:tcPr>
            <w:tcW w:w="1926" w:type="dxa"/>
            <w:vAlign w:val="center"/>
          </w:tcPr>
          <w:p w14:paraId="02DAAF7A" w14:textId="3B8BB988" w:rsidR="0054533D" w:rsidRPr="005F5F21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样品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DNA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总量</w:t>
            </w:r>
          </w:p>
        </w:tc>
        <w:tc>
          <w:tcPr>
            <w:tcW w:w="1927" w:type="dxa"/>
            <w:vAlign w:val="center"/>
          </w:tcPr>
          <w:p w14:paraId="1A8A8031" w14:textId="77777777" w:rsidR="0054533D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1926" w:type="dxa"/>
            <w:vAlign w:val="center"/>
          </w:tcPr>
          <w:p w14:paraId="4E6489FF" w14:textId="77777777" w:rsidR="0054533D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5ng</w:t>
            </w:r>
          </w:p>
        </w:tc>
        <w:tc>
          <w:tcPr>
            <w:tcW w:w="1927" w:type="dxa"/>
            <w:vAlign w:val="center"/>
          </w:tcPr>
          <w:p w14:paraId="5502B358" w14:textId="77777777" w:rsidR="0054533D" w:rsidRPr="003D3486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63A72436" w14:textId="77777777" w:rsidR="0054533D" w:rsidRPr="003D3486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</w:t>
            </w:r>
            <w:proofErr w:type="gram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</w:p>
          <w:p w14:paraId="1E252561" w14:textId="77777777" w:rsidR="0054533D" w:rsidRPr="003D3486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1217B416" w14:textId="77777777" w:rsidR="0054533D" w:rsidRPr="003D3486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020EE8AE" w14:textId="32646C29" w:rsidR="0054533D" w:rsidRDefault="0054533D" w:rsidP="0054533D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8216E" w14:paraId="23CD57F5" w14:textId="77777777" w:rsidTr="0054533D">
        <w:trPr>
          <w:trHeight w:hRule="exact" w:val="567"/>
          <w:jc w:val="center"/>
        </w:trPr>
        <w:tc>
          <w:tcPr>
            <w:tcW w:w="1926" w:type="dxa"/>
            <w:vAlign w:val="center"/>
          </w:tcPr>
          <w:p w14:paraId="67B3A600" w14:textId="338F0B9B" w:rsidR="00B8216E" w:rsidRPr="005F5F21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文库质控</w:t>
            </w:r>
          </w:p>
        </w:tc>
        <w:tc>
          <w:tcPr>
            <w:tcW w:w="1926" w:type="dxa"/>
            <w:vAlign w:val="center"/>
          </w:tcPr>
          <w:p w14:paraId="3F9AA9EA" w14:textId="16F8B6F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文库总量</w:t>
            </w:r>
          </w:p>
        </w:tc>
        <w:tc>
          <w:tcPr>
            <w:tcW w:w="1927" w:type="dxa"/>
            <w:vAlign w:val="center"/>
          </w:tcPr>
          <w:p w14:paraId="2B754EA6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0.5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926" w:type="dxa"/>
            <w:vAlign w:val="center"/>
          </w:tcPr>
          <w:p w14:paraId="4E570B93" w14:textId="27AFE901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1927" w:type="dxa"/>
            <w:vAlign w:val="center"/>
          </w:tcPr>
          <w:p w14:paraId="782B820F" w14:textId="77777777" w:rsidR="00B8216E" w:rsidRPr="003D3486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lib_quality_control.lib_dna_qc.dna_pre_library_qty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%}</w:t>
            </w:r>
          </w:p>
          <w:p w14:paraId="382965DF" w14:textId="77777777" w:rsidR="00B8216E" w:rsidRPr="003D3486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lib_quality_control.lib_dna_qc.dna_pre_library_qty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_num</w:t>
            </w:r>
            <w:proofErr w:type="spellEnd"/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/1000}}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g</w:t>
            </w:r>
          </w:p>
          <w:p w14:paraId="2735EF8F" w14:textId="77777777" w:rsidR="00B8216E" w:rsidRPr="003D3486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5B3408BB" w14:textId="77777777" w:rsidR="00B8216E" w:rsidRPr="003D3486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C63D500" w14:textId="763FC838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8216E" w14:paraId="2E31D738" w14:textId="77777777" w:rsidTr="0054533D">
        <w:trPr>
          <w:trHeight w:hRule="exact" w:val="567"/>
          <w:jc w:val="center"/>
        </w:trPr>
        <w:tc>
          <w:tcPr>
            <w:tcW w:w="1926" w:type="dxa"/>
            <w:vMerge w:val="restart"/>
            <w:vAlign w:val="center"/>
          </w:tcPr>
          <w:p w14:paraId="719921F7" w14:textId="77DAF502" w:rsidR="00B8216E" w:rsidRPr="005F5F21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数据质控</w:t>
            </w:r>
          </w:p>
        </w:tc>
        <w:tc>
          <w:tcPr>
            <w:tcW w:w="1926" w:type="dxa"/>
            <w:vAlign w:val="center"/>
          </w:tcPr>
          <w:p w14:paraId="1AB8E271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41D3B722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72256206" w14:textId="24FB0638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1927" w:type="dxa"/>
            <w:vAlign w:val="center"/>
          </w:tcPr>
          <w:p w14:paraId="47755484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7B3824F7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_q30}}</w:t>
            </w:r>
          </w:p>
          <w:p w14:paraId="33EF0FD7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53F8B89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1F2E75BF" w14:textId="21D8FE35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8216E" w14:paraId="78292660" w14:textId="77777777" w:rsidTr="0054533D">
        <w:trPr>
          <w:trHeight w:hRule="exact" w:val="567"/>
          <w:jc w:val="center"/>
        </w:trPr>
        <w:tc>
          <w:tcPr>
            <w:tcW w:w="1926" w:type="dxa"/>
            <w:vMerge/>
            <w:vAlign w:val="center"/>
          </w:tcPr>
          <w:p w14:paraId="491A3A9D" w14:textId="77777777" w:rsidR="00B8216E" w:rsidRDefault="00B8216E" w:rsidP="00B8216E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64348262" w14:textId="4306D6A0" w:rsidR="00B8216E" w:rsidRPr="005F5F21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4D7ADECA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98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7DC1C884" w14:textId="6E6E454A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1927" w:type="dxa"/>
            <w:vAlign w:val="center"/>
          </w:tcPr>
          <w:p w14:paraId="1C9CFF6A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4DFF35E9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qc.cover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_ratio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  <w:p w14:paraId="52C41285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7076137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0E3667B1" w14:textId="01296036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8216E" w14:paraId="059BA2F0" w14:textId="77777777" w:rsidTr="0054533D">
        <w:trPr>
          <w:trHeight w:hRule="exact" w:val="567"/>
          <w:jc w:val="center"/>
        </w:trPr>
        <w:tc>
          <w:tcPr>
            <w:tcW w:w="1926" w:type="dxa"/>
            <w:vMerge/>
            <w:vAlign w:val="center"/>
          </w:tcPr>
          <w:p w14:paraId="5DB21940" w14:textId="77777777" w:rsidR="00B8216E" w:rsidRDefault="00B8216E" w:rsidP="00B8216E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7B703037" w14:textId="4E529E77" w:rsidR="00B8216E" w:rsidRPr="005F5F21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19F69A68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10000X</w:t>
            </w:r>
          </w:p>
        </w:tc>
        <w:tc>
          <w:tcPr>
            <w:tcW w:w="1926" w:type="dxa"/>
            <w:vAlign w:val="center"/>
          </w:tcPr>
          <w:p w14:paraId="248E34F7" w14:textId="1B58ACDA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1927" w:type="dxa"/>
            <w:vAlign w:val="center"/>
          </w:tcPr>
          <w:p w14:paraId="0069C247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744EDD7B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_mean|replace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(“.00”,””) }}</w:t>
            </w:r>
          </w:p>
          <w:p w14:paraId="1093A0AA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A8747B1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E92AF82" w14:textId="02D6120B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B8216E" w14:paraId="1248610A" w14:textId="77777777" w:rsidTr="0054533D">
        <w:trPr>
          <w:trHeight w:hRule="exact" w:val="567"/>
          <w:jc w:val="center"/>
        </w:trPr>
        <w:tc>
          <w:tcPr>
            <w:tcW w:w="1926" w:type="dxa"/>
            <w:vMerge/>
            <w:vAlign w:val="center"/>
          </w:tcPr>
          <w:p w14:paraId="3EC67275" w14:textId="77777777" w:rsidR="00B8216E" w:rsidRDefault="00B8216E" w:rsidP="00B8216E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4FA3B4EB" w14:textId="56565FD0" w:rsidR="00B8216E" w:rsidRPr="005F5F21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566081A6" w14:textId="7777777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1500X</w:t>
            </w:r>
          </w:p>
        </w:tc>
        <w:tc>
          <w:tcPr>
            <w:tcW w:w="1926" w:type="dxa"/>
            <w:vAlign w:val="center"/>
          </w:tcPr>
          <w:p w14:paraId="4F5A94D2" w14:textId="7D474697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1927" w:type="dxa"/>
            <w:vAlign w:val="center"/>
          </w:tcPr>
          <w:p w14:paraId="697EE112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qc.dna_data_qc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  <w:p w14:paraId="438D6EC5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ssbc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</w:t>
            </w:r>
            <w:proofErr w:type="spellEnd"/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(“.00”,””) }}</w:t>
            </w:r>
          </w:p>
          <w:p w14:paraId="23DF5662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4A01A6C6" w14:textId="77777777" w:rsidR="00B8216E" w:rsidRPr="00FF5069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610C1C1F" w14:textId="3C67C41C" w:rsidR="00B8216E" w:rsidRDefault="00B8216E" w:rsidP="00B8216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7A1DA734" w14:textId="3ED81EEA" w:rsidR="005F7B00" w:rsidRDefault="005F7B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3EA4" w14:textId="77777777" w:rsidR="006C0D61" w:rsidRDefault="006C0D61">
      <w:r>
        <w:separator/>
      </w:r>
    </w:p>
  </w:endnote>
  <w:endnote w:type="continuationSeparator" w:id="0">
    <w:p w14:paraId="7044D807" w14:textId="77777777" w:rsidR="006C0D61" w:rsidRDefault="006C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799AE36A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D6701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77916A9E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 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SOP-9-XW4202-0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6490BC9C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 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2024.04.19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7777777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版本号：2.0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7777777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378D1981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2024.04.19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9380" w14:textId="77777777" w:rsidR="006C0D61" w:rsidRDefault="006C0D61">
      <w:r>
        <w:rPr>
          <w:rFonts w:hint="eastAsia"/>
        </w:rPr>
        <w:separator/>
      </w:r>
    </w:p>
  </w:footnote>
  <w:footnote w:type="continuationSeparator" w:id="0">
    <w:p w14:paraId="075ABD7D" w14:textId="77777777" w:rsidR="006C0D61" w:rsidRDefault="006C0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625CE260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664A7C77" w14:textId="7423C12A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68AEA35A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159C41D" w14:textId="65819692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260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533D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0F02"/>
    <w:rsid w:val="0069155F"/>
    <w:rsid w:val="006948A3"/>
    <w:rsid w:val="006975BB"/>
    <w:rsid w:val="006A5F20"/>
    <w:rsid w:val="006A756A"/>
    <w:rsid w:val="006A79D3"/>
    <w:rsid w:val="006B0A14"/>
    <w:rsid w:val="006B20C1"/>
    <w:rsid w:val="006B374F"/>
    <w:rsid w:val="006C0D61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A05C4"/>
    <w:rsid w:val="009A33C4"/>
    <w:rsid w:val="009A3C5B"/>
    <w:rsid w:val="009A430E"/>
    <w:rsid w:val="009A4AD1"/>
    <w:rsid w:val="009B081E"/>
    <w:rsid w:val="009B124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9FC"/>
    <w:rsid w:val="009F3729"/>
    <w:rsid w:val="009F4BE2"/>
    <w:rsid w:val="00A010F0"/>
    <w:rsid w:val="00A0394C"/>
    <w:rsid w:val="00A03DAD"/>
    <w:rsid w:val="00A12451"/>
    <w:rsid w:val="00A12458"/>
    <w:rsid w:val="00A13A77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6011"/>
    <w:rsid w:val="00A70BD5"/>
    <w:rsid w:val="00A76673"/>
    <w:rsid w:val="00A80E21"/>
    <w:rsid w:val="00A85074"/>
    <w:rsid w:val="00A8508B"/>
    <w:rsid w:val="00A86DC8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17A73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216E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36D7"/>
    <w:rsid w:val="00C2581D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D061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B2F"/>
    <w:rsid w:val="00F26184"/>
    <w:rsid w:val="00F32451"/>
    <w:rsid w:val="00F32620"/>
    <w:rsid w:val="00F3475A"/>
    <w:rsid w:val="00F4003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431</Words>
  <Characters>2461</Characters>
  <Application>Microsoft Office Word</Application>
  <DocSecurity>0</DocSecurity>
  <Lines>20</Lines>
  <Paragraphs>5</Paragraphs>
  <ScaleCrop>false</ScaleCrop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93</cp:revision>
  <cp:lastPrinted>2024-03-13T02:45:00Z</cp:lastPrinted>
  <dcterms:created xsi:type="dcterms:W3CDTF">2023-03-02T09:13:00Z</dcterms:created>
  <dcterms:modified xsi:type="dcterms:W3CDTF">2024-06-17T07:36:00Z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