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54423" w14:paraId="533C8969" w14:textId="77777777" w:rsidTr="00054423">
        <w:tc>
          <w:tcPr>
            <w:tcW w:w="5166" w:type="dxa"/>
          </w:tcPr>
          <w:bookmarkStart w:id="0" w:name="_Toc42102363"/>
          <w:p w14:paraId="715E10E2"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7E23A29E" wp14:editId="382277A4">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40BAA444" w14:textId="77777777" w:rsidR="00054423"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1D54AC51" wp14:editId="54635BD1">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547070A3"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054423" w14:paraId="60B99322" w14:textId="77777777" w:rsidTr="00054423">
        <w:trPr>
          <w:trHeight w:hRule="exact" w:val="369"/>
          <w:jc w:val="center"/>
        </w:trPr>
        <w:tc>
          <w:tcPr>
            <w:tcW w:w="5000" w:type="pct"/>
            <w:gridSpan w:val="5"/>
            <w:shd w:val="clear" w:color="auto" w:fill="1E7648"/>
            <w:vAlign w:val="center"/>
          </w:tcPr>
          <w:p w14:paraId="789E01D7" w14:textId="77777777" w:rsidR="00054423"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054423" w14:paraId="77779C0B" w14:textId="77777777" w:rsidTr="00054423">
        <w:trPr>
          <w:trHeight w:hRule="exact" w:val="369"/>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4A4E6D45"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3DC2DBD0" w14:textId="77777777" w:rsidR="00054423"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054423" w14:paraId="36DBC60F"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2AA37E6"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172F4D98" w14:textId="77777777" w:rsidR="00054423"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CC08E4C" w14:textId="77777777" w:rsidR="00054423" w:rsidRDefault="00054423">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21FB76D"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5CCA4D2" w14:textId="77777777" w:rsidR="00054423"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054423" w14:paraId="46BB0F5C"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84A0903"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B489095" w14:textId="77777777" w:rsidR="00054423"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69DF6B75" w14:textId="77777777" w:rsidR="00054423" w:rsidRDefault="00054423">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2A64B6"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4666199" w14:textId="77777777" w:rsidR="00054423"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054423" w14:paraId="159FCD59"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1492207" w14:textId="77777777" w:rsidR="00054423"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DAB25B5" w14:textId="77777777" w:rsidR="00054423" w:rsidRDefault="00054423">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69D26F50" w14:textId="77777777" w:rsidR="00054423" w:rsidRDefault="00054423">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90532BE" w14:textId="77777777" w:rsidR="00054423"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7788554" w14:textId="77777777" w:rsidR="00054423" w:rsidRDefault="00054423">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054423" w14:paraId="37EABAD4" w14:textId="77777777" w:rsidTr="00054423">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2E957D0A" w14:textId="77777777" w:rsidR="00054423"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054423" w14:paraId="4A5DA641" w14:textId="77777777" w:rsidTr="00054423">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30E3AD2"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3F36208"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B049B47" w14:textId="77777777" w:rsidR="00054423" w:rsidRDefault="00054423">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AC5F2D8"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70232A5"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054423" w14:paraId="1AA16048"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5BFDBF1"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C65553D" w14:textId="77777777" w:rsidR="00054423"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83D0D6" w14:textId="77777777" w:rsidR="00054423" w:rsidRDefault="00054423">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9EF8D1D"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605768B"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054423" w14:paraId="44A441D3"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F75CF5"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BB602B1" w14:textId="77777777" w:rsidR="00054423" w:rsidRDefault="00054423">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091F20E" w14:textId="77777777" w:rsidR="00054423" w:rsidRDefault="00054423">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FFCDF0"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58C5BA3" w14:textId="77777777" w:rsidR="00054423" w:rsidRDefault="00054423">
            <w:pPr>
              <w:spacing w:line="240" w:lineRule="exact"/>
              <w:rPr>
                <w:rFonts w:ascii="思源黑体 CN Normal" w:eastAsia="思源黑体 CN Normal" w:hAnsi="思源黑体 CN Normal"/>
                <w:sz w:val="17"/>
                <w:szCs w:val="17"/>
              </w:rPr>
            </w:pPr>
          </w:p>
        </w:tc>
      </w:tr>
      <w:tr w:rsidR="00054423" w14:paraId="767A761C"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C7E0BAC"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A92C563" w14:textId="77777777" w:rsidR="00054423"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BAB4334" w14:textId="77777777" w:rsidR="00054423" w:rsidRDefault="00054423">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43DEC5E"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6A1C11E" w14:textId="77777777" w:rsidR="00054423"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r w:rsidR="00054423" w14:paraId="754A98CB" w14:textId="77777777" w:rsidTr="00054423">
        <w:trPr>
          <w:trHeight w:hRule="exact" w:val="369"/>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531204AF" w14:textId="77777777" w:rsidR="00054423"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hint="eastAsia"/>
                <w:color w:val="FFFFFF" w:themeColor="background1"/>
                <w:sz w:val="18"/>
                <w:szCs w:val="18"/>
              </w:rPr>
              <w:t>对照</w:t>
            </w:r>
            <w:r>
              <w:rPr>
                <w:rFonts w:ascii="思源黑体 CN Bold" w:eastAsia="思源黑体 CN Bold" w:hAnsi="思源黑体 CN Bold"/>
                <w:color w:val="FFFFFF" w:themeColor="background1"/>
                <w:sz w:val="18"/>
                <w:szCs w:val="18"/>
              </w:rPr>
              <w:t>样本信息</w:t>
            </w:r>
          </w:p>
        </w:tc>
      </w:tr>
      <w:tr w:rsidR="00054423" w14:paraId="74D1E7D1" w14:textId="77777777" w:rsidTr="00054423">
        <w:trPr>
          <w:trHeight w:hRule="exact" w:val="369"/>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9D4A12D"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D3817E1"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sample.control</w:t>
            </w:r>
            <w:proofErr w:type="gramEnd"/>
            <w:r>
              <w:rPr>
                <w:rFonts w:ascii="思源黑体 CN Normal" w:eastAsia="思源黑体 CN Normal" w:hAnsi="思源黑体 CN Normal"/>
                <w:sz w:val="17"/>
                <w:szCs w:val="17"/>
              </w:rPr>
              <w:t>_sample_type}}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F91F74" w14:textId="77777777" w:rsidR="00054423" w:rsidRDefault="00054423">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3883C6"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6242CA7"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sample.control</w:t>
            </w:r>
            <w:proofErr w:type="gramEnd"/>
            <w:r>
              <w:rPr>
                <w:rFonts w:ascii="思源黑体 CN Normal" w:eastAsia="思源黑体 CN Normal" w:hAnsi="思源黑体 CN Normal"/>
                <w:sz w:val="17"/>
                <w:szCs w:val="17"/>
              </w:rPr>
              <w:t>_sample_amount}}</w:t>
            </w:r>
          </w:p>
        </w:tc>
      </w:tr>
      <w:tr w:rsidR="00054423" w14:paraId="5EE35FA2" w14:textId="77777777" w:rsidTr="00054423">
        <w:trPr>
          <w:trHeight w:hRule="exact" w:val="369"/>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B7455F"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8ED1E83" w14:textId="77777777" w:rsidR="00054423"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sample.control</w:t>
            </w:r>
            <w:proofErr w:type="gramEnd"/>
            <w:r>
              <w:rPr>
                <w:rFonts w:ascii="思源黑体 CN Normal" w:eastAsia="思源黑体 CN Normal" w:hAnsi="思源黑体 CN Normal"/>
                <w:color w:val="000000" w:themeColor="text1"/>
                <w:sz w:val="17"/>
                <w:szCs w:val="17"/>
              </w:rPr>
              <w:t>_sample_id}}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BB848A0" w14:textId="77777777" w:rsidR="00054423" w:rsidRDefault="00054423">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7C71571"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B8E586F"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5407D606" w14:textId="77777777" w:rsidTr="00054423">
        <w:trPr>
          <w:trHeight w:hRule="exact" w:val="369"/>
          <w:jc w:val="center"/>
        </w:trPr>
        <w:tc>
          <w:tcPr>
            <w:tcW w:w="608" w:type="pct"/>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3D8A45D"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w:t>
            </w:r>
            <w:r>
              <w:rPr>
                <w:rFonts w:ascii="思源黑体 CN Bold" w:eastAsia="思源黑体 CN Bold" w:hAnsi="思源黑体 CN Bold"/>
                <w:b/>
                <w:bCs/>
                <w:color w:val="262626" w:themeColor="text1" w:themeTint="D9"/>
                <w:sz w:val="17"/>
                <w:szCs w:val="17"/>
              </w:rPr>
              <w:t xml:space="preserve"> 集 日 期</w:t>
            </w:r>
          </w:p>
        </w:tc>
        <w:tc>
          <w:tcPr>
            <w:tcW w:w="1689"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9266DCF" w14:textId="77777777" w:rsidR="00054423" w:rsidRDefault="00000000">
            <w:pPr>
              <w:spacing w:line="240" w:lineRule="exact"/>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sample.gather</w:t>
            </w:r>
            <w:proofErr w:type="gramEnd"/>
            <w:r>
              <w:rPr>
                <w:rFonts w:ascii="思源黑体 CN Normal" w:eastAsia="思源黑体 CN Normal" w:hAnsi="思源黑体 CN Normal" w:cs="思源黑体 CN Light"/>
                <w:bCs/>
                <w:color w:val="000000" w:themeColor="text1"/>
                <w:sz w:val="17"/>
                <w:szCs w:val="17"/>
              </w:rPr>
              <w:t>_data}}</w:t>
            </w:r>
          </w:p>
        </w:tc>
        <w:tc>
          <w:tcPr>
            <w:tcW w:w="203"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24F78DE" w14:textId="77777777" w:rsidR="00054423" w:rsidRDefault="00054423">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DDC87E3" w14:textId="77777777" w:rsidR="00054423"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6055BB85" w14:textId="77777777" w:rsidR="00054423"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bl>
    <w:p w14:paraId="4BAA95EC" w14:textId="77777777" w:rsidR="00054423" w:rsidRDefault="00054423"/>
    <w:p w14:paraId="6A464E3B"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054423" w14:paraId="7CC5927C" w14:textId="77777777" w:rsidTr="00054423">
        <w:trPr>
          <w:trHeight w:val="397"/>
        </w:trPr>
        <w:tc>
          <w:tcPr>
            <w:tcW w:w="548" w:type="pct"/>
            <w:shd w:val="clear" w:color="auto" w:fill="1E7648"/>
            <w:vAlign w:val="center"/>
          </w:tcPr>
          <w:p w14:paraId="263422EC" w14:textId="77777777" w:rsidR="00054423"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392C8A6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054423" w14:paraId="03DB6929" w14:textId="77777777" w:rsidTr="00054423">
        <w:trPr>
          <w:trHeight w:val="564"/>
        </w:trPr>
        <w:tc>
          <w:tcPr>
            <w:tcW w:w="548" w:type="pct"/>
            <w:shd w:val="clear" w:color="auto" w:fill="1E7648"/>
            <w:vAlign w:val="center"/>
          </w:tcPr>
          <w:p w14:paraId="4291AACA" w14:textId="77777777" w:rsidR="00054423"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6951D814"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054423" w14:paraId="0C917031" w14:textId="77777777" w:rsidTr="00054423">
        <w:trPr>
          <w:trHeight w:val="397"/>
        </w:trPr>
        <w:tc>
          <w:tcPr>
            <w:tcW w:w="548" w:type="pct"/>
            <w:shd w:val="clear" w:color="auto" w:fill="1E7648"/>
            <w:vAlign w:val="center"/>
          </w:tcPr>
          <w:p w14:paraId="135E00F8" w14:textId="77777777" w:rsidR="00054423"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1857F0FB"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00C47A38"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检测类型：可检测目标区域内的点突变、插入/缺失、BRCA</w:t>
            </w:r>
            <w:r>
              <w:rPr>
                <w:rFonts w:ascii="思源黑体 CN Normal" w:eastAsia="思源黑体 CN Normal" w:hAnsi="思源黑体 CN Normal"/>
                <w:sz w:val="17"/>
                <w:szCs w:val="17"/>
              </w:rPr>
              <w:t>1/2</w:t>
            </w:r>
            <w:r>
              <w:rPr>
                <w:rFonts w:ascii="思源黑体 CN Normal" w:eastAsia="思源黑体 CN Normal" w:hAnsi="思源黑体 CN Normal" w:hint="eastAsia"/>
                <w:sz w:val="17"/>
                <w:szCs w:val="17"/>
              </w:rPr>
              <w:t>基因大片段重排（限胚系样本）；对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054423" w14:paraId="59D63A0C" w14:textId="77777777" w:rsidTr="00054423">
        <w:trPr>
          <w:trHeight w:val="397"/>
        </w:trPr>
        <w:tc>
          <w:tcPr>
            <w:tcW w:w="548" w:type="pct"/>
            <w:shd w:val="clear" w:color="auto" w:fill="1E7648"/>
            <w:vAlign w:val="center"/>
          </w:tcPr>
          <w:p w14:paraId="4289C3F8" w14:textId="77777777" w:rsidR="00054423"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3A2FE0F7"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w:t>
            </w:r>
            <w:proofErr w:type="gramStart"/>
            <w:r>
              <w:rPr>
                <w:rFonts w:ascii="思源黑体 CN Normal" w:eastAsia="思源黑体 CN Normal" w:hAnsi="思源黑体 CN Normal"/>
                <w:sz w:val="17"/>
                <w:szCs w:val="17"/>
              </w:rPr>
              <w:t>向药物</w:t>
            </w:r>
            <w:proofErr w:type="gramEnd"/>
            <w:r>
              <w:rPr>
                <w:rFonts w:ascii="思源黑体 CN Normal" w:eastAsia="思源黑体 CN Normal" w:hAnsi="思源黑体 CN Normal"/>
                <w:sz w:val="17"/>
                <w:szCs w:val="17"/>
              </w:rPr>
              <w:t>提供指导建议</w:t>
            </w:r>
            <w:r>
              <w:rPr>
                <w:rFonts w:ascii="思源黑体 CN Normal" w:eastAsia="思源黑体 CN Normal" w:hAnsi="思源黑体 CN Normal" w:hint="eastAsia"/>
                <w:sz w:val="17"/>
                <w:szCs w:val="17"/>
              </w:rPr>
              <w:t>；还可为受检者预测相关疾病风险。</w:t>
            </w:r>
          </w:p>
        </w:tc>
      </w:tr>
    </w:tbl>
    <w:p w14:paraId="0A7DC1CB" w14:textId="77777777" w:rsidR="00054423"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15803DA6"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1"/>
        <w:gridCol w:w="4256"/>
        <w:gridCol w:w="1417"/>
        <w:gridCol w:w="1690"/>
      </w:tblGrid>
      <w:tr w:rsidR="00054423" w14:paraId="4E743C7D" w14:textId="77777777" w:rsidTr="00054423">
        <w:trPr>
          <w:trHeight w:val="397"/>
          <w:jc w:val="center"/>
        </w:trPr>
        <w:tc>
          <w:tcPr>
            <w:tcW w:w="1843" w:type="dxa"/>
            <w:tcBorders>
              <w:top w:val="single" w:sz="4" w:space="0" w:color="1E7648"/>
              <w:bottom w:val="nil"/>
              <w:right w:val="single" w:sz="4" w:space="0" w:color="FFFFFF" w:themeColor="background1"/>
            </w:tcBorders>
            <w:shd w:val="clear" w:color="auto" w:fill="1E7648"/>
            <w:vAlign w:val="center"/>
          </w:tcPr>
          <w:p w14:paraId="73C9C5EB" w14:textId="77777777" w:rsidR="00054423" w:rsidRDefault="00054423">
            <w:pPr>
              <w:jc w:val="center"/>
              <w:rPr>
                <w:rFonts w:ascii="思源黑体 CN Bold" w:eastAsia="思源黑体 CN Bold" w:hAnsi="思源黑体 CN Bold"/>
                <w:color w:val="FFFFFF" w:themeColor="background1"/>
                <w:sz w:val="18"/>
                <w:szCs w:val="18"/>
              </w:rPr>
            </w:pPr>
          </w:p>
        </w:tc>
        <w:tc>
          <w:tcPr>
            <w:tcW w:w="1131" w:type="dxa"/>
            <w:tcBorders>
              <w:top w:val="single" w:sz="4" w:space="0" w:color="1E7648"/>
              <w:bottom w:val="nil"/>
              <w:right w:val="single" w:sz="4" w:space="0" w:color="FFFFFF" w:themeColor="background1"/>
            </w:tcBorders>
            <w:shd w:val="clear" w:color="auto" w:fill="1E7648"/>
          </w:tcPr>
          <w:p w14:paraId="1EBAC68D"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256"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7E5FE490"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417"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FD0643F"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r>
              <w:rPr>
                <w:rFonts w:ascii="思源黑体 CN Bold" w:eastAsia="思源黑体 CN Bold" w:hAnsi="思源黑体 CN Bold"/>
                <w:color w:val="FFFFFF" w:themeColor="background1"/>
                <w:sz w:val="18"/>
                <w:szCs w:val="18"/>
              </w:rPr>
              <w:t>丰度</w:t>
            </w:r>
          </w:p>
        </w:tc>
        <w:tc>
          <w:tcPr>
            <w:tcW w:w="1690"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8A28926"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054423" w14:paraId="52CF6AD6"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5C415E6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54423" w14:paraId="61DA3A25"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A42704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54423" w14:paraId="5C20CFC2" w14:textId="77777777" w:rsidTr="00054423">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0BF57C14" w14:textId="77777777" w:rsidR="00054423"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{%vm%}体细胞变异检测结果</w:t>
            </w:r>
          </w:p>
        </w:tc>
        <w:tc>
          <w:tcPr>
            <w:tcW w:w="1131" w:type="dxa"/>
            <w:tcBorders>
              <w:top w:val="nil"/>
              <w:bottom w:val="single" w:sz="4" w:space="0" w:color="1E7648"/>
              <w:right w:val="dashed" w:sz="4" w:space="0" w:color="BFBFBF" w:themeColor="background1" w:themeShade="BF"/>
            </w:tcBorders>
            <w:shd w:val="clear" w:color="auto" w:fill="FFFFFF" w:themeFill="background1"/>
            <w:vAlign w:val="center"/>
          </w:tcPr>
          <w:p w14:paraId="63A5CE8D" w14:textId="77777777" w:rsidR="00054423"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4256"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AF1D56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A94DCF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1417"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BEE801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690"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7B4FCA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654E382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04CD696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750FBC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58D7714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r>
      <w:tr w:rsidR="00054423" w14:paraId="366664C2"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1CF3D0F"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r w:rsidR="00054423" w14:paraId="18CE608E"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1134272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054423" w14:paraId="4962BBD8" w14:textId="77777777" w:rsidTr="00054423">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405ADE35" w14:textId="77777777" w:rsidR="00054423"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体细胞变异检测结果</w:t>
            </w:r>
          </w:p>
        </w:tc>
        <w:tc>
          <w:tcPr>
            <w:tcW w:w="8494" w:type="dxa"/>
            <w:gridSpan w:val="4"/>
            <w:tcBorders>
              <w:top w:val="nil"/>
              <w:bottom w:val="single" w:sz="4" w:space="0" w:color="1E7648"/>
              <w:right w:val="dashed" w:sz="4" w:space="0" w:color="BFBFBF" w:themeColor="background1" w:themeShade="BF"/>
            </w:tcBorders>
            <w:shd w:val="clear" w:color="auto" w:fill="FFFFFF" w:themeFill="background1"/>
            <w:vAlign w:val="center"/>
          </w:tcPr>
          <w:p w14:paraId="790B810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未检测到具有临床意义的体细胞变异</w:t>
            </w:r>
          </w:p>
        </w:tc>
      </w:tr>
      <w:tr w:rsidR="00054423" w14:paraId="390ACC21"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6BCD2B8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054423" w14:paraId="0AB9033E"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6E45E6E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w:t>
            </w:r>
          </w:p>
        </w:tc>
      </w:tr>
      <w:tr w:rsidR="00054423" w14:paraId="76D6600C"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76BE1FC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54423" w14:paraId="219C6F57" w14:textId="77777777" w:rsidTr="00054423">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192F9A48" w14:textId="77777777" w:rsidR="00054423"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w:t>
            </w:r>
            <w:r>
              <w:rPr>
                <w:rFonts w:ascii="思源黑体 CN Bold" w:eastAsia="思源黑体 CN Bold" w:hAnsi="思源黑体 CN Bold"/>
                <w:sz w:val="17"/>
                <w:szCs w:val="17"/>
              </w:rPr>
              <w:t>%vm%}</w:t>
            </w:r>
            <w:r>
              <w:rPr>
                <w:rFonts w:ascii="思源黑体 CN Bold" w:eastAsia="思源黑体 CN Bold" w:hAnsi="思源黑体 CN Bold" w:hint="eastAsia"/>
                <w:sz w:val="17"/>
                <w:szCs w:val="17"/>
              </w:rPr>
              <w:t>胚系变异检测结果</w:t>
            </w:r>
          </w:p>
        </w:tc>
        <w:tc>
          <w:tcPr>
            <w:tcW w:w="1131" w:type="dxa"/>
            <w:tcBorders>
              <w:top w:val="nil"/>
              <w:bottom w:val="single" w:sz="4" w:space="0" w:color="1E7648"/>
              <w:right w:val="dashed" w:sz="4" w:space="0" w:color="BFBFBF" w:themeColor="background1" w:themeShade="BF"/>
            </w:tcBorders>
            <w:shd w:val="clear" w:color="auto" w:fill="FFFFFF" w:themeFill="background1"/>
            <w:vAlign w:val="center"/>
          </w:tcPr>
          <w:p w14:paraId="523E819D" w14:textId="77777777" w:rsidR="00054423"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4256"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2FF4C7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572612D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6AAD2A6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041888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3D1EFF8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p w14:paraId="693DB42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417"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F34713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19E918C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E68B8F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28C2BA1"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467281C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31EA65C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850122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02D57A9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52CC1E6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tc>
        <w:tc>
          <w:tcPr>
            <w:tcW w:w="1690"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BB7872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4AC8A7F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0EE00BE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4434F1E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 == 5</w:t>
            </w:r>
            <w:r>
              <w:rPr>
                <w:rFonts w:ascii="思源黑体 CN Normal" w:eastAsia="思源黑体 CN Normal" w:hAnsi="思源黑体 CN Normal" w:hint="eastAsia"/>
                <w:sz w:val="17"/>
                <w:szCs w:val="17"/>
              </w:rPr>
              <w:t>%}</w:t>
            </w:r>
          </w:p>
          <w:p w14:paraId="3E31477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038EA50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25EA5E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540EB7D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53AFFD7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54423" w14:paraId="7BEC9CE1"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096828A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054423" w14:paraId="48DBB698" w14:textId="77777777" w:rsidTr="00054423">
        <w:trPr>
          <w:trHeight w:val="397"/>
          <w:jc w:val="center"/>
        </w:trPr>
        <w:tc>
          <w:tcPr>
            <w:tcW w:w="10337" w:type="dxa"/>
            <w:gridSpan w:val="5"/>
            <w:tcBorders>
              <w:top w:val="nil"/>
              <w:bottom w:val="single" w:sz="4" w:space="0" w:color="1E7648"/>
              <w:right w:val="dashed" w:sz="4" w:space="0" w:color="BFBFBF" w:themeColor="background1" w:themeShade="BF"/>
            </w:tcBorders>
            <w:shd w:val="clear" w:color="auto" w:fill="FFFFFF" w:themeFill="background1"/>
            <w:vAlign w:val="center"/>
          </w:tcPr>
          <w:p w14:paraId="3F4B5A8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054423" w14:paraId="70D92D29" w14:textId="77777777" w:rsidTr="00054423">
        <w:trPr>
          <w:trHeight w:val="397"/>
          <w:jc w:val="center"/>
        </w:trPr>
        <w:tc>
          <w:tcPr>
            <w:tcW w:w="1843" w:type="dxa"/>
            <w:tcBorders>
              <w:top w:val="nil"/>
              <w:bottom w:val="single" w:sz="4" w:space="0" w:color="1E7648"/>
              <w:right w:val="dashed" w:sz="4" w:space="0" w:color="BFBFBF" w:themeColor="background1" w:themeShade="BF"/>
            </w:tcBorders>
            <w:shd w:val="clear" w:color="auto" w:fill="FFFFFF" w:themeFill="background1"/>
            <w:vAlign w:val="center"/>
          </w:tcPr>
          <w:p w14:paraId="2FF8B3BF" w14:textId="77777777" w:rsidR="00054423"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胚系变异检测结果</w:t>
            </w:r>
          </w:p>
        </w:tc>
        <w:tc>
          <w:tcPr>
            <w:tcW w:w="8494" w:type="dxa"/>
            <w:gridSpan w:val="4"/>
            <w:tcBorders>
              <w:top w:val="nil"/>
              <w:bottom w:val="single" w:sz="4" w:space="0" w:color="1E7648"/>
              <w:right w:val="dashed" w:sz="4" w:space="0" w:color="BFBFBF" w:themeColor="background1" w:themeShade="BF"/>
            </w:tcBorders>
            <w:shd w:val="clear" w:color="auto" w:fill="FFFFFF" w:themeFill="background1"/>
            <w:vAlign w:val="center"/>
          </w:tcPr>
          <w:p w14:paraId="731467A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未检测到致病性、疑似致病性胚系变异</w:t>
            </w:r>
          </w:p>
        </w:tc>
      </w:tr>
      <w:tr w:rsidR="00054423" w14:paraId="47CE0A0B" w14:textId="77777777" w:rsidTr="00054423">
        <w:trPr>
          <w:trHeight w:val="397"/>
          <w:jc w:val="center"/>
        </w:trPr>
        <w:tc>
          <w:tcPr>
            <w:tcW w:w="10337" w:type="dxa"/>
            <w:gridSpan w:val="5"/>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6A6606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054423" w14:paraId="451C7A30" w14:textId="77777777" w:rsidTr="00054423">
        <w:trPr>
          <w:trHeight w:val="397"/>
          <w:jc w:val="center"/>
        </w:trPr>
        <w:tc>
          <w:tcPr>
            <w:tcW w:w="184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66416AC" w14:textId="77777777" w:rsidR="00054423"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w:t>
            </w:r>
            <w:proofErr w:type="gramStart"/>
            <w:r>
              <w:rPr>
                <w:rFonts w:ascii="思源黑体 CN Bold" w:eastAsia="思源黑体 CN Bold" w:hAnsi="思源黑体 CN Bold" w:hint="eastAsia"/>
                <w:sz w:val="17"/>
                <w:szCs w:val="17"/>
              </w:rPr>
              <w:t>控结果</w:t>
            </w:r>
            <w:proofErr w:type="gramEnd"/>
          </w:p>
        </w:tc>
        <w:tc>
          <w:tcPr>
            <w:tcW w:w="8494"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8C693B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qc.dna_data_qc.cleandata_q30_num&gt;=0.75 and qc.dna_data_qc.depth_ssbc_num&gt;=300 and qc.control_data_qc.cleandata_q30_num&gt;=0.75 and qc.control_data_qc.depth_ssbc_num&gt;=100%}合格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r>
              <w:rPr>
                <w:rFonts w:ascii="思源黑体 CN Normal" w:eastAsia="思源黑体 CN Normal" w:hAnsi="思源黑体 CN Normal"/>
                <w:sz w:val="17"/>
                <w:szCs w:val="17"/>
              </w:rPr>
              <w:t>{%else%}风险{%endif%}</w:t>
            </w:r>
          </w:p>
        </w:tc>
      </w:tr>
    </w:tbl>
    <w:p w14:paraId="70886691" w14:textId="77777777" w:rsidR="00054423" w:rsidRDefault="00054423">
      <w:pPr>
        <w:rPr>
          <w:rFonts w:ascii="思源黑体 CN Normal" w:eastAsia="思源黑体 CN Normal" w:hAnsi="思源黑体 CN Normal"/>
          <w:sz w:val="16"/>
          <w:szCs w:val="16"/>
        </w:rPr>
      </w:pPr>
    </w:p>
    <w:p w14:paraId="3BD3AE6E"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注：</w:t>
      </w:r>
    </w:p>
    <w:p w14:paraId="42D77F36"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 xml:space="preserve">基于产品检测范围得出检测结果，使用的参考基因组版本是hg19。本报告中的变异遵从人类基因组变异协会（Human Genome Variation </w:t>
      </w:r>
      <w:r>
        <w:rPr>
          <w:rFonts w:ascii="思源黑体 CN Normal" w:eastAsia="思源黑体 CN Normal" w:hAnsi="思源黑体 CN Normal" w:hint="eastAsia"/>
          <w:sz w:val="16"/>
          <w:szCs w:val="16"/>
        </w:rPr>
        <w:lastRenderedPageBreak/>
        <w:t>Society，HGVS）的变异命名指南（http://varnomen.hgvs.org）中的相关规定进行命名。</w:t>
      </w:r>
    </w:p>
    <w:p w14:paraId="60381EDF"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本报告检出的体细胞变异的解读遵循美国病理学会（AMP）、美国临床肿瘤学会（ASCO）和美国病理学家学会（CAP）共同参与制定的《肿瘤变异解读及报告指南（2017年版）》（PMID: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64052C33"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p>
    <w:p w14:paraId="357D7C8A"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体细胞变异在“基因型/丰度”处填写该变异的突变丰度。胚系变异在“基因型/丰度”处填写杂合或纯合，分别表示丰度在50％或100％左右；胚系</w:t>
      </w:r>
      <w:r>
        <w:rPr>
          <w:rFonts w:ascii="思源黑体 CN Normal" w:eastAsia="思源黑体 CN Normal" w:hAnsi="思源黑体 CN Normal" w:hint="eastAsia"/>
          <w:i/>
          <w:iCs/>
          <w:sz w:val="16"/>
          <w:szCs w:val="16"/>
        </w:rPr>
        <w:t>BRCA1</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i/>
          <w:iCs/>
          <w:sz w:val="16"/>
          <w:szCs w:val="16"/>
        </w:rPr>
        <w:t>BRCA2</w:t>
      </w:r>
      <w:r>
        <w:rPr>
          <w:rFonts w:ascii="思源黑体 CN Normal" w:eastAsia="思源黑体 CN Normal" w:hAnsi="思源黑体 CN Normal" w:hint="eastAsia"/>
          <w:sz w:val="16"/>
          <w:szCs w:val="16"/>
        </w:rPr>
        <w:t>大片段重排变异在基因型处填写“/”，表示无法区分杂合或纯合。</w:t>
      </w:r>
    </w:p>
    <w:p w14:paraId="2A1F9612"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“体细胞变异检测结果”仅列出解读为I类、II类的体细胞变异。“胚系变异检测结果”仅列出解读为致病性、疑似致病性的胚系变异。</w:t>
      </w:r>
    </w:p>
    <w:p w14:paraId="18CD0583"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“样本综合质控结果”是依据病理（如适用）、</w:t>
      </w:r>
      <w:r>
        <w:rPr>
          <w:rFonts w:ascii="思源黑体 CN Normal" w:eastAsia="思源黑体 CN Normal" w:hAnsi="思源黑体 CN Normal"/>
          <w:sz w:val="16"/>
          <w:szCs w:val="16"/>
        </w:rPr>
        <w:t>DNA质量、测序质量（Q30、平均有效深度）进行综合评估，判断质</w:t>
      </w:r>
      <w:proofErr w:type="gramStart"/>
      <w:r>
        <w:rPr>
          <w:rFonts w:ascii="思源黑体 CN Normal" w:eastAsia="思源黑体 CN Normal" w:hAnsi="思源黑体 CN Normal"/>
          <w:sz w:val="16"/>
          <w:szCs w:val="16"/>
        </w:rPr>
        <w:t>控是否</w:t>
      </w:r>
      <w:proofErr w:type="gramEnd"/>
      <w:r>
        <w:rPr>
          <w:rFonts w:ascii="思源黑体 CN Normal" w:eastAsia="思源黑体 CN Normal" w:hAnsi="思源黑体 CN Normal"/>
          <w:sz w:val="16"/>
          <w:szCs w:val="16"/>
        </w:rPr>
        <w:t>合格。</w:t>
      </w:r>
    </w:p>
    <w:p w14:paraId="0C592552" w14:textId="77777777" w:rsidR="00054423" w:rsidRDefault="00000000">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r>
        <w:rPr>
          <w:rFonts w:ascii="思源黑体 CN Bold" w:eastAsia="思源黑体 CN Bold" w:hAnsi="思源黑体 CN Bold"/>
          <w:color w:val="1E7648"/>
          <w:sz w:val="6"/>
          <w:szCs w:val="6"/>
        </w:rPr>
        <w:br w:type="page"/>
      </w:r>
    </w:p>
    <w:p w14:paraId="52F96D24"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45DCDA51" w14:textId="77777777" w:rsidR="00054423"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1体细胞变异检测结果</w:t>
      </w:r>
    </w:p>
    <w:p w14:paraId="44B01FE8" w14:textId="77777777" w:rsidR="00054423"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靶</w:t>
      </w:r>
      <w:proofErr w:type="gramStart"/>
      <w:r>
        <w:rPr>
          <w:rFonts w:ascii="思源黑体 CN Bold" w:eastAsia="思源黑体 CN Bold" w:hAnsi="思源黑体 CN Bold" w:cstheme="minorBidi" w:hint="eastAsia"/>
          <w:color w:val="1E7648"/>
          <w:sz w:val="21"/>
          <w:szCs w:val="21"/>
        </w:rPr>
        <w:t>向治疗</w:t>
      </w:r>
      <w:proofErr w:type="gramEnd"/>
      <w:r>
        <w:rPr>
          <w:rFonts w:ascii="思源黑体 CN Bold" w:eastAsia="思源黑体 CN Bold" w:hAnsi="思源黑体 CN Bold" w:cstheme="minorBidi" w:hint="eastAsia"/>
          <w:color w:val="1E7648"/>
          <w:sz w:val="21"/>
          <w:szCs w:val="21"/>
        </w:rPr>
        <w:t>相关体细胞变异列表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054423" w14:paraId="36250639"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33C4CFE3"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206811AE"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537B0E5C"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253" w:type="dxa"/>
            <w:tcBorders>
              <w:top w:val="nil"/>
              <w:left w:val="single" w:sz="4" w:space="0" w:color="FFFFFF" w:themeColor="background1"/>
              <w:right w:val="single" w:sz="4" w:space="0" w:color="FFFFFF" w:themeColor="background1"/>
            </w:tcBorders>
          </w:tcPr>
          <w:p w14:paraId="32E2CA92"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41821323"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054423" w14:paraId="70F9D9A2" w14:textId="77777777" w:rsidTr="00054423">
        <w:trPr>
          <w:trHeight w:val="397"/>
        </w:trPr>
        <w:tc>
          <w:tcPr>
            <w:tcW w:w="10342" w:type="dxa"/>
            <w:gridSpan w:val="5"/>
          </w:tcPr>
          <w:p w14:paraId="456C90BF"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54423" w14:paraId="0E05F38C" w14:textId="77777777" w:rsidTr="00054423">
        <w:trPr>
          <w:trHeight w:val="397"/>
        </w:trPr>
        <w:tc>
          <w:tcPr>
            <w:tcW w:w="10342" w:type="dxa"/>
            <w:gridSpan w:val="5"/>
          </w:tcPr>
          <w:p w14:paraId="3C1F0B6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054423" w14:paraId="2C252DF8" w14:textId="77777777" w:rsidTr="00054423">
        <w:trPr>
          <w:trHeight w:val="397"/>
        </w:trPr>
        <w:tc>
          <w:tcPr>
            <w:tcW w:w="1254" w:type="dxa"/>
          </w:tcPr>
          <w:p w14:paraId="155CF603" w14:textId="77777777" w:rsidR="00054423"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3451" w:type="dxa"/>
          </w:tcPr>
          <w:p w14:paraId="2A5694C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695646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942" w:type="dxa"/>
          </w:tcPr>
          <w:p w14:paraId="3C3A081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253" w:type="dxa"/>
          </w:tcPr>
          <w:p w14:paraId="1955C63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0AA297C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1AA59F0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5ED2EBC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5CABB3B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442" w:type="dxa"/>
          </w:tcPr>
          <w:p w14:paraId="42195FF2"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6282AE2A"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4A6066A3"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6F4E4BD6"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29C03BA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4EBDCA64"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620A2BCD"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3B3F50A2"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070525AE"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6B833AF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247AA6EC"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10626967"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2A725AB4"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000E6D68"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4487E33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054423" w14:paraId="16E971FE" w14:textId="77777777" w:rsidTr="00054423">
        <w:trPr>
          <w:trHeight w:val="397"/>
        </w:trPr>
        <w:tc>
          <w:tcPr>
            <w:tcW w:w="10342" w:type="dxa"/>
            <w:gridSpan w:val="5"/>
          </w:tcPr>
          <w:p w14:paraId="29615AE9"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{%tr endfor%}</w:t>
            </w:r>
          </w:p>
        </w:tc>
      </w:tr>
      <w:tr w:rsidR="00054423" w14:paraId="299F4ECC" w14:textId="77777777" w:rsidTr="00054423">
        <w:trPr>
          <w:trHeight w:val="397"/>
        </w:trPr>
        <w:tc>
          <w:tcPr>
            <w:tcW w:w="10342" w:type="dxa"/>
            <w:gridSpan w:val="5"/>
          </w:tcPr>
          <w:p w14:paraId="14C6CC7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r>
              <w:rPr>
                <w:rFonts w:ascii="思源黑体 CN Normal" w:eastAsia="思源黑体 CN Normal" w:hAnsi="思源黑体 CN Normal" w:cs="思源黑体 CN Light" w:hint="eastAsia"/>
                <w:bCs/>
                <w:iCs/>
                <w:sz w:val="17"/>
                <w:szCs w:val="17"/>
              </w:rPr>
              <w:t>%}</w:t>
            </w:r>
          </w:p>
        </w:tc>
      </w:tr>
      <w:tr w:rsidR="00054423" w14:paraId="636773CA" w14:textId="77777777" w:rsidTr="00054423">
        <w:trPr>
          <w:trHeight w:val="397"/>
        </w:trPr>
        <w:tc>
          <w:tcPr>
            <w:tcW w:w="10342" w:type="dxa"/>
            <w:gridSpan w:val="5"/>
          </w:tcPr>
          <w:p w14:paraId="5F9E9FD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未检测到具有临床意义的体细胞变异</w:t>
            </w:r>
          </w:p>
        </w:tc>
      </w:tr>
      <w:tr w:rsidR="00054423" w14:paraId="1E735117" w14:textId="77777777" w:rsidTr="00054423">
        <w:trPr>
          <w:trHeight w:val="397"/>
        </w:trPr>
        <w:tc>
          <w:tcPr>
            <w:tcW w:w="10342" w:type="dxa"/>
            <w:gridSpan w:val="5"/>
          </w:tcPr>
          <w:p w14:paraId="12D2076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48FAA231" w14:textId="77777777" w:rsidR="00054423" w:rsidRDefault="00054423">
      <w:pPr>
        <w:pStyle w:val="ad"/>
        <w:ind w:left="420" w:firstLineChars="0" w:firstLine="0"/>
        <w:rPr>
          <w:rFonts w:ascii="思源黑体 CN Normal" w:eastAsia="思源黑体 CN Normal" w:hAnsi="思源黑体 CN Normal"/>
          <w:sz w:val="16"/>
          <w:szCs w:val="16"/>
        </w:rPr>
      </w:pPr>
    </w:p>
    <w:p w14:paraId="522D0C8A" w14:textId="77777777" w:rsidR="00054423"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bookmarkStart w:id="3" w:name="_Hlk106193007"/>
      <w:r>
        <w:rPr>
          <w:rFonts w:ascii="思源黑体 CN Bold" w:eastAsia="思源黑体 CN Bold" w:hAnsi="思源黑体 CN Bold" w:cstheme="minorBidi" w:hint="eastAsia"/>
          <w:color w:val="1E7648"/>
          <w:sz w:val="21"/>
          <w:szCs w:val="21"/>
        </w:rPr>
        <w:t>可能与肿瘤发生发展相关的体细胞变异列表</w:t>
      </w:r>
    </w:p>
    <w:tbl>
      <w:tblPr>
        <w:tblStyle w:val="PTMv3"/>
        <w:tblW w:w="5000" w:type="pct"/>
        <w:tblLook w:val="04A0" w:firstRow="1" w:lastRow="0" w:firstColumn="1" w:lastColumn="0" w:noHBand="0" w:noVBand="1"/>
      </w:tblPr>
      <w:tblGrid>
        <w:gridCol w:w="2296"/>
        <w:gridCol w:w="6321"/>
        <w:gridCol w:w="1725"/>
      </w:tblGrid>
      <w:tr w:rsidR="00054423" w14:paraId="4CD3E404"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bookmarkEnd w:id="3"/>
          <w:p w14:paraId="2546E2B3"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2B73BB54"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11E6583D"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054423" w14:paraId="4CDB6D1D" w14:textId="77777777" w:rsidTr="00054423">
        <w:trPr>
          <w:trHeight w:val="397"/>
        </w:trPr>
        <w:tc>
          <w:tcPr>
            <w:tcW w:w="5000" w:type="pct"/>
            <w:gridSpan w:val="3"/>
          </w:tcPr>
          <w:p w14:paraId="77DF4EB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054423" w14:paraId="2A931C03" w14:textId="77777777" w:rsidTr="00054423">
        <w:trPr>
          <w:trHeight w:val="397"/>
        </w:trPr>
        <w:tc>
          <w:tcPr>
            <w:tcW w:w="5000" w:type="pct"/>
            <w:gridSpan w:val="3"/>
          </w:tcPr>
          <w:p w14:paraId="18F5D90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054423" w14:paraId="7AB280BA" w14:textId="77777777" w:rsidTr="00054423">
        <w:trPr>
          <w:trHeight w:val="397"/>
        </w:trPr>
        <w:tc>
          <w:tcPr>
            <w:tcW w:w="1110" w:type="pct"/>
          </w:tcPr>
          <w:p w14:paraId="68A66359" w14:textId="77777777" w:rsidR="00054423"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523E3961"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382C153B"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0E374DDB"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054423" w14:paraId="2AA40B28" w14:textId="77777777" w:rsidTr="00054423">
        <w:trPr>
          <w:trHeight w:val="397"/>
        </w:trPr>
        <w:tc>
          <w:tcPr>
            <w:tcW w:w="5000" w:type="pct"/>
            <w:gridSpan w:val="3"/>
          </w:tcPr>
          <w:p w14:paraId="2D016C4A"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054423" w14:paraId="058DF01D" w14:textId="77777777" w:rsidTr="00054423">
        <w:trPr>
          <w:trHeight w:val="397"/>
        </w:trPr>
        <w:tc>
          <w:tcPr>
            <w:tcW w:w="5000" w:type="pct"/>
            <w:gridSpan w:val="3"/>
          </w:tcPr>
          <w:p w14:paraId="724CC0D0"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054423" w14:paraId="30853B4B" w14:textId="77777777" w:rsidTr="00054423">
        <w:trPr>
          <w:trHeight w:val="397"/>
        </w:trPr>
        <w:tc>
          <w:tcPr>
            <w:tcW w:w="5000" w:type="pct"/>
            <w:gridSpan w:val="3"/>
          </w:tcPr>
          <w:p w14:paraId="31414873"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lastRenderedPageBreak/>
              <w:t>未检测到可能与肿瘤发生发展相关的体细胞变异</w:t>
            </w:r>
          </w:p>
        </w:tc>
      </w:tr>
      <w:tr w:rsidR="00054423" w14:paraId="014AC152" w14:textId="77777777" w:rsidTr="00054423">
        <w:trPr>
          <w:trHeight w:val="397"/>
        </w:trPr>
        <w:tc>
          <w:tcPr>
            <w:tcW w:w="5000" w:type="pct"/>
            <w:gridSpan w:val="3"/>
          </w:tcPr>
          <w:p w14:paraId="02408C15"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endif%}</w:t>
            </w:r>
          </w:p>
        </w:tc>
      </w:tr>
    </w:tbl>
    <w:p w14:paraId="2BE72967" w14:textId="77777777" w:rsidR="00054423" w:rsidRDefault="00054423">
      <w:pPr>
        <w:rPr>
          <w:rFonts w:ascii="思源黑体 CN Normal" w:eastAsia="思源黑体 CN Normal" w:hAnsi="思源黑体 CN Normal"/>
          <w:sz w:val="16"/>
          <w:szCs w:val="16"/>
        </w:rPr>
      </w:pPr>
    </w:p>
    <w:p w14:paraId="5E2C313F" w14:textId="77777777" w:rsidR="00054423"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临床意义不明体细胞变异列表</w:t>
      </w:r>
    </w:p>
    <w:tbl>
      <w:tblPr>
        <w:tblStyle w:val="PTMv3"/>
        <w:tblW w:w="5000" w:type="pct"/>
        <w:tblLook w:val="04A0" w:firstRow="1" w:lastRow="0" w:firstColumn="1" w:lastColumn="0" w:noHBand="0" w:noVBand="1"/>
      </w:tblPr>
      <w:tblGrid>
        <w:gridCol w:w="2296"/>
        <w:gridCol w:w="6321"/>
        <w:gridCol w:w="1725"/>
      </w:tblGrid>
      <w:tr w:rsidR="00054423" w14:paraId="7F3D08A9"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606A2CF7"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644BF79D"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516733DA"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054423" w14:paraId="13FC07F0" w14:textId="77777777" w:rsidTr="00054423">
        <w:trPr>
          <w:trHeight w:val="397"/>
        </w:trPr>
        <w:tc>
          <w:tcPr>
            <w:tcW w:w="5000" w:type="pct"/>
            <w:gridSpan w:val="3"/>
          </w:tcPr>
          <w:p w14:paraId="63822CC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054423" w14:paraId="32A34F55" w14:textId="77777777" w:rsidTr="00054423">
        <w:trPr>
          <w:trHeight w:val="397"/>
        </w:trPr>
        <w:tc>
          <w:tcPr>
            <w:tcW w:w="5000" w:type="pct"/>
            <w:gridSpan w:val="3"/>
          </w:tcPr>
          <w:p w14:paraId="46C9468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054423" w14:paraId="17A25F9B" w14:textId="77777777" w:rsidTr="00054423">
        <w:trPr>
          <w:trHeight w:val="397"/>
        </w:trPr>
        <w:tc>
          <w:tcPr>
            <w:tcW w:w="1110" w:type="pct"/>
          </w:tcPr>
          <w:p w14:paraId="3E2742C0" w14:textId="77777777" w:rsidR="00054423"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0338958C"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2CCDCE83"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6E784956" w14:textId="77777777" w:rsidR="00054423"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054423" w14:paraId="1E10C928" w14:textId="77777777" w:rsidTr="00054423">
        <w:trPr>
          <w:trHeight w:val="397"/>
        </w:trPr>
        <w:tc>
          <w:tcPr>
            <w:tcW w:w="5000" w:type="pct"/>
            <w:gridSpan w:val="3"/>
          </w:tcPr>
          <w:p w14:paraId="4B3A7E6C"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054423" w14:paraId="305A7C6E" w14:textId="77777777" w:rsidTr="00054423">
        <w:trPr>
          <w:trHeight w:val="397"/>
        </w:trPr>
        <w:tc>
          <w:tcPr>
            <w:tcW w:w="5000" w:type="pct"/>
            <w:gridSpan w:val="3"/>
          </w:tcPr>
          <w:p w14:paraId="0501C7CB"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054423" w14:paraId="179B8C10" w14:textId="77777777" w:rsidTr="00054423">
        <w:trPr>
          <w:trHeight w:val="397"/>
        </w:trPr>
        <w:tc>
          <w:tcPr>
            <w:tcW w:w="5000" w:type="pct"/>
            <w:gridSpan w:val="3"/>
          </w:tcPr>
          <w:p w14:paraId="1A645EF5" w14:textId="77777777" w:rsidR="00054423"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未检测到临床意义不明的体细胞变异</w:t>
            </w:r>
          </w:p>
        </w:tc>
      </w:tr>
      <w:tr w:rsidR="00054423" w14:paraId="012E64E7" w14:textId="77777777" w:rsidTr="00054423">
        <w:trPr>
          <w:trHeight w:val="397"/>
        </w:trPr>
        <w:tc>
          <w:tcPr>
            <w:tcW w:w="5000" w:type="pct"/>
            <w:gridSpan w:val="3"/>
          </w:tcPr>
          <w:p w14:paraId="4558F7F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endif%}</w:t>
            </w:r>
          </w:p>
        </w:tc>
      </w:tr>
    </w:tbl>
    <w:p w14:paraId="6BE1AA09" w14:textId="77777777" w:rsidR="00054423" w:rsidRDefault="00054423">
      <w:pPr>
        <w:rPr>
          <w:rFonts w:ascii="思源黑体 CN Normal" w:eastAsia="思源黑体 CN Normal" w:hAnsi="思源黑体 CN Normal"/>
          <w:sz w:val="16"/>
          <w:szCs w:val="16"/>
        </w:rPr>
      </w:pPr>
    </w:p>
    <w:p w14:paraId="4B451D59"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583AAF0" w14:textId="77777777" w:rsidR="00054423" w:rsidRDefault="00000000">
      <w:pPr>
        <w:pStyle w:val="ad"/>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“靶向治疗相关体细胞变异列表”列出解读为I类、II类的体细胞变异。</w:t>
      </w:r>
    </w:p>
    <w:p w14:paraId="1741773B" w14:textId="77777777" w:rsidR="00054423"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“可能与肿瘤发生发展相关的体细胞变异列表”所列变异经解读认为可能与肿瘤发生发展相关。根据现阶段可及资料此类变异的研究主要集中于细胞学和信号通路方面，暂无明确临床意义</w:t>
      </w:r>
    </w:p>
    <w:p w14:paraId="4587D532" w14:textId="77777777" w:rsidR="00054423"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“临床意义不明体细胞变异列表”列出解读为III类-临床意义不明且目前尚未发现可能与肿瘤发生发展相关的体细胞变异。</w:t>
      </w:r>
    </w:p>
    <w:p w14:paraId="070AB2F0" w14:textId="77777777" w:rsidR="00054423" w:rsidRDefault="00000000">
      <w:pPr>
        <w:pStyle w:val="ad"/>
        <w:numPr>
          <w:ilvl w:val="0"/>
          <w:numId w:val="2"/>
        </w:numPr>
        <w:ind w:firstLineChars="0"/>
        <w:rPr>
          <w:rFonts w:ascii="思源黑体 CN Normal" w:eastAsia="思源黑体 CN Normal" w:hAnsi="思源黑体 CN Normal"/>
          <w:sz w:val="16"/>
          <w:szCs w:val="16"/>
        </w:rPr>
      </w:pPr>
      <w:r>
        <w:rPr>
          <w:rFonts w:ascii="思源黑体 CN Bold" w:eastAsia="思源黑体 CN Bold" w:hAnsi="思源黑体 CN Bold"/>
          <w:color w:val="1E7648"/>
          <w:szCs w:val="21"/>
        </w:rPr>
        <w:br w:type="page"/>
      </w:r>
    </w:p>
    <w:p w14:paraId="407F5783" w14:textId="77777777" w:rsidR="00054423"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2胚系变异检测结果</w:t>
      </w:r>
    </w:p>
    <w:p w14:paraId="704D0A83" w14:textId="77777777" w:rsidR="00054423" w:rsidRDefault="00000000">
      <w:pPr>
        <w:pStyle w:val="2"/>
        <w:spacing w:before="0" w:afterLines="50" w:after="156" w:line="280" w:lineRule="exact"/>
        <w:ind w:firstLineChars="50" w:firstLine="105"/>
        <w:jc w:val="center"/>
        <w:rPr>
          <w:rFonts w:ascii="思源黑体 CN Normal" w:eastAsia="思源黑体 CN Normal" w:hAnsi="思源黑体 CN Normal"/>
          <w:sz w:val="16"/>
          <w:szCs w:val="16"/>
        </w:rPr>
      </w:pPr>
      <w:r>
        <w:rPr>
          <w:rFonts w:ascii="思源黑体 CN Bold" w:eastAsia="思源黑体 CN Bold" w:hAnsi="思源黑体 CN Bold" w:cstheme="minorBidi" w:hint="eastAsia"/>
          <w:color w:val="1E7648"/>
          <w:sz w:val="21"/>
          <w:szCs w:val="21"/>
        </w:rPr>
        <w:t>致病性、疑似致病性胚系变异列表</w:t>
      </w: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054423" w14:paraId="297717CD"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56994032"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50409AB3"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597BAB61"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253" w:type="dxa"/>
            <w:tcBorders>
              <w:top w:val="nil"/>
              <w:left w:val="single" w:sz="4" w:space="0" w:color="FFFFFF" w:themeColor="background1"/>
              <w:right w:val="single" w:sz="4" w:space="0" w:color="FFFFFF" w:themeColor="background1"/>
            </w:tcBorders>
          </w:tcPr>
          <w:p w14:paraId="786A86B8"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29BF42EC"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054423" w14:paraId="1112B5E8" w14:textId="77777777" w:rsidTr="00054423">
        <w:trPr>
          <w:trHeight w:val="397"/>
        </w:trPr>
        <w:tc>
          <w:tcPr>
            <w:tcW w:w="10342" w:type="dxa"/>
            <w:gridSpan w:val="5"/>
          </w:tcPr>
          <w:p w14:paraId="58D8D29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54423" w14:paraId="4B5485C6" w14:textId="77777777" w:rsidTr="00054423">
        <w:trPr>
          <w:trHeight w:val="397"/>
        </w:trPr>
        <w:tc>
          <w:tcPr>
            <w:tcW w:w="10342" w:type="dxa"/>
            <w:gridSpan w:val="5"/>
          </w:tcPr>
          <w:p w14:paraId="15D945B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germline.level</w:t>
            </w:r>
            <w:proofErr w:type="gramEnd"/>
            <w:r>
              <w:rPr>
                <w:rFonts w:ascii="思源黑体 CN Normal" w:eastAsia="思源黑体 CN Normal" w:hAnsi="思源黑体 CN Normal"/>
                <w:sz w:val="17"/>
                <w:szCs w:val="17"/>
              </w:rPr>
              <w:t>_5+var.var_germline.level_4</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var.mlpa.B1_Loss+var.mlpa.B2_Loss</w:t>
            </w:r>
            <w:r>
              <w:rPr>
                <w:rFonts w:ascii="思源黑体 CN Normal" w:eastAsia="思源黑体 CN Normal" w:hAnsi="思源黑体 CN Normal" w:hint="eastAsia"/>
                <w:sz w:val="17"/>
                <w:szCs w:val="17"/>
              </w:rPr>
              <w:t xml:space="preserve"> %}</w:t>
            </w:r>
          </w:p>
        </w:tc>
      </w:tr>
      <w:tr w:rsidR="00054423" w14:paraId="41B5CAFE" w14:textId="77777777" w:rsidTr="00054423">
        <w:trPr>
          <w:trHeight w:val="397"/>
        </w:trPr>
        <w:tc>
          <w:tcPr>
            <w:tcW w:w="1254" w:type="dxa"/>
          </w:tcPr>
          <w:p w14:paraId="049CE648" w14:textId="77777777" w:rsidR="00054423"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3451" w:type="dxa"/>
          </w:tcPr>
          <w:p w14:paraId="123B1A7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00733DE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del</w:t>
            </w:r>
          </w:p>
          <w:p w14:paraId="601B2F6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DF70DE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9DD9A7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w:t>
            </w:r>
          </w:p>
          <w:p w14:paraId="257C3DA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942" w:type="dxa"/>
          </w:tcPr>
          <w:p w14:paraId="2A56B2E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5B1ACD7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2E4A38B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06F559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7A33852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258725D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4CC2B33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6463361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4D1E6DF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253" w:type="dxa"/>
          </w:tcPr>
          <w:p w14:paraId="236D684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3745896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01B56E6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858C5B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 == 5</w:t>
            </w:r>
            <w:r>
              <w:rPr>
                <w:rFonts w:ascii="思源黑体 CN Normal" w:eastAsia="思源黑体 CN Normal" w:hAnsi="思源黑体 CN Normal" w:hint="eastAsia"/>
                <w:sz w:val="17"/>
                <w:szCs w:val="17"/>
              </w:rPr>
              <w:t>%}</w:t>
            </w:r>
          </w:p>
          <w:p w14:paraId="70A62A6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31B61E0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32AB577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7246AD3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1C7114E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3442" w:type="dxa"/>
          </w:tcPr>
          <w:p w14:paraId="393B41ED" w14:textId="1F3A3FED" w:rsidR="00054423" w:rsidRDefault="0000000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00D427CA">
              <w:rPr>
                <w:rFonts w:ascii="思源黑体 CN Normal" w:eastAsia="思源黑体 CN Normal" w:hAnsi="思源黑体 CN Normal"/>
                <w:iCs/>
                <w:sz w:val="17"/>
                <w:szCs w:val="17"/>
              </w:rPr>
              <w:t xml:space="preserve"> </w:t>
            </w:r>
            <w:r w:rsidR="00D427CA" w:rsidRPr="00D427CA">
              <w:rPr>
                <w:rFonts w:ascii="思源黑体 CN Normal" w:eastAsia="思源黑体 CN Normal" w:hAnsi="思源黑体 CN Normal"/>
                <w:iCs/>
                <w:sz w:val="17"/>
                <w:szCs w:val="17"/>
              </w:rPr>
              <w:t>and (a.evi_sum.evi_</w:t>
            </w:r>
            <w:proofErr w:type="gramStart"/>
            <w:r w:rsidR="00D427CA" w:rsidRPr="00D427CA">
              <w:rPr>
                <w:rFonts w:ascii="思源黑体 CN Normal" w:eastAsia="思源黑体 CN Normal" w:hAnsi="思源黑体 CN Normal"/>
                <w:iCs/>
                <w:sz w:val="17"/>
                <w:szCs w:val="17"/>
              </w:rPr>
              <w:t>split.Predictive</w:t>
            </w:r>
            <w:proofErr w:type="gramEnd"/>
            <w:r w:rsidR="00D427CA" w:rsidRPr="00D427CA">
              <w:rPr>
                <w:rFonts w:ascii="思源黑体 CN Normal" w:eastAsia="思源黑体 CN Normal" w:hAnsi="思源黑体 CN Normal"/>
                <w:iCs/>
                <w:sz w:val="17"/>
                <w:szCs w:val="17"/>
              </w:rPr>
              <w:t xml:space="preserve"> or a.evi_sum.evi_split.Prognostic or a.evi_sum.evi_split.Diagnostic)</w:t>
            </w:r>
            <w:r>
              <w:rPr>
                <w:rFonts w:ascii="思源黑体 CN Normal" w:eastAsia="思源黑体 CN Normal" w:hAnsi="思源黑体 CN Normal"/>
                <w:iCs/>
                <w:sz w:val="17"/>
                <w:szCs w:val="17"/>
              </w:rPr>
              <w:t>%}</w:t>
            </w:r>
          </w:p>
          <w:p w14:paraId="315CE56F"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53DA9FFA"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05380CB2"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524BB818"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3DE249BC"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2D33830C"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2C371D5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596DF629"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，{{b.evi_conclusion_simple }}级）</w:t>
            </w:r>
          </w:p>
          <w:p w14:paraId="6A897562"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36691F6C"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79E73E82"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3755FDFC"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78FD70A7"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2DD7BB25"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48333350"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6F4458BB"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else%}</w:t>
            </w:r>
          </w:p>
          <w:p w14:paraId="2C0CE184"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p>
          <w:p w14:paraId="053447DE"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%p endif%}</w:t>
            </w:r>
          </w:p>
        </w:tc>
      </w:tr>
      <w:tr w:rsidR="00054423" w14:paraId="0E5ACF86" w14:textId="77777777" w:rsidTr="00054423">
        <w:trPr>
          <w:trHeight w:val="397"/>
        </w:trPr>
        <w:tc>
          <w:tcPr>
            <w:tcW w:w="10342" w:type="dxa"/>
            <w:gridSpan w:val="5"/>
          </w:tcPr>
          <w:p w14:paraId="763946B7"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054423" w14:paraId="13389150" w14:textId="77777777" w:rsidTr="00054423">
        <w:trPr>
          <w:trHeight w:val="397"/>
        </w:trPr>
        <w:tc>
          <w:tcPr>
            <w:tcW w:w="10342" w:type="dxa"/>
            <w:gridSpan w:val="5"/>
          </w:tcPr>
          <w:p w14:paraId="4CD7F0AA"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054423" w14:paraId="26D886FF" w14:textId="77777777" w:rsidTr="00054423">
        <w:trPr>
          <w:trHeight w:val="397"/>
        </w:trPr>
        <w:tc>
          <w:tcPr>
            <w:tcW w:w="10342" w:type="dxa"/>
            <w:gridSpan w:val="5"/>
          </w:tcPr>
          <w:p w14:paraId="7C2B5E95" w14:textId="77777777" w:rsidR="00054423"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未检测到致病性、疑似致病性胚系变异</w:t>
            </w:r>
          </w:p>
        </w:tc>
      </w:tr>
      <w:tr w:rsidR="00054423" w14:paraId="63044222" w14:textId="77777777" w:rsidTr="00054423">
        <w:trPr>
          <w:trHeight w:val="397"/>
        </w:trPr>
        <w:tc>
          <w:tcPr>
            <w:tcW w:w="10342" w:type="dxa"/>
            <w:gridSpan w:val="5"/>
          </w:tcPr>
          <w:p w14:paraId="5BBFAAB1" w14:textId="77777777" w:rsidR="00054423"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3569F987" w14:textId="77777777" w:rsidR="00054423" w:rsidRDefault="00054423">
      <w:pPr>
        <w:pStyle w:val="ad"/>
        <w:ind w:left="420" w:firstLineChars="0" w:firstLine="0"/>
        <w:rPr>
          <w:rFonts w:ascii="思源黑体 CN Normal" w:eastAsia="思源黑体 CN Normal" w:hAnsi="思源黑体 CN Normal"/>
          <w:sz w:val="16"/>
          <w:szCs w:val="16"/>
        </w:rPr>
      </w:pPr>
    </w:p>
    <w:p w14:paraId="3D968E74" w14:textId="77777777" w:rsidR="00054423" w:rsidRDefault="00000000">
      <w:pPr>
        <w:pStyle w:val="2"/>
        <w:spacing w:before="0" w:afterLines="50" w:after="156"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意义不明确胚系变异列表</w:t>
      </w:r>
    </w:p>
    <w:tbl>
      <w:tblPr>
        <w:tblStyle w:val="PTMv3"/>
        <w:tblW w:w="5000" w:type="pct"/>
        <w:tblLook w:val="04A0" w:firstRow="1" w:lastRow="0" w:firstColumn="1" w:lastColumn="0" w:noHBand="0" w:noVBand="1"/>
      </w:tblPr>
      <w:tblGrid>
        <w:gridCol w:w="2218"/>
        <w:gridCol w:w="6244"/>
        <w:gridCol w:w="1880"/>
      </w:tblGrid>
      <w:tr w:rsidR="00054423" w14:paraId="6B481FB6"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072" w:type="pct"/>
            <w:tcBorders>
              <w:top w:val="nil"/>
              <w:right w:val="single" w:sz="4" w:space="0" w:color="FFFFFF" w:themeColor="background1"/>
            </w:tcBorders>
          </w:tcPr>
          <w:p w14:paraId="53E3CCE2"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19" w:type="pct"/>
            <w:tcBorders>
              <w:top w:val="nil"/>
              <w:left w:val="single" w:sz="4" w:space="0" w:color="FFFFFF" w:themeColor="background1"/>
              <w:right w:val="single" w:sz="4" w:space="0" w:color="FFFFFF" w:themeColor="background1"/>
            </w:tcBorders>
          </w:tcPr>
          <w:p w14:paraId="6537E4A6"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09" w:type="pct"/>
            <w:tcBorders>
              <w:top w:val="nil"/>
              <w:left w:val="single" w:sz="4" w:space="0" w:color="FFFFFF" w:themeColor="background1"/>
            </w:tcBorders>
          </w:tcPr>
          <w:p w14:paraId="2C4B9962"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r>
      <w:tr w:rsidR="00054423" w14:paraId="0DE9E8D1" w14:textId="77777777" w:rsidTr="00054423">
        <w:trPr>
          <w:trHeight w:val="397"/>
        </w:trPr>
        <w:tc>
          <w:tcPr>
            <w:tcW w:w="5000" w:type="pct"/>
            <w:gridSpan w:val="3"/>
          </w:tcPr>
          <w:p w14:paraId="48F5848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var.mlpa</w:t>
            </w:r>
            <w:proofErr w:type="gramEnd"/>
            <w:r>
              <w:rPr>
                <w:rFonts w:ascii="思源黑体 CN Normal" w:eastAsia="思源黑体 CN Normal" w:hAnsi="思源黑体 CN Normal"/>
                <w:sz w:val="17"/>
                <w:szCs w:val="17"/>
              </w:rPr>
              <w:t xml:space="preserve">.B1_Gain+var.mlpa.B2_Gain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054423" w14:paraId="3809571E" w14:textId="77777777" w:rsidTr="00054423">
        <w:trPr>
          <w:trHeight w:val="397"/>
        </w:trPr>
        <w:tc>
          <w:tcPr>
            <w:tcW w:w="5000" w:type="pct"/>
            <w:gridSpan w:val="3"/>
          </w:tcPr>
          <w:p w14:paraId="61954F2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var.mlpa</w:t>
            </w:r>
            <w:proofErr w:type="gramEnd"/>
            <w:r>
              <w:rPr>
                <w:rFonts w:ascii="思源黑体 CN Normal" w:eastAsia="思源黑体 CN Normal" w:hAnsi="思源黑体 CN Normal"/>
                <w:sz w:val="17"/>
                <w:szCs w:val="17"/>
              </w:rPr>
              <w:t xml:space="preserve">.B1_Gain+var.mlpa.B2_Gain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var.var_germline.level_3</w:t>
            </w:r>
            <w:r>
              <w:rPr>
                <w:rFonts w:ascii="思源黑体 CN Normal" w:eastAsia="思源黑体 CN Normal" w:hAnsi="思源黑体 CN Normal" w:hint="eastAsia"/>
                <w:sz w:val="17"/>
                <w:szCs w:val="17"/>
              </w:rPr>
              <w:t>%}</w:t>
            </w:r>
          </w:p>
        </w:tc>
      </w:tr>
      <w:tr w:rsidR="00054423" w14:paraId="149417EA" w14:textId="77777777" w:rsidTr="00054423">
        <w:trPr>
          <w:trHeight w:val="397"/>
        </w:trPr>
        <w:tc>
          <w:tcPr>
            <w:tcW w:w="1072" w:type="pct"/>
          </w:tcPr>
          <w:p w14:paraId="595FE13B" w14:textId="77777777" w:rsidR="00054423"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hint="eastAsia"/>
                <w:i/>
                <w:iCs/>
                <w:sz w:val="17"/>
                <w:szCs w:val="17"/>
              </w:rPr>
              <w:lastRenderedPageBreak/>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3019" w:type="pct"/>
          </w:tcPr>
          <w:p w14:paraId="4E506B4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7E304A4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1D9E443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BAB8AE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5EFDB8F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w:t>
            </w:r>
          </w:p>
          <w:p w14:paraId="46AD6971"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c>
          <w:tcPr>
            <w:tcW w:w="909" w:type="pct"/>
          </w:tcPr>
          <w:p w14:paraId="05B2F71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3DBEA59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55E38971"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51C89FF"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02E6BC3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68CFC69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601D68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0F8F39A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endif%}</w:t>
            </w:r>
          </w:p>
          <w:p w14:paraId="04A3A240" w14:textId="77777777" w:rsidR="00054423"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054423" w14:paraId="3CFFF99C" w14:textId="77777777" w:rsidTr="00054423">
        <w:trPr>
          <w:trHeight w:val="397"/>
        </w:trPr>
        <w:tc>
          <w:tcPr>
            <w:tcW w:w="5000" w:type="pct"/>
            <w:gridSpan w:val="3"/>
          </w:tcPr>
          <w:p w14:paraId="10663B5C" w14:textId="77777777" w:rsidR="00054423"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endfor%}</w:t>
            </w:r>
          </w:p>
        </w:tc>
      </w:tr>
      <w:tr w:rsidR="00054423" w14:paraId="7EDD4473" w14:textId="77777777" w:rsidTr="00054423">
        <w:trPr>
          <w:trHeight w:val="397"/>
        </w:trPr>
        <w:tc>
          <w:tcPr>
            <w:tcW w:w="5000" w:type="pct"/>
            <w:gridSpan w:val="3"/>
          </w:tcPr>
          <w:p w14:paraId="4317B08F" w14:textId="77777777" w:rsidR="00054423"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p>
        </w:tc>
      </w:tr>
      <w:tr w:rsidR="00054423" w14:paraId="21E76413" w14:textId="77777777" w:rsidTr="00054423">
        <w:trPr>
          <w:trHeight w:val="397"/>
        </w:trPr>
        <w:tc>
          <w:tcPr>
            <w:tcW w:w="5000" w:type="pct"/>
            <w:gridSpan w:val="3"/>
          </w:tcPr>
          <w:p w14:paraId="0997DC34" w14:textId="77777777" w:rsidR="00054423"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未检测</w:t>
            </w:r>
            <w:proofErr w:type="gramStart"/>
            <w:r>
              <w:rPr>
                <w:rFonts w:ascii="思源黑体 CN Normal" w:eastAsia="思源黑体 CN Normal" w:hAnsi="思源黑体 CN Normal" w:hint="eastAsia"/>
                <w:sz w:val="17"/>
                <w:szCs w:val="17"/>
              </w:rPr>
              <w:t>到意义</w:t>
            </w:r>
            <w:proofErr w:type="gramEnd"/>
            <w:r>
              <w:rPr>
                <w:rFonts w:ascii="思源黑体 CN Normal" w:eastAsia="思源黑体 CN Normal" w:hAnsi="思源黑体 CN Normal" w:hint="eastAsia"/>
                <w:sz w:val="17"/>
                <w:szCs w:val="17"/>
              </w:rPr>
              <w:t>不明确胚系变异</w:t>
            </w:r>
          </w:p>
        </w:tc>
      </w:tr>
      <w:tr w:rsidR="00054423" w14:paraId="5115B7DD" w14:textId="77777777" w:rsidTr="00054423">
        <w:trPr>
          <w:trHeight w:val="397"/>
        </w:trPr>
        <w:tc>
          <w:tcPr>
            <w:tcW w:w="5000" w:type="pct"/>
            <w:gridSpan w:val="3"/>
          </w:tcPr>
          <w:p w14:paraId="44F6F4AF" w14:textId="77777777" w:rsidR="00054423" w:rsidRDefault="00000000">
            <w:pPr>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493B6E67" w14:textId="77777777" w:rsidR="00054423" w:rsidRDefault="00054423">
      <w:pPr>
        <w:adjustRightInd w:val="0"/>
        <w:snapToGrid w:val="0"/>
        <w:spacing w:line="240" w:lineRule="exact"/>
        <w:rPr>
          <w:rFonts w:ascii="思源黑体 CN Light" w:eastAsia="思源黑体 CN Light" w:hAnsi="思源黑体 CN Light"/>
          <w:color w:val="595959" w:themeColor="text1" w:themeTint="A6"/>
          <w:sz w:val="13"/>
          <w:szCs w:val="13"/>
        </w:rPr>
      </w:pPr>
    </w:p>
    <w:p w14:paraId="08074C73" w14:textId="77777777" w:rsidR="00054423" w:rsidRDefault="00000000">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B0C81E4" w14:textId="77777777" w:rsidR="00054423"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对于致病性或疑似致病性的胚系变异，根据美国病理学会（</w:t>
      </w:r>
      <w:r>
        <w:rPr>
          <w:rFonts w:ascii="思源黑体 CN Normal" w:eastAsia="思源黑体 CN Normal" w:hAnsi="思源黑体 CN Normal"/>
          <w:sz w:val="16"/>
          <w:szCs w:val="16"/>
        </w:rPr>
        <w:t>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w:t>
      </w:r>
      <w:r>
        <w:rPr>
          <w:rFonts w:ascii="思源黑体 CN Normal" w:eastAsia="思源黑体 CN Normal" w:hAnsi="思源黑体 CN Normal" w:hint="eastAsia"/>
          <w:sz w:val="16"/>
          <w:szCs w:val="16"/>
        </w:rPr>
        <w:t>（详见“产品声明”部分的“变异命名与解读”）。</w:t>
      </w:r>
    </w:p>
    <w:p w14:paraId="49DFBE73" w14:textId="77777777" w:rsidR="00054423"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“致病性、疑似致病性胚系变异列表”列出解读为致病性、疑似致病性的胚系</w:t>
      </w:r>
      <w:r>
        <w:rPr>
          <w:rFonts w:ascii="思源黑体 CN Normal" w:eastAsia="思源黑体 CN Normal" w:hAnsi="思源黑体 CN Normal"/>
          <w:sz w:val="16"/>
          <w:szCs w:val="16"/>
        </w:rPr>
        <w:t>变异。</w:t>
      </w:r>
    </w:p>
    <w:p w14:paraId="279A2B94" w14:textId="77777777" w:rsidR="00054423" w:rsidRDefault="00000000">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“意义不明确胚系变异列表”列出解读为意义不明确的胚系变异。</w:t>
      </w:r>
    </w:p>
    <w:p w14:paraId="60869286" w14:textId="77777777" w:rsidR="00054423" w:rsidRDefault="00000000">
      <w:pPr>
        <w:pStyle w:val="ad"/>
        <w:numPr>
          <w:ilvl w:val="0"/>
          <w:numId w:val="3"/>
        </w:numPr>
        <w:ind w:firstLineChars="0"/>
        <w:rPr>
          <w:rFonts w:ascii="思源黑体 CN Normal" w:eastAsia="思源黑体 CN Normal" w:hAnsi="思源黑体 CN Normal"/>
          <w:sz w:val="16"/>
          <w:szCs w:val="16"/>
        </w:rPr>
      </w:pPr>
      <w:r>
        <w:br w:type="page"/>
      </w:r>
    </w:p>
    <w:p w14:paraId="25AFFCA4" w14:textId="77777777" w:rsidR="00054423"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已获批PARP抑制剂相关变异检测结果汇总</w:t>
      </w:r>
    </w:p>
    <w:p w14:paraId="6B7BF0DF" w14:textId="77777777" w:rsidR="00054423" w:rsidRDefault="00054423">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5670"/>
        <w:gridCol w:w="1520"/>
        <w:gridCol w:w="1876"/>
      </w:tblGrid>
      <w:tr w:rsidR="00054423" w14:paraId="5E7CA5BA"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0CD49E4A"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5670" w:type="dxa"/>
            <w:tcBorders>
              <w:top w:val="nil"/>
              <w:left w:val="single" w:sz="4" w:space="0" w:color="FFFFFF" w:themeColor="background1"/>
              <w:right w:val="single" w:sz="4" w:space="0" w:color="FFFFFF" w:themeColor="background1"/>
            </w:tcBorders>
          </w:tcPr>
          <w:p w14:paraId="53C93959"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520" w:type="dxa"/>
            <w:tcBorders>
              <w:top w:val="nil"/>
              <w:left w:val="single" w:sz="4" w:space="0" w:color="FFFFFF" w:themeColor="background1"/>
              <w:right w:val="single" w:sz="4" w:space="0" w:color="FFFFFF" w:themeColor="background1"/>
            </w:tcBorders>
          </w:tcPr>
          <w:p w14:paraId="69A9FB93"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基因型/丰度</w:t>
            </w:r>
          </w:p>
        </w:tc>
        <w:tc>
          <w:tcPr>
            <w:tcW w:w="1876" w:type="dxa"/>
            <w:tcBorders>
              <w:top w:val="nil"/>
              <w:left w:val="single" w:sz="4" w:space="0" w:color="FFFFFF" w:themeColor="background1"/>
            </w:tcBorders>
          </w:tcPr>
          <w:p w14:paraId="392513FD"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054423" w14:paraId="5898A6F3" w14:textId="77777777" w:rsidTr="00054423">
        <w:trPr>
          <w:trHeight w:val="397"/>
        </w:trPr>
        <w:tc>
          <w:tcPr>
            <w:tcW w:w="10342" w:type="dxa"/>
            <w:gridSpan w:val="4"/>
          </w:tcPr>
          <w:p w14:paraId="6EEEC21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w:t>
            </w:r>
            <w:r>
              <w:rPr>
                <w:rFonts w:ascii="思源黑体 CN Normal" w:eastAsia="思源黑体 CN Normal" w:hAnsi="思源黑体 CN Normal"/>
                <w:sz w:val="17"/>
                <w:szCs w:val="17"/>
              </w:rPr>
              <w:t xml:space="preserve">r for a in </w:t>
            </w:r>
            <w:proofErr w:type="gramStart"/>
            <w:r>
              <w:rPr>
                <w:rFonts w:ascii="思源黑体 CN Normal" w:eastAsia="思源黑体 CN Normal" w:hAnsi="思源黑体 CN Normal"/>
                <w:sz w:val="17"/>
                <w:szCs w:val="17"/>
              </w:rPr>
              <w:t>var.cdx.format</w:t>
            </w:r>
            <w:proofErr w:type="gramEnd"/>
            <w:r>
              <w:rPr>
                <w:rFonts w:ascii="思源黑体 CN Normal" w:eastAsia="思源黑体 CN Normal" w:hAnsi="思源黑体 CN Normal"/>
                <w:sz w:val="17"/>
                <w:szCs w:val="17"/>
              </w:rPr>
              <w:t>5_forHRR</w:t>
            </w:r>
            <w:r>
              <w:rPr>
                <w:rFonts w:ascii="思源黑体 CN Normal" w:eastAsia="思源黑体 CN Normal" w:hAnsi="思源黑体 CN Normal" w:hint="eastAsia"/>
                <w:sz w:val="17"/>
                <w:szCs w:val="17"/>
              </w:rPr>
              <w:t>%}</w:t>
            </w:r>
          </w:p>
        </w:tc>
      </w:tr>
      <w:tr w:rsidR="00054423" w14:paraId="4B5C6140" w14:textId="77777777" w:rsidTr="00054423">
        <w:trPr>
          <w:trHeight w:val="397"/>
        </w:trPr>
        <w:tc>
          <w:tcPr>
            <w:tcW w:w="1276" w:type="dxa"/>
          </w:tcPr>
          <w:p w14:paraId="734993E9" w14:textId="77777777" w:rsidR="00054423"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w:t>
            </w:r>
            <w:proofErr w:type="gramStart"/>
            <w:r>
              <w:rPr>
                <w:rFonts w:ascii="思源黑体 CN Normal" w:eastAsia="思源黑体 CN Normal" w:hAnsi="思源黑体 CN Normal" w:cs="思源黑体 CN Light"/>
                <w:bCs/>
                <w:i/>
                <w:color w:val="000000"/>
                <w:sz w:val="17"/>
                <w:szCs w:val="17"/>
              </w:rPr>
              <w:t>a.gene</w:t>
            </w:r>
            <w:proofErr w:type="gramEnd"/>
            <w:r>
              <w:rPr>
                <w:rFonts w:ascii="思源黑体 CN Normal" w:eastAsia="思源黑体 CN Normal" w:hAnsi="思源黑体 CN Normal" w:cs="思源黑体 CN Light"/>
                <w:bCs/>
                <w:i/>
                <w:color w:val="000000"/>
                <w:sz w:val="17"/>
                <w:szCs w:val="17"/>
              </w:rPr>
              <w:t>_symbol}}</w:t>
            </w:r>
          </w:p>
        </w:tc>
        <w:tc>
          <w:tcPr>
            <w:tcW w:w="5670" w:type="dxa"/>
          </w:tcPr>
          <w:p w14:paraId="68BC577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1C7459F5"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{{a.value}} del</w:t>
            </w:r>
          </w:p>
          <w:p w14:paraId="36ABCACB"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778FAFD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{a.value}} d</w:t>
            </w:r>
            <w:r>
              <w:rPr>
                <w:rFonts w:ascii="思源黑体 CN Normal" w:eastAsia="思源黑体 CN Normal" w:hAnsi="思源黑体 CN Normal" w:hint="eastAsia"/>
                <w:sz w:val="17"/>
                <w:szCs w:val="17"/>
              </w:rPr>
              <w:t>up</w:t>
            </w:r>
          </w:p>
          <w:p w14:paraId="5E5928F0"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1D845F9F"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7A5527D5"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a.gene</w:t>
            </w:r>
            <w:proofErr w:type="gramEnd"/>
            <w:r>
              <w:rPr>
                <w:rFonts w:ascii="思源黑体 CN Normal" w:eastAsia="思源黑体 CN Normal" w:hAnsi="思源黑体 CN Normal" w:cs="思源黑体 CN Light"/>
                <w:bCs/>
                <w:iCs/>
                <w:color w:val="000000"/>
                <w:sz w:val="17"/>
                <w:szCs w:val="17"/>
              </w:rPr>
              <w:t>_region}} {{a.hgvs_c}}{%if a.hgvs_p!=”p.?”%} {{a.hgvs_p}}{%endif%}</w:t>
            </w:r>
          </w:p>
          <w:p w14:paraId="2FE604C0"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a.transcript</w:t>
            </w:r>
            <w:proofErr w:type="gramEnd"/>
            <w:r>
              <w:rPr>
                <w:rFonts w:ascii="思源黑体 CN Normal" w:eastAsia="思源黑体 CN Normal" w:hAnsi="思源黑体 CN Normal" w:cs="思源黑体 CN Light"/>
                <w:bCs/>
                <w:iCs/>
                <w:color w:val="000000"/>
                <w:sz w:val="17"/>
                <w:szCs w:val="17"/>
              </w:rPr>
              <w:t>_primary}}</w:t>
            </w:r>
          </w:p>
          <w:p w14:paraId="265102A8"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0CDFB6C2"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未检测到致病性、疑似致病性、意义不明确胚系</w:t>
            </w:r>
            <w:r>
              <w:rPr>
                <w:rFonts w:ascii="思源黑体 CN Normal" w:eastAsia="思源黑体 CN Normal" w:hAnsi="思源黑体 CN Normal" w:cs="思源黑体 CN Light"/>
                <w:bCs/>
                <w:iCs/>
                <w:color w:val="000000"/>
                <w:sz w:val="17"/>
                <w:szCs w:val="17"/>
              </w:rPr>
              <w:t>变异</w:t>
            </w:r>
          </w:p>
          <w:p w14:paraId="7D72EE24"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未检测到具有临床意义、临床意义不明的体细胞变异</w:t>
            </w:r>
          </w:p>
          <w:p w14:paraId="3D26C7BA"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p w14:paraId="13C8ECBC"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endif%}</w:t>
            </w:r>
          </w:p>
        </w:tc>
        <w:tc>
          <w:tcPr>
            <w:tcW w:w="1520" w:type="dxa"/>
          </w:tcPr>
          <w:p w14:paraId="1E2EAAB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7F56D2D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40E45994"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134D4ED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17D58FC7"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76F995B0"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5FF07D51"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if a.var_origin=</w:t>
            </w:r>
            <w:proofErr w:type="gramStart"/>
            <w:r>
              <w:rPr>
                <w:rFonts w:ascii="思源黑体 CN Normal" w:eastAsia="思源黑体 CN Normal" w:hAnsi="思源黑体 CN Normal" w:cs="思源黑体 CN Light"/>
                <w:bCs/>
                <w:iCs/>
                <w:color w:val="000000"/>
                <w:sz w:val="17"/>
                <w:szCs w:val="17"/>
              </w:rPr>
              <w:t>=”germline</w:t>
            </w:r>
            <w:proofErr w:type="gramEnd"/>
            <w:r>
              <w:rPr>
                <w:rFonts w:ascii="思源黑体 CN Normal" w:eastAsia="思源黑体 CN Normal" w:hAnsi="思源黑体 CN Normal" w:cs="思源黑体 CN Light"/>
                <w:bCs/>
                <w:iCs/>
                <w:color w:val="000000"/>
                <w:sz w:val="17"/>
                <w:szCs w:val="17"/>
              </w:rPr>
              <w:t>”</w:t>
            </w:r>
            <w:r>
              <w:rPr>
                <w:rFonts w:ascii="思源黑体 CN Normal" w:eastAsia="思源黑体 CN Normal" w:hAnsi="思源黑体 CN Normal" w:cs="思源黑体 CN Light" w:hint="eastAsia"/>
                <w:bCs/>
                <w:iCs/>
                <w:color w:val="000000"/>
                <w:sz w:val="17"/>
                <w:szCs w:val="17"/>
              </w:rPr>
              <w:t>%}</w:t>
            </w:r>
          </w:p>
          <w:p w14:paraId="28047A5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|float &gt;= 0.85%}</w:t>
            </w:r>
          </w:p>
          <w:p w14:paraId="4ED66DB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纯合</w:t>
            </w:r>
          </w:p>
          <w:p w14:paraId="133BE6F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7C185144"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杂合</w:t>
            </w:r>
          </w:p>
          <w:p w14:paraId="4BF29F1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5CE9CF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2684E2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p>
          <w:p w14:paraId="068AFE4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1D495737"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1A38AA9"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1A0B394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3BA1485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3561DD0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0668DC5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7FDAA390"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r>
              <w:rPr>
                <w:rFonts w:ascii="思源黑体 CN Normal" w:eastAsia="思源黑体 CN Normal" w:hAnsi="思源黑体 CN Normal" w:cs="思源黑体 CN Light"/>
                <w:bCs/>
                <w:iCs/>
                <w:color w:val="000000"/>
                <w:sz w:val="17"/>
                <w:szCs w:val="17"/>
              </w:rPr>
              <w:t>%}</w:t>
            </w:r>
          </w:p>
          <w:p w14:paraId="01C1CBF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02BA97E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{%p else%}</w:t>
            </w:r>
          </w:p>
          <w:p w14:paraId="4B6326B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35D1B749" w14:textId="77777777" w:rsidR="00054423"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if </w:t>
            </w:r>
            <w:r>
              <w:rPr>
                <w:rFonts w:ascii="思源黑体 CN Normal" w:eastAsia="思源黑体 CN Normal" w:hAnsi="思源黑体 CN Normal" w:cs="思源黑体 CN Light" w:hint="eastAsia"/>
                <w:bCs/>
                <w:iCs/>
                <w:color w:val="000000"/>
                <w:sz w:val="17"/>
                <w:szCs w:val="17"/>
              </w:rPr>
              <w:t>a</w:t>
            </w:r>
            <w:r>
              <w:rPr>
                <w:rFonts w:ascii="思源黑体 CN Normal" w:eastAsia="思源黑体 CN Normal" w:hAnsi="思源黑体 CN Normal" w:cs="思源黑体 CN Light"/>
                <w:bCs/>
                <w:iCs/>
                <w:color w:val="000000"/>
                <w:sz w:val="17"/>
                <w:szCs w:val="17"/>
              </w:rPr>
              <w:t>.var_origin=</w:t>
            </w:r>
            <w:proofErr w:type="gramStart"/>
            <w:r>
              <w:rPr>
                <w:rFonts w:ascii="思源黑体 CN Normal" w:eastAsia="思源黑体 CN Normal" w:hAnsi="思源黑体 CN Normal" w:cs="思源黑体 CN Light"/>
                <w:bCs/>
                <w:iCs/>
                <w:color w:val="000000"/>
                <w:sz w:val="17"/>
                <w:szCs w:val="17"/>
              </w:rPr>
              <w:t>=”germline</w:t>
            </w:r>
            <w:proofErr w:type="gramEnd"/>
            <w:r>
              <w:rPr>
                <w:rFonts w:ascii="思源黑体 CN Normal" w:eastAsia="思源黑体 CN Normal" w:hAnsi="思源黑体 CN Normal" w:cs="思源黑体 CN Light"/>
                <w:bCs/>
                <w:iCs/>
                <w:color w:val="000000"/>
                <w:sz w:val="17"/>
                <w:szCs w:val="17"/>
              </w:rPr>
              <w:t>”</w:t>
            </w:r>
            <w:r>
              <w:rPr>
                <w:rFonts w:ascii="思源黑体 CN Normal" w:eastAsia="思源黑体 CN Normal" w:hAnsi="思源黑体 CN Normal" w:cs="思源黑体 CN Light" w:hint="eastAsia"/>
                <w:bCs/>
                <w:iCs/>
                <w:color w:val="000000"/>
                <w:sz w:val="17"/>
                <w:szCs w:val="17"/>
              </w:rPr>
              <w:t>%}</w:t>
            </w:r>
          </w:p>
          <w:p w14:paraId="4971382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_num_g==5%}</w:t>
            </w:r>
          </w:p>
          <w:p w14:paraId="1784C2D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致病性</w:t>
            </w:r>
          </w:p>
          <w:p w14:paraId="5B34215A"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_num_g==4</w:t>
            </w:r>
            <w:r>
              <w:rPr>
                <w:rFonts w:ascii="思源黑体 CN Normal" w:eastAsia="思源黑体 CN Normal" w:hAnsi="思源黑体 CN Normal" w:hint="eastAsia"/>
                <w:sz w:val="17"/>
                <w:szCs w:val="17"/>
              </w:rPr>
              <w:t>%}</w:t>
            </w:r>
          </w:p>
          <w:p w14:paraId="79F052B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疑似致病性</w:t>
            </w:r>
          </w:p>
          <w:p w14:paraId="13A1E1D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4462BBB8"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意义不明确</w:t>
            </w:r>
          </w:p>
          <w:p w14:paraId="1AC852E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1221C961"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537571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_num_s==5%}</w:t>
            </w:r>
          </w:p>
          <w:p w14:paraId="2714164C"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I类-强临床意义</w:t>
            </w:r>
          </w:p>
          <w:p w14:paraId="48A8236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_num_s==4</w:t>
            </w:r>
            <w:r>
              <w:rPr>
                <w:rFonts w:ascii="思源黑体 CN Normal" w:eastAsia="思源黑体 CN Normal" w:hAnsi="思源黑体 CN Normal" w:hint="eastAsia"/>
                <w:sz w:val="17"/>
                <w:szCs w:val="17"/>
              </w:rPr>
              <w:t>%}</w:t>
            </w:r>
          </w:p>
          <w:p w14:paraId="7562C5F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II类-潜在临床意义</w:t>
            </w:r>
          </w:p>
          <w:p w14:paraId="69515A4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7100ABC1"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III类-临床意义不明</w:t>
            </w:r>
          </w:p>
          <w:p w14:paraId="41CA0F2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7FB38DA6"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64E14A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C7A8A75"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241E6ACB"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3DF3C1BE"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54423" w14:paraId="073EE1B8" w14:textId="77777777" w:rsidTr="00054423">
        <w:trPr>
          <w:trHeight w:val="397"/>
        </w:trPr>
        <w:tc>
          <w:tcPr>
            <w:tcW w:w="10342" w:type="dxa"/>
            <w:gridSpan w:val="4"/>
          </w:tcPr>
          <w:p w14:paraId="320BBC2D"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1265FB61" w14:textId="77777777" w:rsidR="00054423" w:rsidRDefault="00054423">
      <w:pPr>
        <w:rPr>
          <w:rFonts w:ascii="思源黑体 CN Normal" w:eastAsia="思源黑体 CN Normal" w:hAnsi="思源黑体 CN Normal"/>
          <w:sz w:val="16"/>
          <w:szCs w:val="16"/>
        </w:rPr>
      </w:pPr>
    </w:p>
    <w:p w14:paraId="6D69802B"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366D9DA" w14:textId="77777777" w:rsidR="00054423" w:rsidRDefault="00000000">
      <w:pPr>
        <w:pStyle w:val="ad"/>
        <w:numPr>
          <w:ilvl w:val="0"/>
          <w:numId w:val="4"/>
        </w:numPr>
        <w:ind w:firstLineChars="0"/>
        <w:rPr>
          <w:rFonts w:ascii="思源黑体 CN Normal" w:eastAsia="思源黑体 CN Normal" w:hAnsi="思源黑体 CN Normal"/>
          <w:sz w:val="16"/>
          <w:szCs w:val="16"/>
        </w:rPr>
      </w:pPr>
      <w:bookmarkStart w:id="4" w:name="_Hlk103843471"/>
      <w:r>
        <w:rPr>
          <w:rFonts w:ascii="思源黑体 CN Normal" w:eastAsia="思源黑体 CN Normal" w:hAnsi="思源黑体 CN Normal" w:hint="eastAsia"/>
          <w:sz w:val="16"/>
          <w:szCs w:val="16"/>
        </w:rPr>
        <w:lastRenderedPageBreak/>
        <w:t>当检测结果为“未检测到致病性、疑似致病性、意义不明确胚系变异，未检测到具有临床意义、临床意义不明的体细胞变异”时，“基因型/</w:t>
      </w:r>
      <w:r>
        <w:rPr>
          <w:rFonts w:ascii="思源黑体 CN Normal" w:eastAsia="思源黑体 CN Normal" w:hAnsi="思源黑体 CN Normal"/>
          <w:sz w:val="16"/>
          <w:szCs w:val="16"/>
        </w:rPr>
        <w:t>丰度”</w:t>
      </w:r>
      <w:r>
        <w:rPr>
          <w:rFonts w:ascii="思源黑体 CN Normal" w:eastAsia="思源黑体 CN Normal" w:hAnsi="思源黑体 CN Normal" w:hint="eastAsia"/>
          <w:sz w:val="16"/>
          <w:szCs w:val="16"/>
        </w:rPr>
        <w:t>、“变异解读”处填写“-”</w:t>
      </w:r>
      <w:bookmarkEnd w:id="4"/>
      <w:r>
        <w:rPr>
          <w:rFonts w:ascii="思源黑体 CN Normal" w:eastAsia="思源黑体 CN Normal" w:hAnsi="思源黑体 CN Normal"/>
          <w:sz w:val="16"/>
          <w:szCs w:val="16"/>
        </w:rPr>
        <w:t>。</w:t>
      </w:r>
      <w:r>
        <w:rPr>
          <w:rFonts w:ascii="思源黑体 CN Normal" w:eastAsia="思源黑体 CN Normal" w:hAnsi="思源黑体 CN Normal"/>
          <w:sz w:val="16"/>
          <w:szCs w:val="16"/>
        </w:rPr>
        <w:br w:type="page"/>
      </w:r>
    </w:p>
    <w:p w14:paraId="1BC026C9" w14:textId="77777777" w:rsidR="00054423"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5" w:name="_Toc41567092"/>
      <w:bookmarkStart w:id="6" w:name="_Toc41565902"/>
      <w:bookmarkStart w:id="7" w:name="_Toc42102368"/>
      <w:bookmarkStart w:id="8" w:name="_Toc41566818"/>
      <w:bookmarkStart w:id="9" w:name="_Toc41567060"/>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化疗药物相关标志物检测结果</w:t>
      </w:r>
    </w:p>
    <w:bookmarkEnd w:id="5"/>
    <w:bookmarkEnd w:id="6"/>
    <w:bookmarkEnd w:id="7"/>
    <w:bookmarkEnd w:id="8"/>
    <w:bookmarkEnd w:id="9"/>
    <w:p w14:paraId="359CB567" w14:textId="77777777" w:rsidR="00054423" w:rsidRDefault="00054423"/>
    <w:tbl>
      <w:tblPr>
        <w:tblStyle w:val="PTMv3"/>
        <w:tblW w:w="0" w:type="auto"/>
        <w:tblLayout w:type="fixed"/>
        <w:tblLook w:val="04A0" w:firstRow="1" w:lastRow="0" w:firstColumn="1" w:lastColumn="0" w:noHBand="0" w:noVBand="1"/>
      </w:tblPr>
      <w:tblGrid>
        <w:gridCol w:w="1175"/>
        <w:gridCol w:w="1380"/>
        <w:gridCol w:w="1133"/>
        <w:gridCol w:w="5674"/>
        <w:gridCol w:w="980"/>
      </w:tblGrid>
      <w:tr w:rsidR="00054423" w14:paraId="5264B9A2"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57E7F5BA"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78CABB15"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1477FEA8"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5A712768"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42019959" w14:textId="77777777" w:rsidR="00054423"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054423" w14:paraId="0DFD2543" w14:textId="77777777" w:rsidTr="00054423">
        <w:trPr>
          <w:trHeight w:val="397"/>
        </w:trPr>
        <w:tc>
          <w:tcPr>
            <w:tcW w:w="10342" w:type="dxa"/>
            <w:gridSpan w:val="5"/>
          </w:tcPr>
          <w:p w14:paraId="7D324E92"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054423" w14:paraId="4EAF4CAA" w14:textId="77777777" w:rsidTr="00054423">
        <w:trPr>
          <w:trHeight w:val="397"/>
        </w:trPr>
        <w:tc>
          <w:tcPr>
            <w:tcW w:w="10342" w:type="dxa"/>
            <w:gridSpan w:val="5"/>
          </w:tcPr>
          <w:p w14:paraId="438B364F"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054423" w14:paraId="0B6D0FDD" w14:textId="77777777" w:rsidTr="00054423">
        <w:trPr>
          <w:trHeight w:val="397"/>
        </w:trPr>
        <w:tc>
          <w:tcPr>
            <w:tcW w:w="1175" w:type="dxa"/>
          </w:tcPr>
          <w:p w14:paraId="361CF90A" w14:textId="77777777" w:rsidR="00054423"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108AC1F6"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363FBF3A"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4697EB23" w14:textId="77777777" w:rsidR="00054423"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4D247A1A"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054423" w14:paraId="77772844" w14:textId="77777777" w:rsidTr="00054423">
        <w:trPr>
          <w:trHeight w:val="397"/>
        </w:trPr>
        <w:tc>
          <w:tcPr>
            <w:tcW w:w="10342" w:type="dxa"/>
            <w:gridSpan w:val="5"/>
          </w:tcPr>
          <w:p w14:paraId="720651A5"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054423" w14:paraId="7E098E19" w14:textId="77777777" w:rsidTr="00054423">
        <w:trPr>
          <w:trHeight w:val="397"/>
        </w:trPr>
        <w:tc>
          <w:tcPr>
            <w:tcW w:w="10342" w:type="dxa"/>
            <w:gridSpan w:val="5"/>
          </w:tcPr>
          <w:p w14:paraId="3150A653"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054423" w14:paraId="60C6CFE2" w14:textId="77777777" w:rsidTr="00054423">
        <w:trPr>
          <w:trHeight w:val="397"/>
        </w:trPr>
        <w:tc>
          <w:tcPr>
            <w:tcW w:w="10342" w:type="dxa"/>
            <w:gridSpan w:val="5"/>
          </w:tcPr>
          <w:p w14:paraId="4F9D4E04"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 xml:space="preserve"> %}</w:t>
            </w:r>
          </w:p>
        </w:tc>
      </w:tr>
      <w:tr w:rsidR="00054423" w14:paraId="49E2AE29" w14:textId="77777777" w:rsidTr="00054423">
        <w:trPr>
          <w:trHeight w:val="397"/>
        </w:trPr>
        <w:tc>
          <w:tcPr>
            <w:tcW w:w="1175" w:type="dxa"/>
          </w:tcPr>
          <w:p w14:paraId="4622088A" w14:textId="77777777" w:rsidR="00054423"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22AE5E24"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165E53E9"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3BC5DA67" w14:textId="77777777" w:rsidR="00054423"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30586335"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054423" w14:paraId="74E8A2CC" w14:textId="77777777" w:rsidTr="00054423">
        <w:trPr>
          <w:trHeight w:val="397"/>
        </w:trPr>
        <w:tc>
          <w:tcPr>
            <w:tcW w:w="10342" w:type="dxa"/>
            <w:gridSpan w:val="5"/>
          </w:tcPr>
          <w:p w14:paraId="184046CB" w14:textId="77777777" w:rsidR="00054423"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054423" w14:paraId="5A6CA44A" w14:textId="77777777" w:rsidTr="00054423">
        <w:trPr>
          <w:trHeight w:val="397"/>
        </w:trPr>
        <w:tc>
          <w:tcPr>
            <w:tcW w:w="10342" w:type="dxa"/>
            <w:gridSpan w:val="5"/>
          </w:tcPr>
          <w:p w14:paraId="1BBA7023" w14:textId="77777777" w:rsidR="00054423"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4E77FDB" w14:textId="77777777" w:rsidR="00054423" w:rsidRDefault="00054423">
      <w:pPr>
        <w:rPr>
          <w:rFonts w:ascii="思源黑体 CN Normal" w:eastAsia="思源黑体 CN Normal" w:hAnsi="思源黑体 CN Normal"/>
          <w:sz w:val="16"/>
          <w:szCs w:val="16"/>
        </w:rPr>
      </w:pPr>
    </w:p>
    <w:p w14:paraId="1020A74A"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FBE743C" w14:textId="77777777" w:rsidR="00054423"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w:t>
      </w:r>
      <w:proofErr w:type="gramStart"/>
      <w:r>
        <w:rPr>
          <w:rFonts w:ascii="思源黑体 CN Normal" w:eastAsia="思源黑体 CN Normal" w:hAnsi="思源黑体 CN Normal" w:hint="eastAsia"/>
          <w:sz w:val="16"/>
          <w:szCs w:val="16"/>
        </w:rPr>
        <w:t>学实施</w:t>
      </w:r>
      <w:proofErr w:type="gramEnd"/>
      <w:r>
        <w:rPr>
          <w:rFonts w:ascii="思源黑体 CN Normal" w:eastAsia="思源黑体 CN Normal" w:hAnsi="思源黑体 CN Normal" w:hint="eastAsia"/>
          <w:sz w:val="16"/>
          <w:szCs w:val="16"/>
        </w:rPr>
        <w:t>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基于病例报告，非权威性研究或体外分子功能研究。</w:t>
      </w:r>
    </w:p>
    <w:p w14:paraId="587DFE08" w14:textId="77777777" w:rsidR="00054423"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054423" w14:paraId="721D8458" w14:textId="77777777" w:rsidTr="00054423">
        <w:tc>
          <w:tcPr>
            <w:tcW w:w="4253" w:type="dxa"/>
          </w:tcPr>
          <w:p w14:paraId="748769BF"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3360" behindDoc="1" locked="0" layoutInCell="1" allowOverlap="1" wp14:anchorId="02C64A34" wp14:editId="0C19683D">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09F0B35C" w14:textId="77777777" w:rsidR="00054423"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45C09A3E" wp14:editId="08EA2232">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716B1F73"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2.</w:t>
      </w:r>
      <w:r>
        <w:rPr>
          <w:rFonts w:ascii="思源黑体 CN Bold" w:eastAsia="思源黑体 CN Bold" w:hAnsi="思源黑体 CN Bold"/>
          <w:color w:val="1E7648"/>
          <w:sz w:val="24"/>
          <w:szCs w:val="24"/>
        </w:rPr>
        <w:t>1 体细胞变异</w:t>
      </w:r>
      <w:r>
        <w:rPr>
          <w:rFonts w:ascii="思源黑体 CN Bold" w:eastAsia="思源黑体 CN Bold" w:hAnsi="思源黑体 CN Bold" w:hint="eastAsia"/>
          <w:color w:val="1E7648"/>
          <w:sz w:val="24"/>
          <w:szCs w:val="24"/>
        </w:rPr>
        <w:t>详细解读</w:t>
      </w:r>
    </w:p>
    <w:p w14:paraId="35A265CE" w14:textId="77777777" w:rsidR="00054423" w:rsidRDefault="00000000">
      <w:pPr>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.1.1</w:t>
      </w:r>
      <w:r>
        <w:rPr>
          <w:rFonts w:ascii="思源黑体 CN Bold" w:eastAsia="思源黑体 CN Bold" w:hAnsi="思源黑体 CN Bold" w:cstheme="majorBidi" w:hint="eastAsia"/>
          <w:b/>
          <w:bCs/>
          <w:color w:val="1E7648"/>
          <w:sz w:val="24"/>
          <w:szCs w:val="24"/>
        </w:rPr>
        <w:t>具有临床意义的体细胞变异详细解读</w:t>
      </w:r>
    </w:p>
    <w:p w14:paraId="32286063" w14:textId="77777777" w:rsidR="00054423" w:rsidRDefault="00000000">
      <w:r>
        <w:t>{%p if var.var_</w:t>
      </w:r>
      <w:proofErr w:type="gramStart"/>
      <w:r>
        <w:t>somatic.level</w:t>
      </w:r>
      <w:proofErr w:type="gramEnd"/>
      <w:r>
        <w:t>_I+var.var_somatic.level_II%}</w:t>
      </w:r>
    </w:p>
    <w:p w14:paraId="5206738E" w14:textId="77777777" w:rsidR="00054423" w:rsidRDefault="00000000">
      <w:r>
        <w:t>{%p for a in var.var_</w:t>
      </w:r>
      <w:proofErr w:type="gramStart"/>
      <w:r>
        <w:t>somatic.level</w:t>
      </w:r>
      <w:proofErr w:type="gramEnd"/>
      <w:r>
        <w:t>_I+var.var_somatic.level_II%}</w:t>
      </w:r>
    </w:p>
    <w:tbl>
      <w:tblPr>
        <w:tblStyle w:val="ab"/>
        <w:tblW w:w="0" w:type="auto"/>
        <w:jc w:val="center"/>
        <w:tblLayout w:type="fixed"/>
        <w:tblLook w:val="04A0" w:firstRow="1" w:lastRow="0" w:firstColumn="1" w:lastColumn="0" w:noHBand="0" w:noVBand="1"/>
      </w:tblPr>
      <w:tblGrid>
        <w:gridCol w:w="1560"/>
        <w:gridCol w:w="8772"/>
      </w:tblGrid>
      <w:tr w:rsidR="00054423" w14:paraId="00269AD7"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C8BF443"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054423" w14:paraId="0C75E561"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40EDE2E"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96E6DC5"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54423" w14:paraId="168CC222"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1ED604E"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A944E4E"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054423" w14:paraId="30E4102A"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10043E1"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238EB0C"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p>
          <w:p w14:paraId="0C9E232C"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29B8138C"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15D29D0E" w14:textId="77777777" w:rsidR="00054423"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4BDFE898"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7EAE62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398B9B2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BCC7AE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2E9448F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09C0CD8F"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49A8A8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77C1B4AF"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5D3D94A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1E7BFCD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159EC255"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0691F9A5"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2922DC5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96C1F05"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03EED0BF"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7BCADF43"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384CFACB" w14:textId="77777777" w:rsidR="00054423" w:rsidRDefault="00054423">
      <w:pPr>
        <w:rPr>
          <w:rFonts w:ascii="思源黑体 CN Normal" w:eastAsia="思源黑体 CN Normal" w:hAnsi="思源黑体 CN Normal"/>
          <w:sz w:val="16"/>
          <w:szCs w:val="16"/>
        </w:rPr>
      </w:pPr>
    </w:p>
    <w:p w14:paraId="7C3E07EC"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72C2E231"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54423" w14:paraId="0D28471A"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396C5C93"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17F77D30"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D3C5FCC"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0340D84"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54423" w14:paraId="2CA23A6B"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C8A5436"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1CD50D1"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54423" w14:paraId="2B37E2C8"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6A7E233"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19DBBBB"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A03D113" w14:textId="77777777" w:rsidR="00054423" w:rsidRDefault="00054423">
      <w:pPr>
        <w:rPr>
          <w:rFonts w:ascii="思源黑体 CN Normal" w:eastAsia="思源黑体 CN Normal" w:hAnsi="思源黑体 CN Normal"/>
          <w:sz w:val="16"/>
          <w:szCs w:val="16"/>
        </w:rPr>
      </w:pPr>
    </w:p>
    <w:p w14:paraId="1F788525"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6D989B9A" w14:textId="77777777" w:rsidR="00054423" w:rsidRDefault="00000000">
      <w:pPr>
        <w:adjustRightInd w:val="0"/>
        <w:snapToGrid w:val="0"/>
        <w:spacing w:line="24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lastRenderedPageBreak/>
        <w:t>注：</w:t>
      </w:r>
    </w:p>
    <w:p w14:paraId="129667DF" w14:textId="77777777" w:rsidR="00054423"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本部分仅对解读为I类-强临床意义、II类-潜在临床意义的变异进行详细解读。</w:t>
      </w:r>
    </w:p>
    <w:p w14:paraId="2F1B927B" w14:textId="77777777" w:rsidR="00054423" w:rsidRDefault="00054423">
      <w:pPr>
        <w:pStyle w:val="ad"/>
        <w:ind w:left="420" w:firstLineChars="0" w:firstLine="0"/>
        <w:rPr>
          <w:rFonts w:ascii="思源黑体 CN Normal" w:eastAsia="思源黑体 CN Normal" w:hAnsi="思源黑体 CN Normal"/>
          <w:sz w:val="16"/>
          <w:szCs w:val="16"/>
        </w:rPr>
      </w:pPr>
    </w:p>
    <w:p w14:paraId="4FCF4290" w14:textId="77777777" w:rsidR="00054423" w:rsidRDefault="00000000">
      <w:pPr>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.1.2</w:t>
      </w:r>
      <w:r>
        <w:rPr>
          <w:rFonts w:ascii="思源黑体 CN Bold" w:eastAsia="思源黑体 CN Bold" w:hAnsi="思源黑体 CN Bold" w:cstheme="majorBidi" w:hint="eastAsia"/>
          <w:b/>
          <w:bCs/>
          <w:color w:val="1E7648"/>
          <w:sz w:val="24"/>
          <w:szCs w:val="24"/>
        </w:rPr>
        <w:t>可能与肿瘤发生发展相关的体细胞变异详细解读</w:t>
      </w:r>
    </w:p>
    <w:p w14:paraId="5D396BE5" w14:textId="77777777" w:rsidR="00054423" w:rsidRDefault="00000000">
      <w:r>
        <w:t>{%p if var.var_</w:t>
      </w:r>
      <w:proofErr w:type="gramStart"/>
      <w:r>
        <w:t>somatic.level</w:t>
      </w:r>
      <w:proofErr w:type="gramEnd"/>
      <w:r>
        <w:t>_onco_nodrug%}</w:t>
      </w:r>
    </w:p>
    <w:p w14:paraId="7EED2B5F" w14:textId="77777777" w:rsidR="00054423" w:rsidRDefault="00000000">
      <w:r>
        <w:t>{%p for a in var.var_</w:t>
      </w:r>
      <w:proofErr w:type="gramStart"/>
      <w:r>
        <w:t>somatic.level</w:t>
      </w:r>
      <w:proofErr w:type="gramEnd"/>
      <w:r>
        <w:t>_onco_nodrug%}</w:t>
      </w:r>
    </w:p>
    <w:tbl>
      <w:tblPr>
        <w:tblStyle w:val="ab"/>
        <w:tblW w:w="0" w:type="auto"/>
        <w:jc w:val="center"/>
        <w:tblLayout w:type="fixed"/>
        <w:tblLook w:val="04A0" w:firstRow="1" w:lastRow="0" w:firstColumn="1" w:lastColumn="0" w:noHBand="0" w:noVBand="1"/>
      </w:tblPr>
      <w:tblGrid>
        <w:gridCol w:w="1560"/>
        <w:gridCol w:w="8772"/>
      </w:tblGrid>
      <w:tr w:rsidR="00054423" w14:paraId="52B76693"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BA5CD07"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054423" w14:paraId="16F125E0"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0E6F7EE"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7C26032"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54423" w14:paraId="53534A8D"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C46AF55"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EC1291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3D5FD75E" w14:textId="77777777" w:rsidR="00054423" w:rsidRDefault="00054423">
      <w:pPr>
        <w:rPr>
          <w:rFonts w:ascii="思源黑体 CN Normal" w:eastAsia="思源黑体 CN Normal" w:hAnsi="思源黑体 CN Normal"/>
          <w:sz w:val="16"/>
          <w:szCs w:val="16"/>
        </w:rPr>
      </w:pPr>
    </w:p>
    <w:p w14:paraId="20D60A51"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4E567EBF"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54423" w14:paraId="7FC948B7"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7493D80"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4763A94E"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7F77FED"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CF39339"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234E68AC"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562E6A2"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4E36B1C3"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1212585E" w14:textId="77777777" w:rsidR="00054423" w:rsidRDefault="00054423">
      <w:pPr>
        <w:rPr>
          <w:rFonts w:ascii="思源黑体 CN Normal" w:eastAsia="思源黑体 CN Normal" w:hAnsi="思源黑体 CN Normal"/>
          <w:sz w:val="16"/>
          <w:szCs w:val="16"/>
        </w:rPr>
      </w:pPr>
    </w:p>
    <w:p w14:paraId="64D4C55E"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1A4A254" w14:textId="77777777" w:rsidR="00054423"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3F46208" w14:textId="77777777" w:rsidR="00054423" w:rsidRDefault="00000000">
      <w:pPr>
        <w:pStyle w:val="ad"/>
        <w:numPr>
          <w:ilvl w:val="0"/>
          <w:numId w:val="7"/>
        </w:numPr>
        <w:adjustRightInd w:val="0"/>
        <w:snapToGrid w:val="0"/>
        <w:spacing w:line="240" w:lineRule="exact"/>
        <w:ind w:firstLineChars="0"/>
        <w:rPr>
          <w:rFonts w:ascii="思源黑体 CN Normal" w:eastAsia="思源黑体 CN Normal" w:hAnsi="思源黑体 CN Normal"/>
          <w:sz w:val="15"/>
          <w:szCs w:val="15"/>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可能与肿瘤发生发展相关</w:t>
      </w:r>
      <w:r>
        <w:rPr>
          <w:rFonts w:ascii="思源黑体 CN Normal" w:eastAsia="思源黑体 CN Normal" w:hAnsi="思源黑体 CN Normal"/>
          <w:sz w:val="16"/>
          <w:szCs w:val="16"/>
        </w:rPr>
        <w:t>的变异进行详细解读。</w:t>
      </w:r>
    </w:p>
    <w:p w14:paraId="4161ADDD" w14:textId="77777777" w:rsidR="00054423"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br w:type="page"/>
      </w:r>
    </w:p>
    <w:p w14:paraId="5B57D2C5"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2.</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胚系变异详细解读</w:t>
      </w:r>
    </w:p>
    <w:p w14:paraId="533DC773" w14:textId="77777777" w:rsidR="00054423"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.2.1</w:t>
      </w:r>
      <w:r>
        <w:rPr>
          <w:rFonts w:ascii="思源黑体 CN Bold" w:eastAsia="思源黑体 CN Bold" w:hAnsi="思源黑体 CN Bold" w:cstheme="majorBidi" w:hint="eastAsia"/>
          <w:b/>
          <w:bCs/>
          <w:color w:val="1E7648"/>
          <w:sz w:val="24"/>
          <w:szCs w:val="24"/>
        </w:rPr>
        <w:t>致病性、疑似致病性胚系变异详细解读</w:t>
      </w:r>
    </w:p>
    <w:p w14:paraId="04197899" w14:textId="77777777" w:rsidR="00054423" w:rsidRDefault="00000000">
      <w:r>
        <w:t>{%p if var.var_</w:t>
      </w:r>
      <w:proofErr w:type="gramStart"/>
      <w:r>
        <w:t>germline.level</w:t>
      </w:r>
      <w:proofErr w:type="gramEnd"/>
      <w:r>
        <w:t>_5+var.var_germline.level_4</w:t>
      </w:r>
      <w:r>
        <w:rPr>
          <w:rFonts w:hint="eastAsia"/>
        </w:rPr>
        <w:t>+</w:t>
      </w:r>
      <w:r>
        <w:t>var.mlpa.B1_Loss + var.mlpa.B2_Loss%}</w:t>
      </w:r>
    </w:p>
    <w:p w14:paraId="603435AF" w14:textId="77777777" w:rsidR="00054423" w:rsidRDefault="00000000">
      <w:r>
        <w:t>{%p for a in var.var_</w:t>
      </w:r>
      <w:proofErr w:type="gramStart"/>
      <w:r>
        <w:t>germline.level</w:t>
      </w:r>
      <w:proofErr w:type="gramEnd"/>
      <w:r>
        <w:t>_5+var.var_germline.level_4+var.mlpa.B1_Loss+var.mlpa</w:t>
      </w:r>
      <w:r>
        <w:rPr>
          <w:rFonts w:hint="eastAsia"/>
        </w:rPr>
        <w:t>.</w:t>
      </w:r>
      <w:r>
        <w:t>B2_Loss%}</w:t>
      </w:r>
    </w:p>
    <w:tbl>
      <w:tblPr>
        <w:tblStyle w:val="ab"/>
        <w:tblW w:w="0" w:type="auto"/>
        <w:jc w:val="center"/>
        <w:tblLayout w:type="fixed"/>
        <w:tblLook w:val="04A0" w:firstRow="1" w:lastRow="0" w:firstColumn="1" w:lastColumn="0" w:noHBand="0" w:noVBand="1"/>
      </w:tblPr>
      <w:tblGrid>
        <w:gridCol w:w="1560"/>
        <w:gridCol w:w="8772"/>
      </w:tblGrid>
      <w:tr w:rsidR="00054423" w14:paraId="756E03C2"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DFC6BF1"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 xml:space="preserve">{%p if </w:t>
            </w:r>
            <w:proofErr w:type="gramStart"/>
            <w:r>
              <w:rPr>
                <w:rFonts w:ascii="思源黑体 CN Bold" w:eastAsia="思源黑体 CN Bold" w:hAnsi="思源黑体 CN Bold"/>
                <w:color w:val="FFFFFF" w:themeColor="background1"/>
                <w:sz w:val="18"/>
                <w:szCs w:val="18"/>
              </w:rPr>
              <w:t>a.type</w:t>
            </w:r>
            <w:proofErr w:type="gramEnd"/>
            <w:r>
              <w:rPr>
                <w:rFonts w:ascii="思源黑体 CN Bold" w:eastAsia="思源黑体 CN Bold" w:hAnsi="思源黑体 CN Bold"/>
                <w:color w:val="FFFFFF" w:themeColor="background1"/>
                <w:sz w:val="18"/>
                <w:szCs w:val="18"/>
              </w:rPr>
              <w:t>==”Loss”%}</w:t>
            </w:r>
          </w:p>
          <w:p w14:paraId="67C5CF92"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{{a.value}} del</w:t>
            </w:r>
          </w:p>
          <w:p w14:paraId="2AB8F7C5"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15061158"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p w14:paraId="24D4091A"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054423" w14:paraId="71C40779"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8931719"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DE9EA07"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54423" w14:paraId="160C3989"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85FB39B"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A7A0485"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054423" w14:paraId="0A0E3061"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E0800BA"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410D61B" w14:textId="563BF08F"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r w:rsidR="00D427CA">
              <w:rPr>
                <w:rFonts w:ascii="思源黑体 CN Normal" w:eastAsia="思源黑体 CN Normal" w:hAnsi="思源黑体 CN Normal"/>
                <w:sz w:val="17"/>
                <w:szCs w:val="17"/>
              </w:rPr>
              <w:t xml:space="preserve"> </w:t>
            </w:r>
            <w:r w:rsidR="00D427CA" w:rsidRPr="00D427CA">
              <w:rPr>
                <w:rFonts w:ascii="思源黑体 CN Normal" w:eastAsia="思源黑体 CN Normal" w:hAnsi="思源黑体 CN Normal"/>
                <w:sz w:val="17"/>
                <w:szCs w:val="17"/>
              </w:rPr>
              <w:t>and (a.evi_sum.evi_</w:t>
            </w:r>
            <w:proofErr w:type="gramStart"/>
            <w:r w:rsidR="00D427CA" w:rsidRPr="00D427CA">
              <w:rPr>
                <w:rFonts w:ascii="思源黑体 CN Normal" w:eastAsia="思源黑体 CN Normal" w:hAnsi="思源黑体 CN Normal"/>
                <w:sz w:val="17"/>
                <w:szCs w:val="17"/>
              </w:rPr>
              <w:t>split.Predictive</w:t>
            </w:r>
            <w:proofErr w:type="gramEnd"/>
            <w:r w:rsidR="00D427CA" w:rsidRPr="00D427CA">
              <w:rPr>
                <w:rFonts w:ascii="思源黑体 CN Normal" w:eastAsia="思源黑体 CN Normal" w:hAnsi="思源黑体 CN Normal"/>
                <w:sz w:val="17"/>
                <w:szCs w:val="17"/>
              </w:rPr>
              <w:t xml:space="preserve"> or a.evi_sum.evi_split.Prognostic or a.evi_sum.evi_split.Diagnostic)</w:t>
            </w:r>
            <w:r>
              <w:rPr>
                <w:rFonts w:ascii="思源黑体 CN Normal" w:eastAsia="思源黑体 CN Normal" w:hAnsi="思源黑体 CN Normal"/>
                <w:sz w:val="17"/>
                <w:szCs w:val="17"/>
              </w:rPr>
              <w:t>%}</w:t>
            </w:r>
          </w:p>
          <w:p w14:paraId="54F2B16F"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7D8DD12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449EB418" w14:textId="77777777" w:rsidR="00054423"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176FC33B"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35A15EF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AC5DE5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3F05014"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153CF53F"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5E992D87"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3574845D"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5206A1F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380C484"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5DFFEDD8"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3E5454E8"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44A0F2A"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683491A7"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43C493E0"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769DAE7"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62FFCAA6"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054423" w14:paraId="21CD5D50"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D62A632"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C8EA568"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776C4711"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0FEF5189"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B17C01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9306170"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p w14:paraId="2016B292"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w:t>
            </w:r>
            <w:r>
              <w:rPr>
                <w:rFonts w:ascii="思源黑体 CN Normal" w:eastAsia="思源黑体 CN Normal" w:hAnsi="思源黑体 CN Normal" w:hint="eastAsia"/>
                <w:sz w:val="17"/>
                <w:szCs w:val="17"/>
              </w:rPr>
              <w:lastRenderedPageBreak/>
              <w:t>进行基因检测。</w:t>
            </w:r>
          </w:p>
        </w:tc>
      </w:tr>
    </w:tbl>
    <w:p w14:paraId="5E818A78" w14:textId="77777777" w:rsidR="00054423" w:rsidRDefault="00054423">
      <w:pPr>
        <w:rPr>
          <w:rFonts w:ascii="思源黑体 CN Normal" w:eastAsia="思源黑体 CN Normal" w:hAnsi="思源黑体 CN Normal"/>
          <w:sz w:val="16"/>
          <w:szCs w:val="16"/>
        </w:rPr>
      </w:pPr>
    </w:p>
    <w:p w14:paraId="2AAA1794"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5A575784"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54423" w14:paraId="202D2FC2"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3C5391E"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31E7645A"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08DE29F"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E3BA9A1"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5975FF19"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5018DFD"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7B0ECB6"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7B0FDE7B" w14:textId="77777777" w:rsidTr="00054423">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EC83B06"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28D1FF6"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2DCEF3C8"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AD704C8"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5DF2D06"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776B06C3" w14:textId="77777777" w:rsidR="00054423" w:rsidRDefault="00054423">
      <w:pPr>
        <w:rPr>
          <w:rFonts w:ascii="思源黑体 CN Normal" w:eastAsia="思源黑体 CN Normal" w:hAnsi="思源黑体 CN Normal"/>
          <w:sz w:val="16"/>
          <w:szCs w:val="16"/>
        </w:rPr>
      </w:pPr>
    </w:p>
    <w:p w14:paraId="5FEF4F23"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endif%}</w:t>
      </w:r>
    </w:p>
    <w:p w14:paraId="7ABBEBEB" w14:textId="77777777" w:rsidR="00054423"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656A064" w14:textId="77777777" w:rsidR="00054423" w:rsidRDefault="00000000">
      <w:pPr>
        <w:pStyle w:val="ad"/>
        <w:numPr>
          <w:ilvl w:val="0"/>
          <w:numId w:val="8"/>
        </w:numPr>
        <w:adjustRightInd w:val="0"/>
        <w:snapToGrid w:val="0"/>
        <w:spacing w:line="240" w:lineRule="exact"/>
        <w:ind w:firstLineChars="0"/>
        <w:rPr>
          <w:rFonts w:ascii="思源黑体 CN Normal" w:eastAsia="思源黑体 CN Normal" w:hAnsi="思源黑体 CN Normal"/>
          <w:sz w:val="15"/>
          <w:szCs w:val="15"/>
        </w:rPr>
      </w:pPr>
      <w:r>
        <w:rPr>
          <w:rFonts w:ascii="思源黑体 CN Normal" w:eastAsia="思源黑体 CN Normal" w:hAnsi="思源黑体 CN Normal"/>
          <w:sz w:val="16"/>
          <w:szCs w:val="16"/>
        </w:rPr>
        <w:t>本部分仅对解读为致病性、疑似致病性</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变异进行详细解读。</w:t>
      </w:r>
    </w:p>
    <w:p w14:paraId="1453E649" w14:textId="77777777" w:rsidR="00054423" w:rsidRDefault="00054423">
      <w:pPr>
        <w:pStyle w:val="ad"/>
        <w:adjustRightInd w:val="0"/>
        <w:snapToGrid w:val="0"/>
        <w:spacing w:line="240" w:lineRule="exact"/>
        <w:ind w:left="360" w:firstLineChars="0" w:firstLine="0"/>
        <w:rPr>
          <w:rFonts w:ascii="思源黑体 CN Normal" w:eastAsia="思源黑体 CN Normal" w:hAnsi="思源黑体 CN Normal"/>
          <w:sz w:val="16"/>
          <w:szCs w:val="16"/>
        </w:rPr>
      </w:pPr>
    </w:p>
    <w:p w14:paraId="71B63CB5" w14:textId="77777777" w:rsidR="00054423"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stheme="majorBidi" w:hint="eastAsia"/>
          <w:b/>
          <w:bCs/>
          <w:color w:val="1E7648"/>
          <w:sz w:val="24"/>
          <w:szCs w:val="24"/>
        </w:rPr>
        <w:t>2</w:t>
      </w:r>
      <w:r>
        <w:rPr>
          <w:rFonts w:ascii="思源黑体 CN Bold" w:eastAsia="思源黑体 CN Bold" w:hAnsi="思源黑体 CN Bold" w:cstheme="majorBidi"/>
          <w:b/>
          <w:bCs/>
          <w:color w:val="1E7648"/>
          <w:sz w:val="24"/>
          <w:szCs w:val="24"/>
        </w:rPr>
        <w:t>.2.2</w:t>
      </w:r>
      <w:r>
        <w:rPr>
          <w:rFonts w:ascii="思源黑体 CN Bold" w:eastAsia="思源黑体 CN Bold" w:hAnsi="思源黑体 CN Bold" w:cstheme="majorBidi" w:hint="eastAsia"/>
          <w:b/>
          <w:bCs/>
          <w:color w:val="1E7648"/>
          <w:sz w:val="24"/>
          <w:szCs w:val="24"/>
        </w:rPr>
        <w:t>意义不明确胚系变异详细解读</w:t>
      </w:r>
    </w:p>
    <w:p w14:paraId="7743E2D0" w14:textId="77777777" w:rsidR="00054423" w:rsidRDefault="00000000">
      <w:r>
        <w:t xml:space="preserve">{%p if </w:t>
      </w:r>
      <w:proofErr w:type="gramStart"/>
      <w:r>
        <w:t>var.mlpa</w:t>
      </w:r>
      <w:proofErr w:type="gramEnd"/>
      <w:r>
        <w:t xml:space="preserve">.B1_Gain+var.mlpa.B2_Gain </w:t>
      </w:r>
      <w:r>
        <w:rPr>
          <w:rFonts w:hint="eastAsia"/>
        </w:rPr>
        <w:t>+</w:t>
      </w:r>
      <w:r>
        <w:t>var.var_germline.level_3%}</w:t>
      </w:r>
    </w:p>
    <w:p w14:paraId="02613788" w14:textId="77777777" w:rsidR="00054423" w:rsidRDefault="00000000">
      <w:r>
        <w:t xml:space="preserve">{%p for a in </w:t>
      </w:r>
      <w:proofErr w:type="gramStart"/>
      <w:r>
        <w:t>var.mlpa</w:t>
      </w:r>
      <w:proofErr w:type="gramEnd"/>
      <w:r>
        <w:t xml:space="preserve">.B1_Gain+var.mlpa.B2_Gain </w:t>
      </w:r>
      <w:r>
        <w:rPr>
          <w:rFonts w:hint="eastAsia"/>
        </w:rPr>
        <w:t>+</w:t>
      </w:r>
      <w:r>
        <w:t>var.var_germline.level_3%}</w:t>
      </w:r>
    </w:p>
    <w:tbl>
      <w:tblPr>
        <w:tblStyle w:val="ab"/>
        <w:tblW w:w="0" w:type="auto"/>
        <w:jc w:val="center"/>
        <w:tblLayout w:type="fixed"/>
        <w:tblLook w:val="04A0" w:firstRow="1" w:lastRow="0" w:firstColumn="1" w:lastColumn="0" w:noHBand="0" w:noVBand="1"/>
      </w:tblPr>
      <w:tblGrid>
        <w:gridCol w:w="1560"/>
        <w:gridCol w:w="8772"/>
      </w:tblGrid>
      <w:tr w:rsidR="00054423" w14:paraId="4259EC32"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669C1A85"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 xml:space="preserve">{%p if </w:t>
            </w:r>
            <w:proofErr w:type="gramStart"/>
            <w:r>
              <w:rPr>
                <w:rFonts w:ascii="思源黑体 CN Bold" w:eastAsia="思源黑体 CN Bold" w:hAnsi="思源黑体 CN Bold"/>
                <w:color w:val="FFFFFF" w:themeColor="background1"/>
                <w:sz w:val="18"/>
                <w:szCs w:val="18"/>
              </w:rPr>
              <w:t>a.type</w:t>
            </w:r>
            <w:proofErr w:type="gramEnd"/>
            <w:r>
              <w:rPr>
                <w:rFonts w:ascii="思源黑体 CN Bold" w:eastAsia="思源黑体 CN Bold" w:hAnsi="思源黑体 CN Bold"/>
                <w:color w:val="FFFFFF" w:themeColor="background1"/>
                <w:sz w:val="18"/>
                <w:szCs w:val="18"/>
              </w:rPr>
              <w:t>==”Gain”%}</w:t>
            </w:r>
          </w:p>
          <w:p w14:paraId="0DB2506A"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{{a.value}} d</w:t>
            </w:r>
            <w:r>
              <w:rPr>
                <w:rFonts w:ascii="思源黑体 CN Bold" w:eastAsia="思源黑体 CN Bold" w:hAnsi="思源黑体 CN Bold" w:hint="eastAsia"/>
                <w:color w:val="FFFFFF" w:themeColor="background1"/>
                <w:sz w:val="18"/>
                <w:szCs w:val="18"/>
              </w:rPr>
              <w:t>up</w:t>
            </w:r>
          </w:p>
          <w:p w14:paraId="0CC3B2CD"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{%p else%}</w:t>
            </w:r>
          </w:p>
          <w:p w14:paraId="4AAF101B"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p w14:paraId="3909A70A"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%p endif%}</w:t>
            </w:r>
          </w:p>
        </w:tc>
      </w:tr>
      <w:tr w:rsidR="00054423" w14:paraId="24935845"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EC71189"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5F8604F"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054423" w14:paraId="42D99605"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3AE10EE"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7CC4757"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305D073F" w14:textId="77777777" w:rsidR="00054423" w:rsidRDefault="00054423">
      <w:pPr>
        <w:rPr>
          <w:rFonts w:ascii="思源黑体 CN Normal" w:eastAsia="思源黑体 CN Normal" w:hAnsi="思源黑体 CN Normal"/>
          <w:sz w:val="16"/>
          <w:szCs w:val="16"/>
        </w:rPr>
      </w:pPr>
    </w:p>
    <w:p w14:paraId="7BEBD606"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17E91BA"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054423" w14:paraId="6E46B8C8" w14:textId="77777777" w:rsidTr="00054423">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0FA955A1"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1EBB96A3" w14:textId="77777777" w:rsidTr="00054423">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A2BD2CF"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E43164E" w14:textId="77777777" w:rsidR="00054423"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54423" w14:paraId="47D9839D" w14:textId="77777777" w:rsidTr="00054423">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D8EBF10"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844861C" w14:textId="77777777" w:rsidR="00054423"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7E9AF4A6" w14:textId="77777777" w:rsidR="00054423" w:rsidRDefault="00054423">
      <w:pPr>
        <w:rPr>
          <w:rFonts w:ascii="思源黑体 CN Normal" w:eastAsia="思源黑体 CN Normal" w:hAnsi="思源黑体 CN Normal"/>
          <w:sz w:val="16"/>
          <w:szCs w:val="16"/>
        </w:rPr>
      </w:pPr>
    </w:p>
    <w:p w14:paraId="19A8839C"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70CDC286" w14:textId="77777777" w:rsidR="00054423" w:rsidRDefault="00000000">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0AC7A21" w14:textId="77777777" w:rsidR="00054423" w:rsidRDefault="00000000">
      <w:pPr>
        <w:pStyle w:val="ad"/>
        <w:numPr>
          <w:ilvl w:val="0"/>
          <w:numId w:val="9"/>
        </w:numPr>
        <w:adjustRightInd w:val="0"/>
        <w:snapToGrid w:val="0"/>
        <w:spacing w:line="240" w:lineRule="exact"/>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意义不明确的胚系</w:t>
      </w:r>
      <w:r>
        <w:rPr>
          <w:rFonts w:ascii="思源黑体 CN Normal" w:eastAsia="思源黑体 CN Normal" w:hAnsi="思源黑体 CN Normal"/>
          <w:sz w:val="16"/>
          <w:szCs w:val="16"/>
        </w:rPr>
        <w:t>变异进行详细解读。</w:t>
      </w:r>
    </w:p>
    <w:p w14:paraId="13D609C0" w14:textId="77777777" w:rsidR="00054423" w:rsidRDefault="00000000">
      <w:pPr>
        <w:pStyle w:val="ad"/>
        <w:widowControl/>
        <w:numPr>
          <w:ilvl w:val="0"/>
          <w:numId w:val="10"/>
        </w:numPr>
        <w:ind w:firstLineChars="0"/>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054423" w14:paraId="12817A67" w14:textId="77777777" w:rsidTr="00054423">
        <w:tc>
          <w:tcPr>
            <w:tcW w:w="4395" w:type="dxa"/>
          </w:tcPr>
          <w:p w14:paraId="1540C25A"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192E8F04" wp14:editId="2A313E6F">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706CA1A0" w14:textId="77777777" w:rsidR="00054423"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3E34E1B8" wp14:editId="0DC42EEE">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0C417DE3" w14:textId="77777777" w:rsidR="00054423" w:rsidRDefault="00054423">
      <w:pPr>
        <w:rPr>
          <w:rFonts w:ascii="思源黑体 CN Normal" w:eastAsia="思源黑体 CN Normal" w:hAnsi="思源黑体 CN Normal"/>
          <w:sz w:val="16"/>
          <w:szCs w:val="16"/>
        </w:rPr>
      </w:pPr>
    </w:p>
    <w:p w14:paraId="47873758"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2963088E"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54423" w14:paraId="5D3A7DF6" w14:textId="77777777" w:rsidTr="00054423">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574C0467"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1A51D4F0" w14:textId="77777777" w:rsidR="00054423"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062B5C8"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5E49524"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054423" w14:paraId="4FC0230C" w14:textId="77777777" w:rsidTr="00054423">
        <w:trPr>
          <w:trHeight w:val="397"/>
          <w:jc w:val="center"/>
        </w:trPr>
        <w:tc>
          <w:tcPr>
            <w:tcW w:w="1149" w:type="dxa"/>
            <w:vMerge/>
            <w:tcBorders>
              <w:left w:val="nil"/>
              <w:bottom w:val="nil"/>
              <w:right w:val="single" w:sz="8" w:space="0" w:color="FFFFFF" w:themeColor="background1"/>
            </w:tcBorders>
            <w:shd w:val="clear" w:color="auto" w:fill="1E7648"/>
            <w:vAlign w:val="center"/>
          </w:tcPr>
          <w:p w14:paraId="27FF382F"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051B398C" w14:textId="77777777" w:rsidR="00054423"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007B5481"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16658586"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671D626D" w14:textId="77777777" w:rsidTr="00054423">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90D5FA3"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11AAAF6"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054423" w14:paraId="5792EB2F" w14:textId="77777777" w:rsidTr="00054423">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D55DF3D"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26219BB"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5881C411"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054BB5AB"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44850D67"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F600FAB"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_symbol}} {{b.gene_region}} {{b.hgvs_c}}{%if b.hgvs_p!=”p.?”%} {{b.hgvs_p}}{%endif%}</w:t>
            </w:r>
          </w:p>
          <w:p w14:paraId="6345F87F"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E5B1720"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054423" w14:paraId="4EB25FD7" w14:textId="77777777" w:rsidTr="00054423">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A554BA2"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5434C5B" w14:textId="77777777" w:rsidR="00054423"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31D53C57" w14:textId="77777777" w:rsidR="00054423"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5C78A40E" w14:textId="77777777" w:rsidR="00054423"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1B3A8DBF" w14:textId="77777777" w:rsidR="00054423"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305C9801" w14:textId="77777777" w:rsidR="00054423"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B401A01" w14:textId="77777777" w:rsidR="00054423"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153288AF"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C1392C6" w14:textId="77777777" w:rsidR="00054423" w:rsidRDefault="00054423">
      <w:pPr>
        <w:rPr>
          <w:rFonts w:ascii="思源黑体 CN Normal" w:eastAsia="思源黑体 CN Normal" w:hAnsi="思源黑体 CN Normal"/>
          <w:sz w:val="16"/>
          <w:szCs w:val="16"/>
        </w:rPr>
      </w:pPr>
    </w:p>
    <w:p w14:paraId="05F27D57"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42BF2A0D"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054423" w14:paraId="3CBB7C7D" w14:textId="77777777" w:rsidTr="00054423">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3ABD1E72"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0445E092" w14:textId="77777777" w:rsidR="00054423"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7C4FCC3"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2B216F67"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054423" w14:paraId="598FAFAA" w14:textId="77777777" w:rsidTr="00054423">
        <w:trPr>
          <w:trHeight w:val="397"/>
          <w:jc w:val="center"/>
        </w:trPr>
        <w:tc>
          <w:tcPr>
            <w:tcW w:w="1149" w:type="dxa"/>
            <w:vMerge/>
            <w:tcBorders>
              <w:left w:val="nil"/>
              <w:bottom w:val="nil"/>
              <w:right w:val="single" w:sz="8" w:space="0" w:color="FFFFFF" w:themeColor="background1"/>
            </w:tcBorders>
            <w:shd w:val="clear" w:color="auto" w:fill="1E7648"/>
            <w:vAlign w:val="center"/>
          </w:tcPr>
          <w:p w14:paraId="7FA3987B"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421D950E" w14:textId="77777777" w:rsidR="00054423"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03EC02FF"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103B9A00" w14:textId="77777777" w:rsidR="00054423" w:rsidRDefault="00054423">
            <w:pPr>
              <w:pStyle w:val="ad"/>
              <w:ind w:firstLineChars="0" w:firstLine="0"/>
              <w:jc w:val="center"/>
              <w:rPr>
                <w:rFonts w:ascii="思源黑体 CN Bold" w:eastAsia="思源黑体 CN Bold" w:hAnsi="思源黑体 CN Bold"/>
                <w:color w:val="FFFFFF" w:themeColor="background1"/>
                <w:sz w:val="18"/>
                <w:szCs w:val="18"/>
              </w:rPr>
            </w:pPr>
          </w:p>
        </w:tc>
      </w:tr>
      <w:tr w:rsidR="00054423" w14:paraId="2B5B62A3" w14:textId="77777777" w:rsidTr="00054423">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852F967"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236CCCC"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3801B672" w14:textId="77777777" w:rsidTr="00054423">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BE3C75A"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C63B41E"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054423" w14:paraId="20664243" w14:textId="77777777" w:rsidTr="00054423">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4C0FB32" w14:textId="77777777" w:rsidR="00054423"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A718773" w14:textId="77777777" w:rsidR="00054423"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E08C502" w14:textId="77777777" w:rsidR="00054423" w:rsidRDefault="00054423">
      <w:pPr>
        <w:rPr>
          <w:rFonts w:ascii="思源黑体 CN Normal" w:eastAsia="思源黑体 CN Normal" w:hAnsi="思源黑体 CN Normal"/>
          <w:sz w:val="16"/>
          <w:szCs w:val="16"/>
        </w:rPr>
      </w:pPr>
    </w:p>
    <w:p w14:paraId="017A87D7"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4B9F9BA"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DAE3E5E" w14:textId="77777777" w:rsidR="00054423"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054423" w14:paraId="31F5301D" w14:textId="77777777" w:rsidTr="00054423">
        <w:tc>
          <w:tcPr>
            <w:tcW w:w="4111" w:type="dxa"/>
          </w:tcPr>
          <w:p w14:paraId="209B93BC"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3A492732" wp14:editId="23716EA0">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0B7F693E" w14:textId="77777777" w:rsidR="00054423"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51ADB236" wp14:editId="0F9AA367">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2643920B" w14:textId="77777777" w:rsidR="00054423" w:rsidRDefault="00054423">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054423" w14:paraId="451FF5AD" w14:textId="77777777" w:rsidTr="000E2D29">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09466ABE"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6D79BE15"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727E1B45"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6AE918C8"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0B688E18"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054423" w14:paraId="62AD9BB4" w14:textId="77777777" w:rsidTr="00054423">
        <w:trPr>
          <w:trHeight w:val="397"/>
        </w:trPr>
        <w:tc>
          <w:tcPr>
            <w:tcW w:w="10332" w:type="dxa"/>
            <w:gridSpan w:val="5"/>
          </w:tcPr>
          <w:p w14:paraId="7620C835"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054423" w14:paraId="2DFBB354" w14:textId="77777777" w:rsidTr="00054423">
        <w:trPr>
          <w:trHeight w:val="397"/>
        </w:trPr>
        <w:tc>
          <w:tcPr>
            <w:tcW w:w="10332" w:type="dxa"/>
            <w:gridSpan w:val="5"/>
          </w:tcPr>
          <w:p w14:paraId="393B2B5F"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054423" w14:paraId="1AD9857D" w14:textId="77777777" w:rsidTr="00054423">
        <w:trPr>
          <w:trHeight w:val="397"/>
        </w:trPr>
        <w:tc>
          <w:tcPr>
            <w:tcW w:w="1276" w:type="dxa"/>
          </w:tcPr>
          <w:p w14:paraId="2C1B72DC" w14:textId="77777777" w:rsidR="00054423"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1843" w:type="dxa"/>
          </w:tcPr>
          <w:p w14:paraId="3412377E"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39E7A0E2"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0613DC37"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42F3E2DA"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215299DE"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78E596DD" w14:textId="77777777" w:rsidR="00054423"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054423" w14:paraId="070AB797" w14:textId="77777777" w:rsidTr="00054423">
        <w:trPr>
          <w:trHeight w:val="397"/>
        </w:trPr>
        <w:tc>
          <w:tcPr>
            <w:tcW w:w="10332" w:type="dxa"/>
            <w:gridSpan w:val="5"/>
          </w:tcPr>
          <w:p w14:paraId="25E2C0C9" w14:textId="77777777" w:rsidR="00054423"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054423" w14:paraId="2D311578" w14:textId="77777777" w:rsidTr="00054423">
        <w:trPr>
          <w:trHeight w:val="397"/>
        </w:trPr>
        <w:tc>
          <w:tcPr>
            <w:tcW w:w="10332" w:type="dxa"/>
            <w:gridSpan w:val="5"/>
          </w:tcPr>
          <w:p w14:paraId="4131C3CB"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054423" w14:paraId="32136439" w14:textId="77777777" w:rsidTr="00054423">
        <w:trPr>
          <w:trHeight w:val="397"/>
        </w:trPr>
        <w:tc>
          <w:tcPr>
            <w:tcW w:w="1276" w:type="dxa"/>
          </w:tcPr>
          <w:p w14:paraId="4F116473" w14:textId="77777777" w:rsidR="00054423"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69477108"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74C83744"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3FFD131B"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6AD2BFC2" w14:textId="77777777" w:rsidR="00054423"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054423" w14:paraId="59BEC7B5" w14:textId="77777777" w:rsidTr="00054423">
        <w:trPr>
          <w:trHeight w:val="397"/>
        </w:trPr>
        <w:tc>
          <w:tcPr>
            <w:tcW w:w="10332" w:type="dxa"/>
            <w:gridSpan w:val="5"/>
          </w:tcPr>
          <w:p w14:paraId="2CF8A42B"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07004C8A" w14:textId="77777777" w:rsidR="00054423" w:rsidRDefault="00054423">
      <w:pPr>
        <w:rPr>
          <w:rFonts w:ascii="思源黑体 CN Normal" w:eastAsia="思源黑体 CN Normal" w:hAnsi="思源黑体 CN Normal"/>
          <w:sz w:val="16"/>
          <w:szCs w:val="16"/>
        </w:rPr>
      </w:pPr>
    </w:p>
    <w:p w14:paraId="3184FF2F"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63E78A0" w14:textId="77777777" w:rsidR="00054423" w:rsidRDefault="00000000">
      <w:pPr>
        <w:pStyle w:val="ad"/>
        <w:numPr>
          <w:ilvl w:val="0"/>
          <w:numId w:val="1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54423" w14:paraId="3CA2C9CE" w14:textId="77777777" w:rsidTr="00054423">
        <w:tc>
          <w:tcPr>
            <w:tcW w:w="5166" w:type="dxa"/>
          </w:tcPr>
          <w:p w14:paraId="35A68810"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9504" behindDoc="1" locked="0" layoutInCell="1" allowOverlap="1" wp14:anchorId="3A7B5B78" wp14:editId="2970D526">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697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50BEA3E8" w14:textId="77777777" w:rsidR="00054423"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8480" behindDoc="1" locked="0" layoutInCell="1" allowOverlap="1" wp14:anchorId="68ADE260" wp14:editId="71D27954">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800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4C24CB76" w14:textId="77777777" w:rsidR="00054423" w:rsidRDefault="00054423">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361"/>
        <w:gridCol w:w="2182"/>
        <w:gridCol w:w="1701"/>
        <w:gridCol w:w="1701"/>
        <w:gridCol w:w="1558"/>
        <w:gridCol w:w="1829"/>
      </w:tblGrid>
      <w:tr w:rsidR="00054423" w14:paraId="53513A8F" w14:textId="77777777" w:rsidTr="00054423">
        <w:trPr>
          <w:trHeight w:val="397"/>
          <w:jc w:val="center"/>
        </w:trPr>
        <w:tc>
          <w:tcPr>
            <w:tcW w:w="3543" w:type="dxa"/>
            <w:gridSpan w:val="2"/>
            <w:tcBorders>
              <w:top w:val="single" w:sz="4" w:space="0" w:color="1E7648"/>
              <w:left w:val="nil"/>
              <w:bottom w:val="nil"/>
              <w:right w:val="single" w:sz="8" w:space="0" w:color="FFFFFF" w:themeColor="background1"/>
            </w:tcBorders>
            <w:shd w:val="clear" w:color="auto" w:fill="1E7648"/>
            <w:vAlign w:val="center"/>
          </w:tcPr>
          <w:p w14:paraId="3A9E4FB9"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66654E96"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样本数值</w:t>
            </w:r>
          </w:p>
        </w:tc>
        <w:tc>
          <w:tcPr>
            <w:tcW w:w="1701"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784BD49"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样本质</w:t>
            </w:r>
            <w:proofErr w:type="gramStart"/>
            <w:r>
              <w:rPr>
                <w:rFonts w:ascii="思源黑体 CN Bold" w:eastAsia="思源黑体 CN Bold" w:hAnsi="思源黑体 CN Bold" w:hint="eastAsia"/>
                <w:color w:val="FFFFFF" w:themeColor="background1"/>
                <w:sz w:val="18"/>
                <w:szCs w:val="18"/>
              </w:rPr>
              <w:t>控标准</w:t>
            </w:r>
            <w:proofErr w:type="gramEnd"/>
          </w:p>
        </w:tc>
        <w:tc>
          <w:tcPr>
            <w:tcW w:w="1558"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1A5E8FD5"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对照样本数值</w:t>
            </w:r>
          </w:p>
        </w:tc>
        <w:tc>
          <w:tcPr>
            <w:tcW w:w="1829"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8C0B0F3" w14:textId="77777777" w:rsidR="00054423"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对照样本质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054423" w14:paraId="59968491" w14:textId="77777777" w:rsidTr="00054423">
        <w:trPr>
          <w:trHeight w:val="397"/>
          <w:jc w:val="center"/>
        </w:trPr>
        <w:tc>
          <w:tcPr>
            <w:tcW w:w="1361"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6E406972"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381A3107"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5FD7A1B3"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 xml:space="preserve">{%if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_content%}{{sample.tumor_content}}{%else%}{%endif%}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6E6326CB"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6CD4209F"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不适用</w:t>
            </w: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0F45CBD"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不适用</w:t>
            </w:r>
          </w:p>
        </w:tc>
      </w:tr>
      <w:tr w:rsidR="00054423" w14:paraId="766925F1" w14:textId="77777777" w:rsidTr="00054423">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7E689A92"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0DFEC276"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0176E03E"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488566EA"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40CA0849"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qc.total</w:t>
            </w:r>
            <w:proofErr w:type="gramEnd"/>
            <w:r>
              <w:rPr>
                <w:rFonts w:ascii="思源黑体 CN Normal" w:eastAsia="思源黑体 CN Normal" w:hAnsi="思源黑体 CN Normal" w:cs="思源黑体 CN Light"/>
                <w:kern w:val="0"/>
                <w:sz w:val="17"/>
                <w:szCs w:val="17"/>
                <w:lang w:bidi="ar"/>
              </w:rPr>
              <w:t>_amount_of_control_dna%}{{lib_quality_control.lib_dna_qc.total_amount_of_control_dna|replace(“.00”,””)}}{%else%}{%endif%}</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1AC9F54"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20 </w:t>
            </w:r>
            <w:r>
              <w:rPr>
                <w:rFonts w:ascii="思源黑体 CN Normal" w:eastAsia="思源黑体 CN Normal" w:hAnsi="思源黑体 CN Normal" w:hint="eastAsia"/>
                <w:sz w:val="17"/>
                <w:szCs w:val="17"/>
              </w:rPr>
              <w:t>ng</w:t>
            </w:r>
          </w:p>
        </w:tc>
      </w:tr>
      <w:tr w:rsidR="00054423" w14:paraId="1AF372F3" w14:textId="77777777" w:rsidTr="00054423">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3AE172E1" w14:textId="77777777" w:rsidR="00054423" w:rsidRDefault="00054423">
            <w:pPr>
              <w:pStyle w:val="ad"/>
              <w:ind w:firstLineChars="0" w:firstLine="0"/>
              <w:jc w:val="center"/>
              <w:rPr>
                <w:rFonts w:ascii="思源黑体 CN Normal" w:eastAsia="思源黑体 CN Normal" w:hAnsi="思源黑体 CN Normal"/>
                <w:sz w:val="17"/>
                <w:szCs w:val="17"/>
              </w:rPr>
            </w:pPr>
          </w:p>
        </w:tc>
        <w:tc>
          <w:tcPr>
            <w:tcW w:w="2182"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760103F7"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1701"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20021FF5"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_concn%}{{lib_quality_control.lib_dna_qc.library_concn|replace(“.00”,””)}}{%else%}{%endif%}</w:t>
            </w:r>
          </w:p>
        </w:tc>
        <w:tc>
          <w:tcPr>
            <w:tcW w:w="1701" w:type="dxa"/>
            <w:tcBorders>
              <w:top w:val="nil"/>
              <w:left w:val="dashed" w:sz="4" w:space="0" w:color="D9D9D9" w:themeColor="background1" w:themeShade="D9"/>
              <w:bottom w:val="single" w:sz="4" w:space="0" w:color="1E7648"/>
              <w:right w:val="single" w:sz="4" w:space="0" w:color="1E7648"/>
            </w:tcBorders>
            <w:shd w:val="clear" w:color="auto" w:fill="FFFFFF" w:themeFill="background1"/>
            <w:vAlign w:val="center"/>
          </w:tcPr>
          <w:p w14:paraId="0C90ABFC"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c>
          <w:tcPr>
            <w:tcW w:w="1558" w:type="dxa"/>
            <w:tcBorders>
              <w:top w:val="nil"/>
              <w:left w:val="single" w:sz="4" w:space="0" w:color="1E7648"/>
              <w:bottom w:val="single" w:sz="4" w:space="0" w:color="1E7648"/>
              <w:right w:val="dashed" w:sz="4" w:space="0" w:color="D9D9D9" w:themeColor="background1" w:themeShade="D9"/>
            </w:tcBorders>
            <w:shd w:val="clear" w:color="auto" w:fill="FFFFFF" w:themeFill="background1"/>
            <w:vAlign w:val="center"/>
          </w:tcPr>
          <w:p w14:paraId="25229BF2" w14:textId="77777777" w:rsidR="00054423" w:rsidRDefault="00054423">
            <w:pPr>
              <w:pStyle w:val="ad"/>
              <w:ind w:firstLineChars="0" w:firstLine="0"/>
              <w:jc w:val="center"/>
              <w:rPr>
                <w:rFonts w:ascii="思源黑体 CN Normal" w:eastAsia="思源黑体 CN Normal" w:hAnsi="思源黑体 CN Normal"/>
                <w:sz w:val="17"/>
                <w:szCs w:val="17"/>
              </w:rPr>
            </w:pPr>
          </w:p>
        </w:tc>
        <w:tc>
          <w:tcPr>
            <w:tcW w:w="1829"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BC54BA3"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054423" w14:paraId="36AB3F2A" w14:textId="77777777" w:rsidTr="00054423">
        <w:trPr>
          <w:trHeight w:val="397"/>
          <w:jc w:val="center"/>
        </w:trPr>
        <w:tc>
          <w:tcPr>
            <w:tcW w:w="1361"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088D99BD"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2182"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3B4FA9BF"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1701"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A2FE62A"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w:t>
            </w:r>
          </w:p>
        </w:tc>
        <w:tc>
          <w:tcPr>
            <w:tcW w:w="1701" w:type="dxa"/>
            <w:tcBorders>
              <w:top w:val="single" w:sz="4" w:space="0" w:color="1E7648"/>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A9DDB09"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c>
          <w:tcPr>
            <w:tcW w:w="1558" w:type="dxa"/>
            <w:tcBorders>
              <w:top w:val="single" w:sz="4" w:space="0" w:color="1E7648"/>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4E8B2D3"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_data_qc.cleandata_q30}}</w:t>
            </w:r>
          </w:p>
        </w:tc>
        <w:tc>
          <w:tcPr>
            <w:tcW w:w="1829"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E21183A"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054423" w14:paraId="4C12CB5D" w14:textId="77777777" w:rsidTr="00054423">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62A2FCC8" w14:textId="77777777" w:rsidR="00054423" w:rsidRDefault="00054423">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21C86C49"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5</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20EEE804"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qc.mapping</w:t>
            </w:r>
            <w:proofErr w:type="gramEnd"/>
            <w:r>
              <w:rPr>
                <w:rFonts w:ascii="思源黑体 CN Normal" w:eastAsia="思源黑体 CN Normal" w:hAnsi="思源黑体 CN Normal"/>
                <w:sz w:val="17"/>
                <w:szCs w:val="17"/>
              </w:rPr>
              <w:t>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08479D79"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E70F164"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_data_qc.mapping_ratio}}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DE95948"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054423" w14:paraId="2A1DA766" w14:textId="77777777" w:rsidTr="00054423">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08108F12" w14:textId="77777777" w:rsidR="00054423" w:rsidRDefault="00054423">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7E4D68AC"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6</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AB58518"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Pr>
                <w:rFonts w:ascii="思源黑体 CN Normal" w:eastAsia="思源黑体 CN Normal" w:hAnsi="思源黑体 CN Normal"/>
                <w:sz w:val="17"/>
                <w:szCs w:val="17"/>
              </w:rPr>
              <w:lastRenderedPageBreak/>
              <w:t>cover</w:t>
            </w:r>
            <w:proofErr w:type="gramEnd"/>
            <w:r>
              <w:rPr>
                <w:rFonts w:ascii="思源黑体 CN Normal" w:eastAsia="思源黑体 CN Normal" w:hAnsi="思源黑体 CN Normal"/>
                <w:sz w:val="17"/>
                <w:szCs w:val="17"/>
              </w:rPr>
              <w:t>_ratio}}</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20BFD83D"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lastRenderedPageBreak/>
              <w:t>≥</w:t>
            </w:r>
            <w:r>
              <w:rPr>
                <w:rFonts w:ascii="思源黑体 CN Normal" w:eastAsia="思源黑体 CN Normal" w:hAnsi="思源黑体 CN Normal" w:cs="思源黑体 CN Light"/>
                <w:kern w:val="0"/>
                <w:sz w:val="17"/>
                <w:szCs w:val="17"/>
                <w:lang w:bidi="ar"/>
              </w:rPr>
              <w:t>95％</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AD77300"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w:t>
            </w:r>
            <w:r>
              <w:rPr>
                <w:rFonts w:ascii="思源黑体 CN Normal" w:eastAsia="思源黑体 CN Normal" w:hAnsi="思源黑体 CN Normal"/>
                <w:sz w:val="17"/>
                <w:szCs w:val="17"/>
              </w:rPr>
              <w:lastRenderedPageBreak/>
              <w:t>a_qc.cover_ratio}}</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663B4D9"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lastRenderedPageBreak/>
              <w:t>≥</w:t>
            </w:r>
            <w:r>
              <w:rPr>
                <w:rFonts w:ascii="思源黑体 CN Normal" w:eastAsia="思源黑体 CN Normal" w:hAnsi="思源黑体 CN Normal" w:cs="思源黑体 CN Light"/>
                <w:kern w:val="0"/>
                <w:sz w:val="17"/>
                <w:szCs w:val="17"/>
                <w:lang w:bidi="ar"/>
              </w:rPr>
              <w:t>95％</w:t>
            </w:r>
          </w:p>
        </w:tc>
      </w:tr>
      <w:tr w:rsidR="00054423" w14:paraId="252A5982" w14:textId="77777777" w:rsidTr="00054423">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4EABC13B" w14:textId="77777777" w:rsidR="00054423" w:rsidRDefault="00054423">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2E20D1B9"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w:t>
            </w:r>
            <w:proofErr w:type="gramStart"/>
            <w:r>
              <w:rPr>
                <w:rFonts w:ascii="思源黑体 CN Normal" w:eastAsia="思源黑体 CN Normal" w:hAnsi="思源黑体 CN Normal" w:cs="思源黑体 CN Light" w:hint="eastAsia"/>
                <w:kern w:val="0"/>
                <w:sz w:val="17"/>
                <w:szCs w:val="17"/>
                <w:lang w:bidi="ar"/>
              </w:rPr>
              <w:t>一</w:t>
            </w:r>
            <w:proofErr w:type="gramEnd"/>
            <w:r>
              <w:rPr>
                <w:rFonts w:ascii="思源黑体 CN Normal" w:eastAsia="思源黑体 CN Normal" w:hAnsi="思源黑体 CN Normal" w:cs="思源黑体 CN Light" w:hint="eastAsia"/>
                <w:kern w:val="0"/>
                <w:sz w:val="17"/>
                <w:szCs w:val="17"/>
                <w:lang w:bidi="ar"/>
              </w:rPr>
              <w:t>性</w:t>
            </w:r>
            <w:r>
              <w:rPr>
                <w:rFonts w:ascii="思源黑体 CN Normal" w:eastAsia="思源黑体 CN Normal" w:hAnsi="思源黑体 CN Normal" w:cs="思源黑体 CN Light"/>
                <w:kern w:val="0"/>
                <w:sz w:val="17"/>
                <w:szCs w:val="17"/>
                <w:vertAlign w:val="superscript"/>
                <w:lang w:bidi="ar"/>
              </w:rPr>
              <w:t>7</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3C1A5F27"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5AC136CE"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41605C4B"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_data_qc.uni20}}</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8C192D2"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≥90%</w:t>
            </w:r>
          </w:p>
        </w:tc>
      </w:tr>
      <w:tr w:rsidR="00054423" w14:paraId="0F3346F5" w14:textId="77777777" w:rsidTr="00054423">
        <w:trPr>
          <w:trHeight w:val="397"/>
          <w:jc w:val="center"/>
        </w:trPr>
        <w:tc>
          <w:tcPr>
            <w:tcW w:w="1361" w:type="dxa"/>
            <w:vMerge/>
            <w:tcBorders>
              <w:left w:val="nil"/>
              <w:right w:val="dashed" w:sz="4" w:space="0" w:color="D9D9D9" w:themeColor="background1" w:themeShade="D9"/>
            </w:tcBorders>
            <w:shd w:val="clear" w:color="auto" w:fill="FFFFFF" w:themeFill="background1"/>
            <w:vAlign w:val="center"/>
          </w:tcPr>
          <w:p w14:paraId="64B8942F" w14:textId="77777777" w:rsidR="00054423" w:rsidRDefault="00054423">
            <w:pPr>
              <w:pStyle w:val="ad"/>
              <w:ind w:firstLine="34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1819C59D"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1701"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2FBED926"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dashed" w:sz="4" w:space="0" w:color="D9D9D9" w:themeColor="background1" w:themeShade="D9"/>
              <w:right w:val="single" w:sz="4" w:space="0" w:color="1E7648"/>
            </w:tcBorders>
            <w:shd w:val="clear" w:color="auto" w:fill="FFFFFF" w:themeFill="background1"/>
            <w:vAlign w:val="center"/>
          </w:tcPr>
          <w:p w14:paraId="479D5AB9"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≥1500</w:t>
            </w:r>
          </w:p>
        </w:tc>
        <w:tc>
          <w:tcPr>
            <w:tcW w:w="1558" w:type="dxa"/>
            <w:tcBorders>
              <w:top w:val="dashed" w:sz="4" w:space="0" w:color="D9D9D9" w:themeColor="background1" w:themeShade="D9"/>
              <w:left w:val="single" w:sz="4" w:space="0" w:color="1E7648"/>
              <w:bottom w:val="dashed" w:sz="4" w:space="0" w:color="D9D9D9" w:themeColor="background1" w:themeShade="D9"/>
              <w:right w:val="dashed" w:sz="4" w:space="0" w:color="D9D9D9" w:themeColor="background1" w:themeShade="D9"/>
            </w:tcBorders>
            <w:shd w:val="clear" w:color="auto" w:fill="FFFFFF" w:themeFill="background1"/>
            <w:vAlign w:val="center"/>
          </w:tcPr>
          <w:p w14:paraId="7AAE55D4"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_data_qc.depth_mean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829"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D1F9211"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≥200</w:t>
            </w:r>
          </w:p>
        </w:tc>
      </w:tr>
      <w:tr w:rsidR="00054423" w14:paraId="71312F9D" w14:textId="77777777" w:rsidTr="00054423">
        <w:trPr>
          <w:trHeight w:val="397"/>
          <w:jc w:val="center"/>
        </w:trPr>
        <w:tc>
          <w:tcPr>
            <w:tcW w:w="1361" w:type="dxa"/>
            <w:vMerge/>
            <w:tcBorders>
              <w:left w:val="nil"/>
              <w:bottom w:val="single" w:sz="4" w:space="0" w:color="1E7648"/>
              <w:right w:val="dashed" w:sz="4" w:space="0" w:color="D9D9D9" w:themeColor="background1" w:themeShade="D9"/>
            </w:tcBorders>
            <w:shd w:val="clear" w:color="auto" w:fill="FFFFFF" w:themeFill="background1"/>
            <w:vAlign w:val="center"/>
          </w:tcPr>
          <w:p w14:paraId="3D35E1FF" w14:textId="77777777" w:rsidR="00054423" w:rsidRDefault="00054423">
            <w:pPr>
              <w:pStyle w:val="ad"/>
              <w:ind w:firstLineChars="0" w:firstLine="0"/>
              <w:jc w:val="center"/>
              <w:rPr>
                <w:rFonts w:ascii="思源黑体 CN Normal" w:eastAsia="思源黑体 CN Normal" w:hAnsi="思源黑体 CN Normal"/>
                <w:sz w:val="17"/>
                <w:szCs w:val="17"/>
              </w:rPr>
            </w:pPr>
          </w:p>
        </w:tc>
        <w:tc>
          <w:tcPr>
            <w:tcW w:w="2182"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572BC7EE"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9</w:t>
            </w:r>
          </w:p>
        </w:tc>
        <w:tc>
          <w:tcPr>
            <w:tcW w:w="1701"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45A1DC90"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701" w:type="dxa"/>
            <w:tcBorders>
              <w:top w:val="dashed" w:sz="4" w:space="0" w:color="D9D9D9" w:themeColor="background1" w:themeShade="D9"/>
              <w:left w:val="dashed" w:sz="4" w:space="0" w:color="D9D9D9" w:themeColor="background1" w:themeShade="D9"/>
              <w:bottom w:val="single" w:sz="4" w:space="0" w:color="1E7648"/>
              <w:right w:val="single" w:sz="4" w:space="0" w:color="1E7648"/>
            </w:tcBorders>
            <w:shd w:val="clear" w:color="auto" w:fill="FFFFFF" w:themeFill="background1"/>
            <w:vAlign w:val="center"/>
          </w:tcPr>
          <w:p w14:paraId="6D9757C0"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≥300</w:t>
            </w:r>
          </w:p>
        </w:tc>
        <w:tc>
          <w:tcPr>
            <w:tcW w:w="1558" w:type="dxa"/>
            <w:tcBorders>
              <w:top w:val="dashed" w:sz="4" w:space="0" w:color="D9D9D9" w:themeColor="background1" w:themeShade="D9"/>
              <w:left w:val="single" w:sz="4" w:space="0" w:color="1E7648"/>
              <w:bottom w:val="single" w:sz="4" w:space="0" w:color="1E7648"/>
              <w:right w:val="dashed" w:sz="4" w:space="0" w:color="D9D9D9" w:themeColor="background1" w:themeShade="D9"/>
            </w:tcBorders>
            <w:shd w:val="clear" w:color="auto" w:fill="FFFFFF" w:themeFill="background1"/>
            <w:vAlign w:val="center"/>
          </w:tcPr>
          <w:p w14:paraId="620E5FFA" w14:textId="77777777" w:rsidR="00054423"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qc.control</w:t>
            </w:r>
            <w:proofErr w:type="gramEnd"/>
            <w:r>
              <w:rPr>
                <w:rFonts w:ascii="思源黑体 CN Normal" w:eastAsia="思源黑体 CN Normal" w:hAnsi="思源黑体 CN Normal"/>
                <w:sz w:val="17"/>
                <w:szCs w:val="17"/>
              </w:rPr>
              <w:t>_data_qc.depth_ssbc</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1829"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C84E424"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≥10</w:t>
            </w:r>
            <w:r>
              <w:rPr>
                <w:rFonts w:ascii="思源黑体 CN Normal" w:eastAsia="思源黑体 CN Normal" w:hAnsi="思源黑体 CN Normal" w:cs="思源黑体 CN Light"/>
                <w:sz w:val="17"/>
                <w:szCs w:val="17"/>
                <w:lang w:bidi="ar"/>
              </w:rPr>
              <w:t>0</w:t>
            </w:r>
          </w:p>
        </w:tc>
      </w:tr>
      <w:tr w:rsidR="00054423" w14:paraId="3BF0488E" w14:textId="77777777" w:rsidTr="00054423">
        <w:trPr>
          <w:trHeight w:val="397"/>
          <w:jc w:val="center"/>
        </w:trPr>
        <w:tc>
          <w:tcPr>
            <w:tcW w:w="3543" w:type="dxa"/>
            <w:gridSpan w:val="2"/>
            <w:tcBorders>
              <w:top w:val="single" w:sz="4" w:space="0" w:color="1E7648"/>
              <w:left w:val="nil"/>
              <w:bottom w:val="single" w:sz="4" w:space="0" w:color="1E7648"/>
              <w:right w:val="single" w:sz="4" w:space="0" w:color="1E7648"/>
            </w:tcBorders>
            <w:shd w:val="clear" w:color="auto" w:fill="FFFFFF" w:themeFill="background1"/>
            <w:vAlign w:val="center"/>
          </w:tcPr>
          <w:p w14:paraId="06FC8184" w14:textId="77777777" w:rsidR="00054423" w:rsidRDefault="00000000">
            <w:pPr>
              <w:pStyle w:val="ad"/>
              <w:ind w:firstLineChars="0" w:firstLine="0"/>
              <w:jc w:val="center"/>
              <w:rPr>
                <w:rFonts w:ascii="思源黑体 CN Normal" w:eastAsia="思源黑体 CN Normal" w:hAnsi="思源黑体 CN Normal"/>
                <w:sz w:val="17"/>
                <w:szCs w:val="17"/>
              </w:rPr>
            </w:pPr>
            <w:bookmarkStart w:id="10" w:name="_Hlk103153652"/>
            <w:r>
              <w:rPr>
                <w:rFonts w:ascii="思源黑体 CN Normal" w:eastAsia="思源黑体 CN Normal" w:hAnsi="思源黑体 CN Normal" w:cs="思源黑体 CN Normal" w:hint="eastAsia"/>
                <w:b/>
                <w:kern w:val="0"/>
                <w:sz w:val="17"/>
                <w:szCs w:val="17"/>
                <w:lang w:bidi="ar"/>
              </w:rPr>
              <w:t>总体质量</w:t>
            </w:r>
            <w:bookmarkEnd w:id="10"/>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10</w:t>
            </w:r>
          </w:p>
        </w:tc>
        <w:tc>
          <w:tcPr>
            <w:tcW w:w="3402" w:type="dxa"/>
            <w:gridSpan w:val="2"/>
            <w:tcBorders>
              <w:top w:val="single" w:sz="4" w:space="0" w:color="1E7648"/>
              <w:left w:val="single" w:sz="4" w:space="0" w:color="1E7648"/>
              <w:bottom w:val="single" w:sz="4" w:space="0" w:color="1E7648"/>
              <w:right w:val="single" w:sz="4" w:space="0" w:color="1E7648"/>
            </w:tcBorders>
            <w:shd w:val="clear" w:color="auto" w:fill="FFFFFF" w:themeFill="background1"/>
            <w:vAlign w:val="center"/>
          </w:tcPr>
          <w:p w14:paraId="20015296"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qc.dna_data_qc.depth_ssbc_num&gt;=300%}</w:t>
            </w:r>
          </w:p>
          <w:p w14:paraId="6DCA0FB8"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 xml:space="preserve">_content </w:t>
            </w:r>
            <w:r>
              <w:rPr>
                <w:rFonts w:ascii="思源黑体 CN Normal" w:eastAsia="思源黑体 CN Normal" w:hAnsi="思源黑体 CN Normal" w:cs="思源黑体 CN Light" w:hint="eastAsia"/>
                <w:kern w:val="0"/>
                <w:sz w:val="17"/>
                <w:szCs w:val="17"/>
                <w:lang w:bidi="ar"/>
              </w:rPr>
              <w:t>and</w:t>
            </w:r>
            <w:r>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7BC9EDC4"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r>
              <w:rPr>
                <w:rFonts w:ascii="思源黑体 CN Normal" w:eastAsia="思源黑体 CN Normal" w:hAnsi="思源黑体 CN Normal" w:cs="思源黑体 CN Light"/>
                <w:kern w:val="0"/>
                <w:sz w:val="17"/>
                <w:szCs w:val="17"/>
                <w:lang w:bidi="ar"/>
              </w:rPr>
              <w:t>sample.tumor_content</w:t>
            </w:r>
            <w:r>
              <w:rPr>
                <w:rFonts w:ascii="思源黑体 CN Normal" w:eastAsia="思源黑体 CN Normal" w:hAnsi="思源黑体 CN Normal"/>
                <w:sz w:val="17"/>
                <w:szCs w:val="17"/>
              </w:rPr>
              <w:t>|replace(“%”,</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)|float &gt;= 20 and lib_quality_control.lib_dna_qc.dna_qty|float &gt;= 30 and lib_quality_control.lib_dna_qc.library_concn|float &gt;=10%}合格{%else%}风险{%endif%}</w:t>
            </w:r>
          </w:p>
          <w:p w14:paraId="0CB37603"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BC303AA"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637081E6"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E343908"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47CD7FF"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风险</w:t>
            </w:r>
          </w:p>
          <w:p w14:paraId="247747A7"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387" w:type="dxa"/>
            <w:gridSpan w:val="2"/>
            <w:tcBorders>
              <w:top w:val="single" w:sz="4" w:space="0" w:color="1E7648"/>
              <w:left w:val="single" w:sz="4" w:space="0" w:color="1E7648"/>
              <w:bottom w:val="single" w:sz="4" w:space="0" w:color="1E7648"/>
              <w:right w:val="dashed" w:sz="4" w:space="0" w:color="D9D9D9" w:themeColor="background1" w:themeShade="D9"/>
            </w:tcBorders>
            <w:shd w:val="clear" w:color="auto" w:fill="FFFFFF" w:themeFill="background1"/>
            <w:vAlign w:val="center"/>
          </w:tcPr>
          <w:p w14:paraId="0F04885E" w14:textId="77777777" w:rsidR="00054423"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{%if qc.control_data_qc.cleandata_q30_num&gt;=0.75 and qc.control_data_qc.depth_ssbc_num&gt;=100%}合格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r>
              <w:rPr>
                <w:rFonts w:ascii="思源黑体 CN Normal" w:eastAsia="思源黑体 CN Normal" w:hAnsi="思源黑体 CN Normal"/>
                <w:sz w:val="17"/>
                <w:szCs w:val="17"/>
              </w:rPr>
              <w:t>{%else%}风险{%endif%}</w:t>
            </w:r>
          </w:p>
        </w:tc>
      </w:tr>
    </w:tbl>
    <w:p w14:paraId="0C1C313A" w14:textId="77777777" w:rsidR="00054423" w:rsidRDefault="00054423">
      <w:pPr>
        <w:rPr>
          <w:rFonts w:ascii="思源黑体 CN Normal" w:eastAsia="思源黑体 CN Normal" w:hAnsi="思源黑体 CN Normal"/>
          <w:sz w:val="16"/>
          <w:szCs w:val="16"/>
        </w:rPr>
      </w:pPr>
    </w:p>
    <w:p w14:paraId="3099360B" w14:textId="77777777" w:rsidR="00054423"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0BB11C7"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23A5A13D"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24275F81"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15879BA4"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0E6A8E27"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28DC2667"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20BA1067"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1D140C7C"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252FB0B3"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319A9556" w14:textId="77777777" w:rsidR="00054423" w:rsidRDefault="00000000">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125FDF52" w14:textId="77777777" w:rsidR="00054423" w:rsidRDefault="00054423">
      <w:pPr>
        <w:rPr>
          <w:rFonts w:ascii="思源黑体 CN Normal" w:eastAsia="思源黑体 CN Normal" w:hAnsi="思源黑体 CN Normal"/>
          <w:sz w:val="16"/>
          <w:szCs w:val="16"/>
        </w:rPr>
      </w:pPr>
    </w:p>
    <w:p w14:paraId="03070B2C" w14:textId="77777777" w:rsidR="00054423" w:rsidRDefault="00054423">
      <w:pPr>
        <w:rPr>
          <w:rFonts w:ascii="思源黑体 CN Normal" w:eastAsia="思源黑体 CN Normal" w:hAnsi="思源黑体 CN Normal"/>
          <w:sz w:val="16"/>
          <w:szCs w:val="16"/>
        </w:rPr>
      </w:pPr>
    </w:p>
    <w:p w14:paraId="40443F8F" w14:textId="77777777" w:rsidR="00054423" w:rsidRDefault="00054423">
      <w:pPr>
        <w:rPr>
          <w:rFonts w:ascii="思源黑体 CN Normal" w:eastAsia="思源黑体 CN Normal" w:hAnsi="思源黑体 CN Normal"/>
          <w:sz w:val="16"/>
          <w:szCs w:val="16"/>
        </w:rPr>
      </w:pPr>
    </w:p>
    <w:p w14:paraId="1547255C" w14:textId="77777777" w:rsidR="00054423" w:rsidRDefault="00054423">
      <w:pPr>
        <w:rPr>
          <w:rFonts w:ascii="思源黑体 CN Normal" w:eastAsia="思源黑体 CN Normal" w:hAnsi="思源黑体 CN Normal"/>
          <w:sz w:val="16"/>
          <w:szCs w:val="16"/>
        </w:rPr>
      </w:pPr>
    </w:p>
    <w:p w14:paraId="65710965" w14:textId="77777777" w:rsidR="00054423" w:rsidRDefault="00054423">
      <w:pPr>
        <w:rPr>
          <w:rFonts w:ascii="思源黑体 CN Normal" w:eastAsia="思源黑体 CN Normal" w:hAnsi="思源黑体 CN Normal"/>
          <w:sz w:val="16"/>
          <w:szCs w:val="16"/>
        </w:rPr>
      </w:pPr>
    </w:p>
    <w:p w14:paraId="3C8252C4" w14:textId="77777777" w:rsidR="00054423" w:rsidRDefault="00054423">
      <w:pPr>
        <w:rPr>
          <w:rFonts w:ascii="思源黑体 CN Normal" w:eastAsia="思源黑体 CN Normal" w:hAnsi="思源黑体 CN Normal"/>
          <w:sz w:val="16"/>
          <w:szCs w:val="16"/>
        </w:rPr>
      </w:pPr>
    </w:p>
    <w:p w14:paraId="6EADF255" w14:textId="77777777" w:rsidR="00054423" w:rsidRDefault="00054423">
      <w:pPr>
        <w:rPr>
          <w:rFonts w:ascii="思源黑体 CN Normal" w:eastAsia="思源黑体 CN Normal" w:hAnsi="思源黑体 CN Normal"/>
          <w:sz w:val="16"/>
          <w:szCs w:val="16"/>
        </w:rPr>
      </w:pPr>
    </w:p>
    <w:p w14:paraId="22368B82" w14:textId="77777777" w:rsidR="00054423" w:rsidRDefault="00054423">
      <w:pPr>
        <w:rPr>
          <w:rFonts w:ascii="思源黑体 CN Normal" w:eastAsia="思源黑体 CN Normal" w:hAnsi="思源黑体 CN Normal"/>
          <w:sz w:val="16"/>
          <w:szCs w:val="16"/>
        </w:rPr>
      </w:pPr>
    </w:p>
    <w:p w14:paraId="2192D1F8" w14:textId="77777777" w:rsidR="00054423" w:rsidRDefault="00054423">
      <w:pPr>
        <w:rPr>
          <w:rFonts w:ascii="思源黑体 CN Normal" w:eastAsia="思源黑体 CN Normal" w:hAnsi="思源黑体 CN Normal"/>
          <w:sz w:val="16"/>
          <w:szCs w:val="16"/>
        </w:rPr>
      </w:pPr>
    </w:p>
    <w:p w14:paraId="188DE579" w14:textId="77777777" w:rsidR="00054423" w:rsidRDefault="00054423">
      <w:pPr>
        <w:rPr>
          <w:rFonts w:ascii="思源黑体 CN Normal" w:eastAsia="思源黑体 CN Normal" w:hAnsi="思源黑体 CN Normal"/>
          <w:sz w:val="16"/>
          <w:szCs w:val="16"/>
        </w:rPr>
      </w:pPr>
    </w:p>
    <w:p w14:paraId="16A90649" w14:textId="77777777" w:rsidR="00054423" w:rsidRDefault="00054423">
      <w:pPr>
        <w:rPr>
          <w:rFonts w:ascii="思源黑体 CN Normal" w:eastAsia="思源黑体 CN Normal" w:hAnsi="思源黑体 CN Normal"/>
          <w:sz w:val="16"/>
          <w:szCs w:val="16"/>
        </w:rPr>
      </w:pPr>
    </w:p>
    <w:p w14:paraId="6D62E241" w14:textId="77777777" w:rsidR="00054423" w:rsidRDefault="00000000">
      <w:pPr>
        <w:rPr>
          <w:rFonts w:ascii="思源黑体 CN Normal" w:eastAsia="思源黑体 CN Normal" w:hAnsi="思源黑体 CN Normal"/>
          <w:sz w:val="16"/>
          <w:szCs w:val="16"/>
        </w:rPr>
      </w:pPr>
      <w:r>
        <w:rPr>
          <w:rFonts w:cs="思源黑体 CN Normal" w:hint="eastAsia"/>
          <w:b/>
          <w:noProof/>
          <w:color w:val="FFFFFF" w:themeColor="background1"/>
          <w:sz w:val="22"/>
          <w:szCs w:val="21"/>
        </w:rPr>
        <mc:AlternateContent>
          <mc:Choice Requires="wps">
            <w:drawing>
              <wp:inline distT="0" distB="0" distL="0" distR="0" wp14:anchorId="32858068" wp14:editId="469BD70B">
                <wp:extent cx="6602095" cy="422910"/>
                <wp:effectExtent l="0" t="0" r="27305" b="15240"/>
                <wp:docPr id="16"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91990" w14:textId="77777777" w:rsidR="00054423"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32858068" id="圆角矩形 149" o:spid="_x0000_s1026"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" fillcolor="#ecebeb" strokecolor="#ecebeb" strokeweight="1pt">
                <v:stroke joinstyle="miter"/>
                <v:textbox>
                  <w:txbxContent>
                    <w:p w14:paraId="53B91990" w14:textId="77777777" w:rsidR="00054423"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54423" w14:paraId="020A6975" w14:textId="77777777" w:rsidTr="00054423">
        <w:tc>
          <w:tcPr>
            <w:tcW w:w="5166" w:type="dxa"/>
          </w:tcPr>
          <w:p w14:paraId="058EB940"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6395A2DA" wp14:editId="7E956793">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4F657370" w14:textId="77777777" w:rsidR="00054423"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44B35F33" wp14:editId="3057F77A">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47C51D8"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105CA8FC"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本报告仅针对本次送检样本，对肿瘤组织和对照样本提取的DNA进行检测，对与肿瘤诊断、治疗和/或预后密切相关的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进行分析，对具有临床意义或可能与肿瘤发生发展相关的体细胞变异和解读为致病性、疑似致病性、意义不明确的胚系变异检测结果进行详细解读，为临床实体瘤患者的临床诊断治疗提供辅助参考。同时还会对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化疗药物代谢相关酶类多态性位点的检测结果进行分析；也可为受检者</w:t>
      </w:r>
      <w:r>
        <w:rPr>
          <w:rFonts w:ascii="思源黑体 CN Normal" w:eastAsia="思源黑体 CN Normal" w:hAnsi="思源黑体 CN Normal" w:hint="eastAsia"/>
          <w:sz w:val="18"/>
          <w:szCs w:val="18"/>
        </w:rPr>
        <w:t>预测相关疾病风险。</w:t>
      </w:r>
    </w:p>
    <w:p w14:paraId="4DCB8A09"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147B67D8"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5D4B8483"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35277486" w14:textId="77777777" w:rsidR="00054423"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45AE17D7"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42D560CE"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0EEFA68A" w14:textId="77777777" w:rsidR="00054423"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体细胞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054423" w14:paraId="26B93247" w14:textId="77777777" w:rsidTr="00054423">
        <w:trPr>
          <w:trHeight w:val="397"/>
        </w:trPr>
        <w:tc>
          <w:tcPr>
            <w:tcW w:w="1980" w:type="dxa"/>
            <w:shd w:val="clear" w:color="auto" w:fill="1E7648"/>
            <w:vAlign w:val="center"/>
          </w:tcPr>
          <w:p w14:paraId="1AD4BE99" w14:textId="77777777" w:rsidR="00054423"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EA0AB7A" w14:textId="77777777" w:rsidR="00054423"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24DF547E" w14:textId="77777777" w:rsidR="00054423"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054423" w14:paraId="042EA003" w14:textId="77777777" w:rsidTr="00054423">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29CA92BB" w14:textId="77777777" w:rsidR="00054423"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5B6BC79B"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D55D93"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2473A932"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054423" w14:paraId="0C026FCB"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BBD3316"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45D9BF8"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6357626"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054423" w14:paraId="0572EDAB"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4876602"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613B75"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232E473"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054423" w14:paraId="07D1089F"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5145D17"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43F607"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F4226A2"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054423" w14:paraId="4DF659BF" w14:textId="77777777" w:rsidTr="00054423">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9446139"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F52C104"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4C3934A"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054423" w14:paraId="2E5E15C0" w14:textId="77777777" w:rsidTr="00054423">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7EDDC262" w14:textId="77777777" w:rsidR="00054423"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1C772D2E"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30CEFB1"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25412B2"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054423" w14:paraId="0C5E92D9"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A752D7B"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C5EB382"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8194450"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054423" w14:paraId="7A5FD366"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33443E2"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71CFFA8"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E889F9C"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054423" w14:paraId="54792E45"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3DE4F1"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684D92D"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18C7535"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054423" w14:paraId="65EA416F" w14:textId="77777777" w:rsidTr="00054423">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7F0F9DD"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AE633D"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721C75D"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054423" w14:paraId="56F6CA3B" w14:textId="77777777" w:rsidTr="00054423">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6DD1976"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B26B169"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670F86A"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054423" w14:paraId="63609F07" w14:textId="77777777" w:rsidTr="00054423">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4B91D76" w14:textId="77777777" w:rsidR="00054423"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5CAC2483"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3019DF7"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015E78C"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054423" w14:paraId="63725033" w14:textId="77777777" w:rsidTr="00054423">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CC1C017"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FF2ECB9"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5706228"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054423" w14:paraId="5FB86D9E" w14:textId="77777777" w:rsidTr="00054423">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37BB328" w14:textId="77777777" w:rsidR="00054423"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2B94DE53"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921D2FF" w14:textId="77777777" w:rsidR="00054423"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1A846FE" w14:textId="77777777" w:rsidR="00054423"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054423" w14:paraId="3051FCAF" w14:textId="77777777" w:rsidTr="00054423">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1521D3E" w14:textId="77777777" w:rsidR="00054423" w:rsidRDefault="00054423">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6389B02" w14:textId="77777777" w:rsidR="00054423"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49F5A24" w14:textId="77777777" w:rsidR="00054423"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545784BD" w14:textId="77777777" w:rsidR="00054423" w:rsidRDefault="00054423">
      <w:pPr>
        <w:spacing w:line="360" w:lineRule="exact"/>
        <w:ind w:firstLineChars="200" w:firstLine="360"/>
        <w:rPr>
          <w:rFonts w:ascii="思源黑体 CN Normal" w:eastAsia="思源黑体 CN Normal" w:hAnsi="思源黑体 CN Normal"/>
          <w:sz w:val="18"/>
          <w:szCs w:val="18"/>
        </w:rPr>
      </w:pPr>
    </w:p>
    <w:p w14:paraId="3C8C2538" w14:textId="77777777" w:rsidR="00054423"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77CB806" w14:textId="77777777" w:rsidR="00054423"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本产品采用基于Illumina平台的新一代高通量测序技术（NGS）进行检测。本产品可同时检测目标基因的单核苷酸变异（SNV）、小片段插入/缺失变异（InDel）、BRCA</w:t>
      </w:r>
      <w:r>
        <w:rPr>
          <w:rFonts w:ascii="思源黑体 CN Normal" w:eastAsia="思源黑体 CN Normal" w:hAnsi="思源黑体 CN Normal"/>
          <w:sz w:val="18"/>
          <w:szCs w:val="18"/>
        </w:rPr>
        <w:t>1/2基因大片段重排</w:t>
      </w:r>
      <w:r>
        <w:rPr>
          <w:rFonts w:ascii="思源黑体 CN Normal" w:eastAsia="思源黑体 CN Normal" w:hAnsi="思源黑体 CN Normal" w:hint="eastAsia"/>
          <w:sz w:val="18"/>
          <w:szCs w:val="18"/>
        </w:rPr>
        <w:t>。产品的检测性能与样本质量密切相关，样品质控为风险时，存在检测灵敏度降低以及检测结果准确性降低的风险。</w:t>
      </w:r>
    </w:p>
    <w:p w14:paraId="36ACA07D" w14:textId="77777777" w:rsidR="00054423"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17959AE1" w14:textId="77777777" w:rsidR="00054423"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61635771" w14:textId="77777777" w:rsidR="00054423"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3B1E829C" w14:textId="77777777" w:rsidR="00054423" w:rsidRDefault="00000000">
      <w:pPr>
        <w:pStyle w:val="ad"/>
        <w:numPr>
          <w:ilvl w:val="0"/>
          <w:numId w:val="14"/>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p>
    <w:p w14:paraId="1C857E7B" w14:textId="77777777" w:rsidR="00054423" w:rsidRDefault="00054423">
      <w:pPr>
        <w:pStyle w:val="ad"/>
        <w:spacing w:line="380" w:lineRule="exact"/>
        <w:ind w:left="420" w:firstLineChars="0" w:firstLine="0"/>
        <w:rPr>
          <w:rFonts w:ascii="思源黑体 CN Normal" w:eastAsia="思源黑体 CN Normal" w:hAnsi="思源黑体 CN Normal"/>
          <w:sz w:val="18"/>
          <w:szCs w:val="18"/>
        </w:rPr>
      </w:pPr>
    </w:p>
    <w:p w14:paraId="4851E610" w14:textId="77777777" w:rsidR="00054423"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08F3C231"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0A6D8521" w14:textId="77777777" w:rsidR="00054423" w:rsidRDefault="00054423">
      <w:pPr>
        <w:spacing w:line="360" w:lineRule="exact"/>
        <w:ind w:firstLineChars="200" w:firstLine="360"/>
        <w:rPr>
          <w:rFonts w:ascii="思源黑体 CN Normal" w:eastAsia="思源黑体 CN Normal" w:hAnsi="思源黑体 CN Normal"/>
          <w:sz w:val="18"/>
          <w:szCs w:val="18"/>
        </w:rPr>
      </w:pPr>
    </w:p>
    <w:p w14:paraId="269906BA" w14:textId="77777777" w:rsidR="00054423"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57A3C8D6" w14:textId="77777777" w:rsidR="00054423"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415CAD95" w14:textId="77777777" w:rsidR="00054423"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54423" w14:paraId="08883BE0" w14:textId="77777777" w:rsidTr="00054423">
        <w:tc>
          <w:tcPr>
            <w:tcW w:w="5166" w:type="dxa"/>
          </w:tcPr>
          <w:p w14:paraId="1B7BFFED"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7696" behindDoc="1" locked="0" layoutInCell="1" allowOverlap="1" wp14:anchorId="39BDD5E4" wp14:editId="42C36C1C">
                      <wp:simplePos x="0" y="0"/>
                      <wp:positionH relativeFrom="column">
                        <wp:posOffset>2750820</wp:posOffset>
                      </wp:positionH>
                      <wp:positionV relativeFrom="paragraph">
                        <wp:posOffset>41275</wp:posOffset>
                      </wp:positionV>
                      <wp:extent cx="313055" cy="319405"/>
                      <wp:effectExtent l="38100" t="38100" r="68580" b="99695"/>
                      <wp:wrapNone/>
                      <wp:docPr id="8" name="流程图: 接点 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8" o:spid="_x0000_s1026" o:spt="120" type="#_x0000_t120" style="position:absolute;left:0pt;margin-left:216.6pt;margin-top:3.25pt;height:25.15pt;width:24.65pt;z-index:-25163878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OPKom1wAAAAgBAAAPAAAAAAAAAAEAIAAAACIAAABkcnMvZG93bnJldi54bWxQSwEC&#10;FAAUAAAACACHTuJA/bnFTtkCAACZBQAADgAAAAAAAAABACAAAAAm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7F15F5EB" w14:textId="77777777" w:rsidR="00054423"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2576" behindDoc="1" locked="0" layoutInCell="1" allowOverlap="1" wp14:anchorId="5E1757AB" wp14:editId="408B31BC">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390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D6DAB75" w14:textId="77777777" w:rsidR="00054423" w:rsidRDefault="00054423">
      <w:pPr>
        <w:rPr>
          <w:rFonts w:ascii="思源黑体 CN Normal" w:eastAsia="思源黑体 CN Normal" w:hAnsi="思源黑体 CN Normal"/>
          <w:sz w:val="16"/>
          <w:szCs w:val="16"/>
        </w:rPr>
      </w:pPr>
    </w:p>
    <w:p w14:paraId="2357925B" w14:textId="77777777" w:rsidR="00054423"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7196616E" w14:textId="77777777" w:rsidR="00054423"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w:t>
      </w:r>
      <w:proofErr w:type="gramStart"/>
      <w:r>
        <w:rPr>
          <w:rFonts w:ascii="思源黑体 CN Normal" w:eastAsia="思源黑体 CN Normal" w:hAnsi="思源黑体 CN Normal"/>
          <w:sz w:val="16"/>
          <w:szCs w:val="16"/>
        </w:rPr>
        <w:t>refer.fixed</w:t>
      </w:r>
      <w:proofErr w:type="gramEnd"/>
      <w:r>
        <w:rPr>
          <w:rFonts w:ascii="思源黑体 CN Normal" w:eastAsia="思源黑体 CN Normal" w:hAnsi="思源黑体 CN Normal"/>
          <w:sz w:val="16"/>
          <w:szCs w:val="16"/>
        </w:rPr>
        <w:t xml:space="preserve"> + refer.dynamic.g_var45 + refer.dynamic.g_var3+</w:t>
      </w:r>
      <w:r>
        <w:t xml:space="preserve">  </w:t>
      </w:r>
      <w:r>
        <w:rPr>
          <w:rFonts w:ascii="思源黑体 CN Normal" w:eastAsia="思源黑体 CN Normal" w:hAnsi="思源黑体 CN Normal"/>
          <w:sz w:val="16"/>
          <w:szCs w:val="16"/>
        </w:rPr>
        <w:t>refer.dynamic.s_var12 + refer.dynamic.s_var_onco_nodrug)|unique%}</w:t>
      </w:r>
    </w:p>
    <w:p w14:paraId="3124B7E4" w14:textId="77777777" w:rsidR="00054423"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68AF7447" w14:textId="77777777" w:rsidR="00054423" w:rsidRDefault="00000000">
      <w:pPr>
        <w:pStyle w:val="ad"/>
        <w:numPr>
          <w:ilvl w:val="0"/>
          <w:numId w:val="1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E0CA874" w14:textId="77777777" w:rsidR="00054423"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054423" w14:paraId="17597638" w14:textId="77777777" w:rsidTr="00054423">
        <w:tc>
          <w:tcPr>
            <w:tcW w:w="5166" w:type="dxa"/>
          </w:tcPr>
          <w:p w14:paraId="36A729C1" w14:textId="77777777" w:rsidR="00054423" w:rsidRDefault="00000000">
            <w:pPr>
              <w:wordWrap w:val="0"/>
              <w:jc w:val="right"/>
              <w:rPr>
                <w:rFonts w:ascii="思源黑体 CN Bold" w:eastAsia="思源黑体 CN Bold" w:hAnsi="思源黑体 CN Bold"/>
                <w:sz w:val="28"/>
                <w:szCs w:val="28"/>
              </w:rPr>
            </w:pPr>
            <w:r>
              <w:rPr>
                <w:rFonts w:ascii="微软雅黑" w:eastAsia="微软雅黑" w:hAnsi="微软雅黑"/>
                <w:noProof/>
                <w:color w:val="FFFFFF" w:themeColor="background1"/>
                <w:sz w:val="30"/>
                <w:szCs w:val="30"/>
              </w:rPr>
              <w:lastRenderedPageBreak/>
              <mc:AlternateContent>
                <mc:Choice Requires="wps">
                  <w:drawing>
                    <wp:anchor distT="0" distB="0" distL="114300" distR="114300" simplePos="0" relativeHeight="251678720" behindDoc="1" locked="0" layoutInCell="1" allowOverlap="1" wp14:anchorId="36FFC161" wp14:editId="0CAA760A">
                      <wp:simplePos x="0" y="0"/>
                      <wp:positionH relativeFrom="column">
                        <wp:posOffset>2838450</wp:posOffset>
                      </wp:positionH>
                      <wp:positionV relativeFrom="paragraph">
                        <wp:posOffset>38100</wp:posOffset>
                      </wp:positionV>
                      <wp:extent cx="313055" cy="319405"/>
                      <wp:effectExtent l="38100" t="38100" r="68580" b="99695"/>
                      <wp:wrapNone/>
                      <wp:docPr id="18" name="流程图: 接点 1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8" o:spid="_x0000_s1026" o:spt="120" type="#_x0000_t120" style="position:absolute;left:0pt;margin-left:223.5pt;margin-top:3pt;height:25.15pt;width:24.65pt;z-index:-251637760;v-text-anchor:middle;mso-width-relative:page;mso-height-relative:page;" fillcolor="#1E7648" filled="t" stroked="f" coordsize="21600,21600" o:gfxdata="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vgnMC1gAAAAgBAAAPAAAAAAAAAAEAIAAAACIAAABkcnMvZG93bnJldi54bWxQSwEC&#10;FAAUAAAACACHTuJAr07oSNoCAACbBQAADgAAAAAAAAABACAAAAAl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45F9B31F" w14:textId="77777777" w:rsidR="00054423"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027F2245" wp14:editId="6252733A">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E190088" w14:textId="77777777" w:rsidR="00054423"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054423" w14:paraId="2901075C" w14:textId="77777777" w:rsidTr="00054423">
        <w:trPr>
          <w:trHeight w:val="609"/>
          <w:jc w:val="center"/>
        </w:trPr>
        <w:tc>
          <w:tcPr>
            <w:tcW w:w="2168" w:type="dxa"/>
            <w:tcBorders>
              <w:right w:val="single" w:sz="4" w:space="0" w:color="FFFFFF" w:themeColor="background1"/>
            </w:tcBorders>
            <w:shd w:val="clear" w:color="auto" w:fill="1E7648"/>
            <w:vAlign w:val="center"/>
          </w:tcPr>
          <w:p w14:paraId="00365879" w14:textId="77777777" w:rsidR="00054423"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3FECBF1F" w14:textId="77777777" w:rsidR="00054423"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786CE5B2" w14:textId="77777777" w:rsidR="00054423"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04B4D94D" w14:textId="77777777" w:rsidR="00054423"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054423" w14:paraId="7EF1CF50" w14:textId="77777777" w:rsidTr="00054423">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27842A97"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462B85A"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2A4711D7" w14:textId="77777777" w:rsidR="00054423"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w:t>
            </w:r>
            <w:proofErr w:type="gramStart"/>
            <w:r>
              <w:rPr>
                <w:rFonts w:ascii="思源黑体 CN Normal" w:eastAsia="思源黑体 CN Normal" w:hAnsi="思源黑体 CN Normal"/>
                <w:iCs/>
                <w:sz w:val="17"/>
                <w:szCs w:val="17"/>
              </w:rPr>
              <w:t>连接区</w:t>
            </w:r>
            <w:proofErr w:type="gramEnd"/>
          </w:p>
        </w:tc>
        <w:tc>
          <w:tcPr>
            <w:tcW w:w="2464" w:type="dxa"/>
            <w:vMerge w:val="restart"/>
            <w:tcBorders>
              <w:left w:val="dashed" w:sz="4" w:space="0" w:color="BFBFBF" w:themeColor="background1" w:themeShade="BF"/>
            </w:tcBorders>
            <w:shd w:val="clear" w:color="auto" w:fill="auto"/>
            <w:vAlign w:val="center"/>
          </w:tcPr>
          <w:p w14:paraId="038420FA" w14:textId="77777777" w:rsidR="00054423"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054423" w14:paraId="357BE04D"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AB2E9E"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28354B"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0916C8A" w14:textId="77777777" w:rsidR="00054423" w:rsidRDefault="00054423">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5FDD25C" w14:textId="77777777" w:rsidR="00054423" w:rsidRDefault="00054423">
            <w:pPr>
              <w:widowControl/>
              <w:jc w:val="center"/>
              <w:rPr>
                <w:rFonts w:ascii="思源黑体 CN Normal" w:eastAsia="思源黑体 CN Normal" w:hAnsi="思源黑体 CN Normal"/>
                <w:iCs/>
                <w:sz w:val="17"/>
                <w:szCs w:val="17"/>
              </w:rPr>
            </w:pPr>
          </w:p>
        </w:tc>
      </w:tr>
      <w:tr w:rsidR="00054423" w14:paraId="3CC29938"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C58AB62"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B3BE66"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A9C02D5"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E256C90" w14:textId="77777777" w:rsidR="00054423" w:rsidRDefault="00054423">
            <w:pPr>
              <w:widowControl/>
              <w:jc w:val="center"/>
              <w:rPr>
                <w:rFonts w:ascii="思源黑体 CN Normal" w:eastAsia="思源黑体 CN Normal" w:hAnsi="思源黑体 CN Normal"/>
                <w:iCs/>
                <w:sz w:val="17"/>
                <w:szCs w:val="17"/>
              </w:rPr>
            </w:pPr>
          </w:p>
        </w:tc>
      </w:tr>
      <w:tr w:rsidR="00054423" w14:paraId="35C30E41"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7CC912"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3A7535"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3AF3889"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418C825" w14:textId="77777777" w:rsidR="00054423" w:rsidRDefault="00054423">
            <w:pPr>
              <w:widowControl/>
              <w:jc w:val="center"/>
              <w:rPr>
                <w:rFonts w:ascii="思源黑体 CN Normal" w:eastAsia="思源黑体 CN Normal" w:hAnsi="思源黑体 CN Normal"/>
                <w:iCs/>
                <w:sz w:val="17"/>
                <w:szCs w:val="17"/>
              </w:rPr>
            </w:pPr>
          </w:p>
        </w:tc>
      </w:tr>
      <w:tr w:rsidR="00054423" w14:paraId="5CD46650"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06B326" w14:textId="77777777" w:rsidR="00054423"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71382FB"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294D0A4"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2150E59" w14:textId="77777777" w:rsidR="00054423" w:rsidRDefault="00054423">
            <w:pPr>
              <w:widowControl/>
              <w:jc w:val="center"/>
              <w:rPr>
                <w:rFonts w:ascii="思源黑体 CN Normal" w:eastAsia="思源黑体 CN Normal" w:hAnsi="思源黑体 CN Normal"/>
                <w:iCs/>
                <w:sz w:val="17"/>
                <w:szCs w:val="17"/>
              </w:rPr>
            </w:pPr>
          </w:p>
        </w:tc>
      </w:tr>
      <w:tr w:rsidR="00054423" w14:paraId="62B23A79"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B66002D" w14:textId="77777777" w:rsidR="00054423"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3219483"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A4B6172"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8E635FE" w14:textId="77777777" w:rsidR="00054423" w:rsidRDefault="00054423">
            <w:pPr>
              <w:widowControl/>
              <w:jc w:val="center"/>
              <w:rPr>
                <w:rFonts w:ascii="思源黑体 CN Normal" w:eastAsia="思源黑体 CN Normal" w:hAnsi="思源黑体 CN Normal"/>
                <w:iCs/>
                <w:sz w:val="17"/>
                <w:szCs w:val="17"/>
              </w:rPr>
            </w:pPr>
          </w:p>
        </w:tc>
      </w:tr>
      <w:tr w:rsidR="00054423" w14:paraId="3890BEAC"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7A0EB1"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7929B3A"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E59F4BB"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C0EA304" w14:textId="77777777" w:rsidR="00054423" w:rsidRDefault="00054423">
            <w:pPr>
              <w:widowControl/>
              <w:jc w:val="center"/>
              <w:rPr>
                <w:rFonts w:ascii="思源黑体 CN Normal" w:eastAsia="思源黑体 CN Normal" w:hAnsi="思源黑体 CN Normal"/>
                <w:iCs/>
                <w:sz w:val="17"/>
                <w:szCs w:val="17"/>
              </w:rPr>
            </w:pPr>
          </w:p>
        </w:tc>
      </w:tr>
      <w:tr w:rsidR="00054423" w14:paraId="2EF9C6FE"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3EFADBE"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CE92305"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6F15E37"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4B8574D" w14:textId="77777777" w:rsidR="00054423" w:rsidRDefault="00054423">
            <w:pPr>
              <w:widowControl/>
              <w:jc w:val="center"/>
              <w:rPr>
                <w:rFonts w:ascii="思源黑体 CN Normal" w:eastAsia="思源黑体 CN Normal" w:hAnsi="思源黑体 CN Normal"/>
                <w:iCs/>
                <w:sz w:val="17"/>
                <w:szCs w:val="17"/>
              </w:rPr>
            </w:pPr>
          </w:p>
        </w:tc>
      </w:tr>
      <w:tr w:rsidR="00054423" w14:paraId="41B4E645"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53C395"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8305A5"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C7C4E9A"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07E0449D" w14:textId="77777777" w:rsidR="00054423" w:rsidRDefault="00054423">
            <w:pPr>
              <w:widowControl/>
              <w:jc w:val="center"/>
              <w:rPr>
                <w:rFonts w:ascii="思源黑体 CN Normal" w:eastAsia="思源黑体 CN Normal" w:hAnsi="思源黑体 CN Normal"/>
                <w:iCs/>
                <w:sz w:val="17"/>
                <w:szCs w:val="17"/>
              </w:rPr>
            </w:pPr>
          </w:p>
        </w:tc>
      </w:tr>
      <w:tr w:rsidR="00054423" w14:paraId="551E3893"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F2B77D"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7608C2"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83AC5DB"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1C53210" w14:textId="77777777" w:rsidR="00054423" w:rsidRDefault="00054423">
            <w:pPr>
              <w:widowControl/>
              <w:jc w:val="center"/>
              <w:rPr>
                <w:rFonts w:ascii="思源黑体 CN Normal" w:eastAsia="思源黑体 CN Normal" w:hAnsi="思源黑体 CN Normal"/>
                <w:iCs/>
                <w:sz w:val="17"/>
                <w:szCs w:val="17"/>
              </w:rPr>
            </w:pPr>
          </w:p>
        </w:tc>
      </w:tr>
      <w:tr w:rsidR="00054423" w14:paraId="78F738E3" w14:textId="77777777" w:rsidTr="00054423">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6D320D"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F25DD9D"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AB38F0D"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583B659" w14:textId="77777777" w:rsidR="00054423" w:rsidRDefault="00054423">
            <w:pPr>
              <w:widowControl/>
              <w:jc w:val="center"/>
              <w:rPr>
                <w:rFonts w:ascii="思源黑体 CN Normal" w:eastAsia="思源黑体 CN Normal" w:hAnsi="思源黑体 CN Normal"/>
                <w:iCs/>
                <w:sz w:val="17"/>
                <w:szCs w:val="17"/>
              </w:rPr>
            </w:pPr>
          </w:p>
        </w:tc>
      </w:tr>
      <w:tr w:rsidR="00054423" w14:paraId="7AC60AB6"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4E6463"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6DF09F"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DB4E89E"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04CBB9B" w14:textId="77777777" w:rsidR="00054423" w:rsidRDefault="00054423">
            <w:pPr>
              <w:widowControl/>
              <w:jc w:val="center"/>
              <w:rPr>
                <w:rFonts w:ascii="思源黑体 CN Normal" w:eastAsia="思源黑体 CN Normal" w:hAnsi="思源黑体 CN Normal"/>
                <w:iCs/>
                <w:sz w:val="17"/>
                <w:szCs w:val="17"/>
              </w:rPr>
            </w:pPr>
          </w:p>
        </w:tc>
      </w:tr>
      <w:tr w:rsidR="00054423" w14:paraId="4E757CF0"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A95ED6B"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C1DABF"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BF17FB2"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ABC8CE2" w14:textId="77777777" w:rsidR="00054423" w:rsidRDefault="00054423">
            <w:pPr>
              <w:widowControl/>
              <w:jc w:val="center"/>
              <w:rPr>
                <w:rFonts w:ascii="思源黑体 CN Normal" w:eastAsia="思源黑体 CN Normal" w:hAnsi="思源黑体 CN Normal"/>
                <w:iCs/>
                <w:sz w:val="17"/>
                <w:szCs w:val="17"/>
              </w:rPr>
            </w:pPr>
          </w:p>
        </w:tc>
      </w:tr>
      <w:tr w:rsidR="00054423" w14:paraId="4506AAD8"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C46DDEE"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BCA5AA"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12C3910"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895C72C" w14:textId="77777777" w:rsidR="00054423" w:rsidRDefault="00054423">
            <w:pPr>
              <w:widowControl/>
              <w:jc w:val="center"/>
              <w:rPr>
                <w:rFonts w:ascii="思源黑体 CN Normal" w:eastAsia="思源黑体 CN Normal" w:hAnsi="思源黑体 CN Normal"/>
                <w:iCs/>
                <w:sz w:val="17"/>
                <w:szCs w:val="17"/>
              </w:rPr>
            </w:pPr>
          </w:p>
        </w:tc>
      </w:tr>
      <w:tr w:rsidR="00054423" w14:paraId="7999F9D6"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BD4E6DE"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A98BE5"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068A158"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9025594" w14:textId="77777777" w:rsidR="00054423" w:rsidRDefault="00054423">
            <w:pPr>
              <w:widowControl/>
              <w:jc w:val="center"/>
              <w:rPr>
                <w:rFonts w:ascii="思源黑体 CN Normal" w:eastAsia="思源黑体 CN Normal" w:hAnsi="思源黑体 CN Normal"/>
                <w:iCs/>
                <w:sz w:val="17"/>
                <w:szCs w:val="17"/>
              </w:rPr>
            </w:pPr>
          </w:p>
        </w:tc>
      </w:tr>
      <w:tr w:rsidR="00054423" w14:paraId="7085C3D4"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31284A0"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876A799"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B085846"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A2F380B" w14:textId="77777777" w:rsidR="00054423" w:rsidRDefault="00054423">
            <w:pPr>
              <w:widowControl/>
              <w:jc w:val="center"/>
              <w:rPr>
                <w:rFonts w:ascii="思源黑体 CN Normal" w:eastAsia="思源黑体 CN Normal" w:hAnsi="思源黑体 CN Normal"/>
                <w:iCs/>
                <w:sz w:val="17"/>
                <w:szCs w:val="17"/>
              </w:rPr>
            </w:pPr>
          </w:p>
        </w:tc>
      </w:tr>
      <w:tr w:rsidR="00054423" w14:paraId="5DDE764E"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6B680F1"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7D912B"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636DC84"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1B668C7" w14:textId="77777777" w:rsidR="00054423" w:rsidRDefault="00054423">
            <w:pPr>
              <w:widowControl/>
              <w:jc w:val="center"/>
              <w:rPr>
                <w:rFonts w:ascii="思源黑体 CN Normal" w:eastAsia="思源黑体 CN Normal" w:hAnsi="思源黑体 CN Normal"/>
                <w:iCs/>
                <w:sz w:val="17"/>
                <w:szCs w:val="17"/>
              </w:rPr>
            </w:pPr>
          </w:p>
        </w:tc>
      </w:tr>
      <w:tr w:rsidR="00054423" w14:paraId="664804C4"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A6D6A46"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92D467"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5EB2625"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9233228" w14:textId="77777777" w:rsidR="00054423" w:rsidRDefault="00054423">
            <w:pPr>
              <w:widowControl/>
              <w:jc w:val="center"/>
              <w:rPr>
                <w:rFonts w:ascii="思源黑体 CN Normal" w:eastAsia="思源黑体 CN Normal" w:hAnsi="思源黑体 CN Normal"/>
                <w:iCs/>
                <w:sz w:val="17"/>
                <w:szCs w:val="17"/>
              </w:rPr>
            </w:pPr>
          </w:p>
        </w:tc>
      </w:tr>
      <w:tr w:rsidR="00054423" w14:paraId="2664B1DA"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3EBC40B"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6CCC8F7"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9468604"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19042EF" w14:textId="77777777" w:rsidR="00054423" w:rsidRDefault="00054423">
            <w:pPr>
              <w:widowControl/>
              <w:jc w:val="center"/>
              <w:rPr>
                <w:rFonts w:ascii="思源黑体 CN Normal" w:eastAsia="思源黑体 CN Normal" w:hAnsi="思源黑体 CN Normal"/>
                <w:iCs/>
                <w:sz w:val="17"/>
                <w:szCs w:val="17"/>
              </w:rPr>
            </w:pPr>
          </w:p>
        </w:tc>
      </w:tr>
      <w:tr w:rsidR="00054423" w14:paraId="2F5A6663"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07C8AC"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AA251B"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B5E669C"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F934211" w14:textId="77777777" w:rsidR="00054423" w:rsidRDefault="00054423">
            <w:pPr>
              <w:widowControl/>
              <w:jc w:val="center"/>
              <w:rPr>
                <w:rFonts w:ascii="思源黑体 CN Normal" w:eastAsia="思源黑体 CN Normal" w:hAnsi="思源黑体 CN Normal"/>
                <w:iCs/>
                <w:sz w:val="17"/>
                <w:szCs w:val="17"/>
              </w:rPr>
            </w:pPr>
          </w:p>
        </w:tc>
      </w:tr>
      <w:tr w:rsidR="00054423" w14:paraId="6335FFC1"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A16A022"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0A0CB9"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996DCEA"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BA5D054" w14:textId="77777777" w:rsidR="00054423" w:rsidRDefault="00054423">
            <w:pPr>
              <w:widowControl/>
              <w:jc w:val="center"/>
              <w:rPr>
                <w:rFonts w:ascii="思源黑体 CN Normal" w:eastAsia="思源黑体 CN Normal" w:hAnsi="思源黑体 CN Normal"/>
                <w:iCs/>
                <w:sz w:val="17"/>
                <w:szCs w:val="17"/>
              </w:rPr>
            </w:pPr>
          </w:p>
        </w:tc>
      </w:tr>
      <w:tr w:rsidR="00054423" w14:paraId="74450612"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A175C4"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2FB433"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B20D3C1"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5687B09" w14:textId="77777777" w:rsidR="00054423" w:rsidRDefault="00054423">
            <w:pPr>
              <w:widowControl/>
              <w:jc w:val="center"/>
              <w:rPr>
                <w:rFonts w:ascii="思源黑体 CN Normal" w:eastAsia="思源黑体 CN Normal" w:hAnsi="思源黑体 CN Normal"/>
                <w:iCs/>
                <w:sz w:val="17"/>
                <w:szCs w:val="17"/>
              </w:rPr>
            </w:pPr>
          </w:p>
        </w:tc>
      </w:tr>
      <w:tr w:rsidR="00054423" w14:paraId="2891AC2B"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06DFC5"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C34C86"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85BA737"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F2AD09A" w14:textId="77777777" w:rsidR="00054423" w:rsidRDefault="00054423">
            <w:pPr>
              <w:widowControl/>
              <w:jc w:val="center"/>
              <w:rPr>
                <w:rFonts w:ascii="思源黑体 CN Normal" w:eastAsia="思源黑体 CN Normal" w:hAnsi="思源黑体 CN Normal"/>
                <w:iCs/>
                <w:sz w:val="17"/>
                <w:szCs w:val="17"/>
              </w:rPr>
            </w:pPr>
          </w:p>
        </w:tc>
      </w:tr>
      <w:tr w:rsidR="00054423" w14:paraId="451D4DB1"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786A9C9"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2C7EC2"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A0779F8"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BDF005A" w14:textId="77777777" w:rsidR="00054423" w:rsidRDefault="00054423">
            <w:pPr>
              <w:widowControl/>
              <w:jc w:val="center"/>
              <w:rPr>
                <w:rFonts w:ascii="思源黑体 CN Normal" w:eastAsia="思源黑体 CN Normal" w:hAnsi="思源黑体 CN Normal"/>
                <w:iCs/>
                <w:sz w:val="17"/>
                <w:szCs w:val="17"/>
              </w:rPr>
            </w:pPr>
          </w:p>
        </w:tc>
      </w:tr>
      <w:tr w:rsidR="00054423" w14:paraId="200CD6E1"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3A66B4"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B82D458"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518FC59"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A95CE01" w14:textId="77777777" w:rsidR="00054423" w:rsidRDefault="00054423">
            <w:pPr>
              <w:widowControl/>
              <w:jc w:val="center"/>
              <w:rPr>
                <w:rFonts w:ascii="思源黑体 CN Normal" w:eastAsia="思源黑体 CN Normal" w:hAnsi="思源黑体 CN Normal"/>
                <w:iCs/>
                <w:sz w:val="17"/>
                <w:szCs w:val="17"/>
              </w:rPr>
            </w:pPr>
          </w:p>
        </w:tc>
      </w:tr>
      <w:tr w:rsidR="00054423" w14:paraId="4D7CCD4E"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79C3966"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F52D8B8"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850DC72"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125AD78" w14:textId="77777777" w:rsidR="00054423" w:rsidRDefault="00054423">
            <w:pPr>
              <w:widowControl/>
              <w:jc w:val="center"/>
              <w:rPr>
                <w:rFonts w:ascii="思源黑体 CN Normal" w:eastAsia="思源黑体 CN Normal" w:hAnsi="思源黑体 CN Normal"/>
                <w:iCs/>
                <w:sz w:val="17"/>
                <w:szCs w:val="17"/>
              </w:rPr>
            </w:pPr>
          </w:p>
        </w:tc>
      </w:tr>
      <w:tr w:rsidR="00054423" w14:paraId="738991AA" w14:textId="77777777" w:rsidTr="00054423">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7DCF4CA" w14:textId="77777777" w:rsidR="00054423"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2A7BFDB" w14:textId="77777777" w:rsidR="00054423"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877D932" w14:textId="77777777" w:rsidR="00054423" w:rsidRDefault="00054423">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8D44C8D" w14:textId="77777777" w:rsidR="00054423" w:rsidRDefault="00054423">
            <w:pPr>
              <w:widowControl/>
              <w:jc w:val="center"/>
              <w:rPr>
                <w:rFonts w:ascii="思源黑体 CN Normal" w:eastAsia="思源黑体 CN Normal" w:hAnsi="思源黑体 CN Normal"/>
                <w:iCs/>
                <w:sz w:val="17"/>
                <w:szCs w:val="17"/>
              </w:rPr>
            </w:pPr>
          </w:p>
        </w:tc>
      </w:tr>
      <w:tr w:rsidR="00054423" w14:paraId="33A8C7DA" w14:textId="77777777" w:rsidTr="00054423">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FA61BCB" w14:textId="77777777" w:rsidR="00054423"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2853076" w14:textId="77777777" w:rsidR="00054423"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A0E021" w14:textId="77777777" w:rsidR="00054423"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38C333D8" w14:textId="77777777" w:rsidR="00054423" w:rsidRDefault="00054423">
            <w:pPr>
              <w:widowControl/>
              <w:spacing w:line="360" w:lineRule="exact"/>
              <w:jc w:val="center"/>
              <w:rPr>
                <w:rFonts w:ascii="思源黑体 CN Normal" w:eastAsia="思源黑体 CN Normal" w:hAnsi="思源黑体 CN Normal"/>
                <w:iCs/>
                <w:sz w:val="17"/>
                <w:szCs w:val="17"/>
              </w:rPr>
            </w:pPr>
          </w:p>
        </w:tc>
      </w:tr>
      <w:tr w:rsidR="00054423" w14:paraId="5F954A5D" w14:textId="77777777" w:rsidTr="00054423">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07BCA0" w14:textId="77777777" w:rsidR="00054423"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DC3C6F" w14:textId="77777777" w:rsidR="00054423"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8076756" w14:textId="77777777" w:rsidR="00054423"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1F140F22" w14:textId="77777777" w:rsidR="00054423" w:rsidRDefault="00054423">
            <w:pPr>
              <w:widowControl/>
              <w:spacing w:line="360" w:lineRule="exact"/>
              <w:jc w:val="center"/>
              <w:rPr>
                <w:rFonts w:ascii="思源黑体 CN Normal" w:eastAsia="思源黑体 CN Normal" w:hAnsi="思源黑体 CN Normal"/>
                <w:iCs/>
                <w:sz w:val="17"/>
                <w:szCs w:val="17"/>
              </w:rPr>
            </w:pPr>
          </w:p>
        </w:tc>
      </w:tr>
      <w:tr w:rsidR="00054423" w14:paraId="7890589F" w14:textId="77777777" w:rsidTr="00054423">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D52C8C5" w14:textId="77777777" w:rsidR="00054423"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ED187D" w14:textId="77777777" w:rsidR="00054423"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1D1550C" w14:textId="77777777" w:rsidR="00054423"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56B8548C" w14:textId="77777777" w:rsidR="00054423" w:rsidRDefault="00054423">
            <w:pPr>
              <w:widowControl/>
              <w:spacing w:line="360" w:lineRule="exact"/>
              <w:jc w:val="center"/>
              <w:rPr>
                <w:rFonts w:ascii="思源黑体 CN Normal" w:eastAsia="思源黑体 CN Normal" w:hAnsi="思源黑体 CN Normal"/>
                <w:iCs/>
                <w:sz w:val="17"/>
                <w:szCs w:val="17"/>
              </w:rPr>
            </w:pPr>
          </w:p>
        </w:tc>
      </w:tr>
      <w:tr w:rsidR="00054423" w14:paraId="63478A18" w14:textId="77777777" w:rsidTr="00054423">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4A4D3D5" w14:textId="77777777" w:rsidR="00054423"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5F66D3" w14:textId="77777777" w:rsidR="00054423"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0F87B54" w14:textId="77777777" w:rsidR="00054423"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47A014B7" w14:textId="77777777" w:rsidR="00054423" w:rsidRDefault="00054423">
            <w:pPr>
              <w:widowControl/>
              <w:spacing w:line="360" w:lineRule="exact"/>
              <w:jc w:val="center"/>
              <w:rPr>
                <w:rFonts w:ascii="思源黑体 CN Normal" w:eastAsia="思源黑体 CN Normal" w:hAnsi="思源黑体 CN Normal"/>
                <w:iCs/>
                <w:sz w:val="17"/>
                <w:szCs w:val="17"/>
              </w:rPr>
            </w:pPr>
          </w:p>
        </w:tc>
      </w:tr>
      <w:tr w:rsidR="00054423" w14:paraId="4CB47233" w14:textId="77777777" w:rsidTr="00054423">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A899DD9" w14:textId="77777777" w:rsidR="00054423"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C797396" w14:textId="77777777" w:rsidR="00054423"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A540E97" w14:textId="77777777" w:rsidR="00054423"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05C0B38A" w14:textId="77777777" w:rsidR="00054423" w:rsidRDefault="00054423">
            <w:pPr>
              <w:widowControl/>
              <w:spacing w:line="360" w:lineRule="exact"/>
              <w:jc w:val="center"/>
              <w:rPr>
                <w:rFonts w:ascii="思源黑体 CN Normal" w:eastAsia="思源黑体 CN Normal" w:hAnsi="思源黑体 CN Normal"/>
                <w:iCs/>
                <w:sz w:val="17"/>
                <w:szCs w:val="17"/>
              </w:rPr>
            </w:pPr>
          </w:p>
        </w:tc>
      </w:tr>
    </w:tbl>
    <w:p w14:paraId="418DE9CA" w14:textId="77777777" w:rsidR="00054423"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w:t>
      </w:r>
      <w:proofErr w:type="gramStart"/>
      <w:r>
        <w:rPr>
          <w:rFonts w:ascii="思源黑体 CN Normal" w:eastAsia="思源黑体 CN Normal" w:hAnsi="思源黑体 CN Normal"/>
          <w:sz w:val="18"/>
          <w:szCs w:val="18"/>
        </w:rPr>
        <w:t>度原因</w:t>
      </w:r>
      <w:proofErr w:type="gramEnd"/>
      <w:r>
        <w:rPr>
          <w:rFonts w:ascii="思源黑体 CN Normal" w:eastAsia="思源黑体 CN Normal" w:hAnsi="思源黑体 CN Normal"/>
          <w:sz w:val="18"/>
          <w:szCs w:val="18"/>
        </w:rPr>
        <w:t>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7C4ECD5C" w14:textId="77777777" w:rsidR="00054423"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76294099" w14:textId="77777777" w:rsidR="00054423"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27A0294A" w14:textId="77777777" w:rsidR="00054423"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465CD187" w14:textId="77777777" w:rsidR="00054423" w:rsidRDefault="00000000">
      <w:pPr>
        <w:spacing w:line="380" w:lineRule="exact"/>
        <w:ind w:firstLine="420"/>
        <w:rPr>
          <w:rFonts w:ascii="思源黑体 CN Normal" w:eastAsia="思源黑体 CN Normal" w:hAnsi="思源黑体 CN Normal" w:cs="思源黑体 CN Light"/>
          <w:sz w:val="18"/>
          <w:szCs w:val="18"/>
        </w:rPr>
      </w:pPr>
      <w:bookmarkStart w:id="11"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w:t>
      </w:r>
      <w:proofErr w:type="gramStart"/>
      <w:r>
        <w:rPr>
          <w:rFonts w:ascii="思源黑体 CN Normal" w:eastAsia="思源黑体 CN Normal" w:hAnsi="思源黑体 CN Normal" w:cs="思源黑体 CN Light" w:hint="eastAsia"/>
          <w:sz w:val="18"/>
          <w:szCs w:val="18"/>
        </w:rPr>
        <w:t>’</w:t>
      </w:r>
      <w:proofErr w:type="gramEnd"/>
      <w:r>
        <w:rPr>
          <w:rFonts w:ascii="思源黑体 CN Normal" w:eastAsia="思源黑体 CN Normal" w:hAnsi="思源黑体 CN Normal" w:cs="思源黑体 CN Light" w:hint="eastAsia"/>
          <w:sz w:val="18"/>
          <w:szCs w:val="18"/>
        </w:rPr>
        <w:t>末端单链入侵、Holliday连接体的形成和解离</w:t>
      </w:r>
      <w:bookmarkEnd w:id="11"/>
      <w:r>
        <w:rPr>
          <w:rFonts w:ascii="思源黑体 CN Normal" w:eastAsia="思源黑体 CN Normal" w:hAnsi="思源黑体 CN Normal" w:cs="思源黑体 CN Light" w:hint="eastAsia"/>
          <w:sz w:val="18"/>
          <w:szCs w:val="18"/>
        </w:rPr>
        <w:t>。</w:t>
      </w:r>
    </w:p>
    <w:p w14:paraId="71DEF31E" w14:textId="77777777" w:rsidR="00054423" w:rsidRDefault="00000000">
      <w:pPr>
        <w:spacing w:line="380" w:lineRule="exact"/>
        <w:ind w:firstLine="420"/>
        <w:rPr>
          <w:rFonts w:ascii="思源黑体 CN Normal" w:eastAsia="思源黑体 CN Normal" w:hAnsi="思源黑体 CN Normal" w:cs="思源黑体 CN Light"/>
          <w:sz w:val="18"/>
          <w:szCs w:val="18"/>
        </w:rPr>
      </w:pPr>
      <w:bookmarkStart w:id="12"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w:t>
      </w:r>
      <w:proofErr w:type="gramStart"/>
      <w:r>
        <w:rPr>
          <w:rFonts w:ascii="思源黑体 CN Normal" w:eastAsia="思源黑体 CN Normal" w:hAnsi="思源黑体 CN Normal" w:cs="思源黑体 CN Light" w:hint="eastAsia"/>
          <w:sz w:val="18"/>
          <w:szCs w:val="18"/>
        </w:rPr>
        <w:t>癫痕标志</w:t>
      </w:r>
      <w:proofErr w:type="gramEnd"/>
      <w:r>
        <w:rPr>
          <w:rFonts w:ascii="思源黑体 CN Normal" w:eastAsia="思源黑体 CN Normal" w:hAnsi="思源黑体 CN Normal" w:cs="思源黑体 CN Light" w:hint="eastAsia"/>
          <w:sz w:val="18"/>
          <w:szCs w:val="18"/>
        </w:rPr>
        <w:t>物，以量化基因组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痕的程度。每个指标都有独特的定义，在一定程度上都能描述细胞HRD状态的出程度；但相较单个指标描述，三者组合综合计算评分能更全面反映基因组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痕状态，进而对基因组不稳定状态进行评估</w:t>
      </w:r>
      <w:bookmarkEnd w:id="12"/>
      <w:r>
        <w:rPr>
          <w:rFonts w:ascii="思源黑体 CN Normal" w:eastAsia="思源黑体 CN Normal" w:hAnsi="思源黑体 CN Normal" w:cs="思源黑体 CN Light" w:hint="eastAsia"/>
          <w:sz w:val="18"/>
          <w:szCs w:val="18"/>
        </w:rPr>
        <w:t>。</w:t>
      </w:r>
    </w:p>
    <w:p w14:paraId="1121C641" w14:textId="77777777" w:rsidR="00054423"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6672" behindDoc="0" locked="0" layoutInCell="1" allowOverlap="1" wp14:anchorId="101B60D3" wp14:editId="055E4696">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57BF64EF" w14:textId="77777777" w:rsidR="00054423" w:rsidRDefault="00054423">
      <w:pPr>
        <w:spacing w:line="380" w:lineRule="exact"/>
        <w:rPr>
          <w:rFonts w:ascii="思源黑体 CN Normal" w:eastAsia="思源黑体 CN Normal" w:hAnsi="思源黑体 CN Normal" w:cs="思源黑体 CN Light"/>
          <w:sz w:val="18"/>
          <w:szCs w:val="18"/>
        </w:rPr>
      </w:pPr>
    </w:p>
    <w:p w14:paraId="648FFCF0" w14:textId="77777777" w:rsidR="00054423" w:rsidRDefault="00054423">
      <w:pPr>
        <w:spacing w:line="380" w:lineRule="exact"/>
        <w:rPr>
          <w:rFonts w:ascii="思源黑体 CN Normal" w:eastAsia="思源黑体 CN Normal" w:hAnsi="思源黑体 CN Normal" w:cs="思源黑体 CN Light"/>
          <w:sz w:val="18"/>
          <w:szCs w:val="18"/>
        </w:rPr>
      </w:pPr>
    </w:p>
    <w:p w14:paraId="02E77468" w14:textId="77777777" w:rsidR="00054423" w:rsidRDefault="00054423">
      <w:pPr>
        <w:spacing w:line="380" w:lineRule="exact"/>
        <w:rPr>
          <w:rFonts w:ascii="思源黑体 CN Normal" w:eastAsia="思源黑体 CN Normal" w:hAnsi="思源黑体 CN Normal" w:cs="思源黑体 CN Light"/>
          <w:sz w:val="18"/>
          <w:szCs w:val="18"/>
        </w:rPr>
      </w:pPr>
    </w:p>
    <w:p w14:paraId="04697EDE" w14:textId="77777777" w:rsidR="00054423" w:rsidRDefault="00054423">
      <w:pPr>
        <w:spacing w:line="380" w:lineRule="exact"/>
        <w:rPr>
          <w:rFonts w:ascii="思源黑体 CN Normal" w:eastAsia="思源黑体 CN Normal" w:hAnsi="思源黑体 CN Normal" w:cs="思源黑体 CN Light"/>
          <w:sz w:val="18"/>
          <w:szCs w:val="18"/>
        </w:rPr>
      </w:pPr>
    </w:p>
    <w:p w14:paraId="5E34D042" w14:textId="77777777" w:rsidR="00054423" w:rsidRDefault="00054423">
      <w:pPr>
        <w:spacing w:line="380" w:lineRule="exact"/>
        <w:rPr>
          <w:rFonts w:ascii="思源黑体 CN Normal" w:eastAsia="思源黑体 CN Normal" w:hAnsi="思源黑体 CN Normal" w:cs="思源黑体 CN Light"/>
          <w:sz w:val="18"/>
          <w:szCs w:val="18"/>
        </w:rPr>
      </w:pPr>
    </w:p>
    <w:p w14:paraId="2B265AFF" w14:textId="77777777" w:rsidR="00054423" w:rsidRDefault="00054423">
      <w:pPr>
        <w:spacing w:line="380" w:lineRule="exact"/>
        <w:rPr>
          <w:rFonts w:ascii="思源黑体 CN Normal" w:eastAsia="思源黑体 CN Normal" w:hAnsi="思源黑体 CN Normal" w:cs="思源黑体 CN Light"/>
          <w:sz w:val="18"/>
          <w:szCs w:val="18"/>
        </w:rPr>
      </w:pPr>
    </w:p>
    <w:p w14:paraId="797DA9D2" w14:textId="77777777" w:rsidR="00054423" w:rsidRDefault="00054423">
      <w:pPr>
        <w:spacing w:line="380" w:lineRule="exact"/>
        <w:rPr>
          <w:rFonts w:ascii="思源黑体 CN Normal" w:eastAsia="思源黑体 CN Normal" w:hAnsi="思源黑体 CN Normal" w:cs="思源黑体 CN Light"/>
          <w:sz w:val="18"/>
          <w:szCs w:val="18"/>
        </w:rPr>
      </w:pPr>
    </w:p>
    <w:p w14:paraId="64E8DE8A" w14:textId="77777777" w:rsidR="00054423" w:rsidRDefault="00054423">
      <w:pPr>
        <w:spacing w:line="380" w:lineRule="exact"/>
        <w:rPr>
          <w:rFonts w:ascii="思源黑体 CN Normal" w:eastAsia="思源黑体 CN Normal" w:hAnsi="思源黑体 CN Normal" w:cs="思源黑体 CN Light"/>
          <w:sz w:val="18"/>
          <w:szCs w:val="18"/>
        </w:rPr>
      </w:pPr>
    </w:p>
    <w:p w14:paraId="54AE3AB5" w14:textId="77777777" w:rsidR="00054423" w:rsidRDefault="00054423">
      <w:pPr>
        <w:spacing w:line="380" w:lineRule="exact"/>
        <w:rPr>
          <w:rFonts w:ascii="思源黑体 CN Normal" w:eastAsia="思源黑体 CN Normal" w:hAnsi="思源黑体 CN Normal" w:cs="思源黑体 CN Light"/>
          <w:sz w:val="18"/>
          <w:szCs w:val="18"/>
        </w:rPr>
      </w:pPr>
    </w:p>
    <w:p w14:paraId="3B0F2525" w14:textId="77777777" w:rsidR="00054423" w:rsidRDefault="00054423">
      <w:pPr>
        <w:spacing w:line="380" w:lineRule="exact"/>
        <w:rPr>
          <w:rFonts w:ascii="思源黑体 CN Normal" w:eastAsia="思源黑体 CN Normal" w:hAnsi="思源黑体 CN Normal" w:cs="思源黑体 CN Light"/>
          <w:sz w:val="18"/>
          <w:szCs w:val="18"/>
        </w:rPr>
      </w:pPr>
    </w:p>
    <w:p w14:paraId="4F10CBCA" w14:textId="77777777" w:rsidR="00054423" w:rsidRDefault="00054423">
      <w:pPr>
        <w:spacing w:line="380" w:lineRule="exact"/>
        <w:rPr>
          <w:rFonts w:ascii="思源黑体 CN Normal" w:eastAsia="思源黑体 CN Normal" w:hAnsi="思源黑体 CN Normal" w:cs="思源黑体 CN Light"/>
          <w:sz w:val="18"/>
          <w:szCs w:val="18"/>
        </w:rPr>
      </w:pPr>
    </w:p>
    <w:p w14:paraId="5266EBEF" w14:textId="77777777" w:rsidR="00054423" w:rsidRDefault="00054423">
      <w:pPr>
        <w:spacing w:line="380" w:lineRule="exact"/>
        <w:rPr>
          <w:rFonts w:ascii="思源黑体 CN Normal" w:eastAsia="思源黑体 CN Normal" w:hAnsi="思源黑体 CN Normal" w:cs="思源黑体 CN Light"/>
          <w:sz w:val="18"/>
          <w:szCs w:val="18"/>
        </w:rPr>
      </w:pPr>
    </w:p>
    <w:p w14:paraId="51760AB6" w14:textId="77777777" w:rsidR="00054423" w:rsidRDefault="00054423">
      <w:pPr>
        <w:spacing w:line="380" w:lineRule="exact"/>
        <w:rPr>
          <w:rFonts w:ascii="思源黑体 CN Normal" w:eastAsia="思源黑体 CN Normal" w:hAnsi="思源黑体 CN Normal" w:cs="思源黑体 CN Light"/>
          <w:sz w:val="18"/>
          <w:szCs w:val="18"/>
        </w:rPr>
      </w:pPr>
    </w:p>
    <w:p w14:paraId="3885CE9F" w14:textId="77777777" w:rsidR="00054423" w:rsidRDefault="00054423">
      <w:pPr>
        <w:spacing w:line="380" w:lineRule="exact"/>
        <w:rPr>
          <w:rFonts w:ascii="思源黑体 CN Normal" w:eastAsia="思源黑体 CN Normal" w:hAnsi="思源黑体 CN Normal" w:cs="思源黑体 CN Light"/>
          <w:sz w:val="18"/>
          <w:szCs w:val="18"/>
        </w:rPr>
      </w:pPr>
    </w:p>
    <w:p w14:paraId="00546FD3" w14:textId="77777777" w:rsidR="00054423" w:rsidRDefault="00054423">
      <w:pPr>
        <w:spacing w:line="380" w:lineRule="exact"/>
        <w:rPr>
          <w:rFonts w:ascii="思源黑体 CN Normal" w:eastAsia="思源黑体 CN Normal" w:hAnsi="思源黑体 CN Normal" w:cs="思源黑体 CN Light"/>
          <w:sz w:val="18"/>
          <w:szCs w:val="18"/>
        </w:rPr>
      </w:pPr>
    </w:p>
    <w:p w14:paraId="42529EC2" w14:textId="77777777" w:rsidR="00054423" w:rsidRDefault="00054423">
      <w:pPr>
        <w:spacing w:line="380" w:lineRule="exact"/>
        <w:rPr>
          <w:rFonts w:ascii="思源黑体 CN Normal" w:eastAsia="思源黑体 CN Normal" w:hAnsi="思源黑体 CN Normal" w:cs="思源黑体 CN Light"/>
          <w:sz w:val="18"/>
          <w:szCs w:val="18"/>
        </w:rPr>
      </w:pPr>
    </w:p>
    <w:p w14:paraId="76A15FA7" w14:textId="77777777" w:rsidR="00054423" w:rsidRDefault="00054423">
      <w:pPr>
        <w:spacing w:line="380" w:lineRule="exact"/>
        <w:rPr>
          <w:rFonts w:ascii="思源黑体 CN Normal" w:eastAsia="思源黑体 CN Normal" w:hAnsi="思源黑体 CN Normal" w:cs="思源黑体 CN Light"/>
          <w:sz w:val="18"/>
          <w:szCs w:val="18"/>
        </w:rPr>
      </w:pPr>
    </w:p>
    <w:p w14:paraId="27DF7677" w14:textId="77777777" w:rsidR="00054423"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42D0832E" w14:textId="77777777" w:rsidR="00054423"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54454E48" w14:textId="77777777" w:rsidR="00054423"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w:t>
      </w:r>
      <w:proofErr w:type="gramStart"/>
      <w:r>
        <w:rPr>
          <w:rFonts w:ascii="思源黑体 CN Normal" w:eastAsia="思源黑体 CN Normal" w:hAnsi="思源黑体 CN Normal" w:cs="思源黑体 CN Light" w:hint="eastAsia"/>
          <w:sz w:val="18"/>
          <w:szCs w:val="18"/>
        </w:rPr>
        <w:t>靶向聚</w:t>
      </w:r>
      <w:proofErr w:type="gramEnd"/>
      <w:r>
        <w:rPr>
          <w:rFonts w:ascii="思源黑体 CN Normal" w:eastAsia="思源黑体 CN Normal" w:hAnsi="思源黑体 CN Normal" w:cs="思源黑体 CN Light" w:hint="eastAsia"/>
          <w:sz w:val="18"/>
          <w:szCs w:val="18"/>
        </w:rPr>
        <w:t>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w:t>
      </w:r>
      <w:proofErr w:type="gramStart"/>
      <w:r>
        <w:rPr>
          <w:rFonts w:ascii="思源黑体 CN Normal" w:eastAsia="思源黑体 CN Normal" w:hAnsi="思源黑体 CN Normal" w:cs="思源黑体 CN Light" w:hint="eastAsia"/>
          <w:sz w:val="18"/>
          <w:szCs w:val="18"/>
        </w:rPr>
        <w:t>介</w:t>
      </w:r>
      <w:proofErr w:type="gramEnd"/>
      <w:r>
        <w:rPr>
          <w:rFonts w:ascii="思源黑体 CN Normal" w:eastAsia="思源黑体 CN Normal" w:hAnsi="思源黑体 CN Normal" w:cs="思源黑体 CN Light" w:hint="eastAsia"/>
          <w:sz w:val="18"/>
          <w:szCs w:val="18"/>
        </w:rPr>
        <w:t>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01D90071" w14:textId="77777777" w:rsidR="00054423"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7CF2B22F" w14:textId="77777777" w:rsidR="00054423"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4624" behindDoc="0" locked="0" layoutInCell="1" allowOverlap="1" wp14:anchorId="0CC6AA5C" wp14:editId="3C8231F0">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05AAABB1" w14:textId="77777777" w:rsidR="00054423" w:rsidRDefault="00054423">
      <w:pPr>
        <w:spacing w:line="380" w:lineRule="exact"/>
        <w:rPr>
          <w:rFonts w:ascii="思源黑体 CN Normal" w:eastAsia="思源黑体 CN Normal" w:hAnsi="思源黑体 CN Normal" w:cs="思源黑体 CN Light"/>
          <w:sz w:val="18"/>
          <w:szCs w:val="18"/>
        </w:rPr>
      </w:pPr>
    </w:p>
    <w:p w14:paraId="7F895E05" w14:textId="77777777" w:rsidR="00054423" w:rsidRDefault="00054423">
      <w:pPr>
        <w:spacing w:line="380" w:lineRule="exact"/>
        <w:rPr>
          <w:rFonts w:ascii="思源黑体 CN Normal" w:eastAsia="思源黑体 CN Normal" w:hAnsi="思源黑体 CN Normal" w:cs="思源黑体 CN Light"/>
          <w:sz w:val="18"/>
          <w:szCs w:val="18"/>
        </w:rPr>
      </w:pPr>
    </w:p>
    <w:p w14:paraId="53E8D2E9" w14:textId="77777777" w:rsidR="00054423" w:rsidRDefault="00054423">
      <w:pPr>
        <w:spacing w:line="380" w:lineRule="exact"/>
        <w:rPr>
          <w:rFonts w:ascii="思源黑体 CN Normal" w:eastAsia="思源黑体 CN Normal" w:hAnsi="思源黑体 CN Normal" w:cs="思源黑体 CN Light"/>
          <w:sz w:val="18"/>
          <w:szCs w:val="18"/>
        </w:rPr>
      </w:pPr>
    </w:p>
    <w:p w14:paraId="25F02078" w14:textId="77777777" w:rsidR="00054423" w:rsidRDefault="00054423">
      <w:pPr>
        <w:spacing w:line="380" w:lineRule="exact"/>
        <w:rPr>
          <w:rFonts w:ascii="思源黑体 CN Normal" w:eastAsia="思源黑体 CN Normal" w:hAnsi="思源黑体 CN Normal" w:cs="思源黑体 CN Light"/>
          <w:sz w:val="18"/>
          <w:szCs w:val="18"/>
        </w:rPr>
      </w:pPr>
    </w:p>
    <w:p w14:paraId="081A5DAF" w14:textId="77777777" w:rsidR="00054423" w:rsidRDefault="00054423">
      <w:pPr>
        <w:spacing w:line="380" w:lineRule="exact"/>
        <w:rPr>
          <w:rFonts w:ascii="思源黑体 CN Normal" w:eastAsia="思源黑体 CN Normal" w:hAnsi="思源黑体 CN Normal" w:cs="思源黑体 CN Light"/>
          <w:sz w:val="18"/>
          <w:szCs w:val="18"/>
        </w:rPr>
      </w:pPr>
    </w:p>
    <w:p w14:paraId="7688BDFD" w14:textId="77777777" w:rsidR="00054423" w:rsidRDefault="00054423">
      <w:pPr>
        <w:spacing w:line="380" w:lineRule="exact"/>
        <w:rPr>
          <w:rFonts w:ascii="思源黑体 CN Normal" w:eastAsia="思源黑体 CN Normal" w:hAnsi="思源黑体 CN Normal" w:cs="思源黑体 CN Light"/>
          <w:sz w:val="18"/>
          <w:szCs w:val="18"/>
        </w:rPr>
      </w:pPr>
    </w:p>
    <w:p w14:paraId="76ED94AF" w14:textId="77777777" w:rsidR="00054423" w:rsidRDefault="00054423">
      <w:pPr>
        <w:spacing w:line="380" w:lineRule="exact"/>
        <w:rPr>
          <w:rFonts w:ascii="思源黑体 CN Normal" w:eastAsia="思源黑体 CN Normal" w:hAnsi="思源黑体 CN Normal" w:cs="思源黑体 CN Light"/>
          <w:sz w:val="18"/>
          <w:szCs w:val="18"/>
        </w:rPr>
      </w:pPr>
    </w:p>
    <w:p w14:paraId="136DEE7F" w14:textId="77777777" w:rsidR="00054423" w:rsidRDefault="00054423">
      <w:pPr>
        <w:spacing w:line="380" w:lineRule="exact"/>
        <w:rPr>
          <w:rFonts w:ascii="思源黑体 CN Normal" w:eastAsia="思源黑体 CN Normal" w:hAnsi="思源黑体 CN Normal" w:cs="思源黑体 CN Light"/>
          <w:sz w:val="18"/>
          <w:szCs w:val="18"/>
        </w:rPr>
      </w:pPr>
    </w:p>
    <w:p w14:paraId="7B63276B" w14:textId="77777777" w:rsidR="00054423" w:rsidRDefault="00054423">
      <w:pPr>
        <w:spacing w:line="380" w:lineRule="exact"/>
        <w:rPr>
          <w:rFonts w:ascii="思源黑体 CN Normal" w:eastAsia="思源黑体 CN Normal" w:hAnsi="思源黑体 CN Normal" w:cs="思源黑体 CN Light"/>
          <w:sz w:val="18"/>
          <w:szCs w:val="18"/>
        </w:rPr>
      </w:pPr>
    </w:p>
    <w:p w14:paraId="25EC374C" w14:textId="77777777" w:rsidR="00054423" w:rsidRDefault="00054423">
      <w:pPr>
        <w:spacing w:line="380" w:lineRule="exact"/>
        <w:rPr>
          <w:rFonts w:ascii="思源黑体 CN Normal" w:eastAsia="思源黑体 CN Normal" w:hAnsi="思源黑体 CN Normal" w:cs="思源黑体 CN Light"/>
          <w:sz w:val="18"/>
          <w:szCs w:val="18"/>
        </w:rPr>
      </w:pPr>
    </w:p>
    <w:p w14:paraId="72122929" w14:textId="77777777" w:rsidR="00054423" w:rsidRDefault="00054423">
      <w:pPr>
        <w:spacing w:line="380" w:lineRule="exact"/>
        <w:rPr>
          <w:rFonts w:ascii="思源黑体 CN Normal" w:eastAsia="思源黑体 CN Normal" w:hAnsi="思源黑体 CN Normal" w:cs="思源黑体 CN Light"/>
          <w:sz w:val="18"/>
          <w:szCs w:val="18"/>
        </w:rPr>
      </w:pPr>
    </w:p>
    <w:p w14:paraId="3DC1FFD5" w14:textId="77777777" w:rsidR="00054423" w:rsidRDefault="00054423">
      <w:pPr>
        <w:spacing w:line="380" w:lineRule="exact"/>
        <w:rPr>
          <w:rFonts w:ascii="思源黑体 CN Normal" w:eastAsia="思源黑体 CN Normal" w:hAnsi="思源黑体 CN Normal" w:cs="思源黑体 CN Light"/>
          <w:sz w:val="18"/>
          <w:szCs w:val="18"/>
        </w:rPr>
      </w:pPr>
    </w:p>
    <w:p w14:paraId="5680649F" w14:textId="77777777" w:rsidR="00054423" w:rsidRDefault="00054423">
      <w:pPr>
        <w:spacing w:line="380" w:lineRule="exact"/>
        <w:rPr>
          <w:rFonts w:ascii="思源黑体 CN Normal" w:eastAsia="思源黑体 CN Normal" w:hAnsi="思源黑体 CN Normal" w:cs="思源黑体 CN Light"/>
          <w:sz w:val="18"/>
          <w:szCs w:val="18"/>
        </w:rPr>
      </w:pPr>
    </w:p>
    <w:p w14:paraId="16A1043A" w14:textId="77777777" w:rsidR="00054423" w:rsidRDefault="00054423">
      <w:pPr>
        <w:spacing w:line="380" w:lineRule="exact"/>
        <w:rPr>
          <w:rFonts w:ascii="思源黑体 CN Normal" w:eastAsia="思源黑体 CN Normal" w:hAnsi="思源黑体 CN Normal" w:cs="思源黑体 CN Light"/>
          <w:sz w:val="18"/>
          <w:szCs w:val="18"/>
        </w:rPr>
      </w:pPr>
    </w:p>
    <w:p w14:paraId="3A2BDE17" w14:textId="77777777" w:rsidR="00054423" w:rsidRDefault="00054423">
      <w:pPr>
        <w:spacing w:line="380" w:lineRule="exact"/>
        <w:rPr>
          <w:rFonts w:ascii="思源黑体 CN Normal" w:eastAsia="思源黑体 CN Normal" w:hAnsi="思源黑体 CN Normal" w:cs="思源黑体 CN Light"/>
          <w:sz w:val="18"/>
          <w:szCs w:val="18"/>
        </w:rPr>
      </w:pPr>
    </w:p>
    <w:p w14:paraId="3FF3FAF6" w14:textId="77777777" w:rsidR="00054423" w:rsidRDefault="00054423">
      <w:pPr>
        <w:spacing w:line="380" w:lineRule="exact"/>
        <w:rPr>
          <w:rFonts w:ascii="思源黑体 CN Normal" w:eastAsia="思源黑体 CN Normal" w:hAnsi="思源黑体 CN Normal" w:cs="思源黑体 CN Light"/>
          <w:sz w:val="18"/>
          <w:szCs w:val="18"/>
        </w:rPr>
      </w:pPr>
    </w:p>
    <w:p w14:paraId="0DEF8AB5" w14:textId="77777777" w:rsidR="00054423" w:rsidRDefault="00054423">
      <w:pPr>
        <w:spacing w:line="380" w:lineRule="exact"/>
        <w:rPr>
          <w:rFonts w:ascii="思源黑体 CN Normal" w:eastAsia="思源黑体 CN Normal" w:hAnsi="思源黑体 CN Normal" w:cs="思源黑体 CN Light"/>
          <w:sz w:val="18"/>
          <w:szCs w:val="18"/>
        </w:rPr>
      </w:pPr>
    </w:p>
    <w:p w14:paraId="39A90557" w14:textId="77777777" w:rsidR="00054423"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243EAE4D" w14:textId="77777777" w:rsidR="00054423" w:rsidRDefault="00054423">
      <w:pPr>
        <w:widowControl/>
        <w:jc w:val="left"/>
        <w:rPr>
          <w:rFonts w:ascii="思源黑体 CN Normal" w:eastAsia="思源黑体 CN Normal" w:hAnsi="思源黑体 CN Normal"/>
          <w:sz w:val="13"/>
          <w:szCs w:val="13"/>
        </w:rPr>
      </w:pPr>
    </w:p>
    <w:p w14:paraId="13B195B2" w14:textId="77777777" w:rsidR="00054423" w:rsidRDefault="00054423">
      <w:pPr>
        <w:widowControl/>
        <w:jc w:val="left"/>
        <w:rPr>
          <w:rFonts w:ascii="思源黑体 CN Normal" w:eastAsia="思源黑体 CN Normal" w:hAnsi="思源黑体 CN Normal"/>
          <w:sz w:val="13"/>
          <w:szCs w:val="13"/>
        </w:rPr>
      </w:pPr>
    </w:p>
    <w:p w14:paraId="1EC8795A" w14:textId="77777777" w:rsidR="00054423"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0BE42134" w14:textId="77777777" w:rsidR="00054423"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w:t>
      </w:r>
      <w:proofErr w:type="gramStart"/>
      <w:r>
        <w:rPr>
          <w:rFonts w:ascii="思源黑体 CN Bold" w:eastAsia="思源黑体 CN Bold" w:hAnsi="思源黑体 CN Bold" w:cs="思源黑体 CN Normal" w:hint="eastAsia"/>
          <w:b/>
          <w:sz w:val="18"/>
          <w:szCs w:val="18"/>
        </w:rPr>
        <w:t>向治疗</w:t>
      </w:r>
      <w:proofErr w:type="gramEnd"/>
      <w:r>
        <w:rPr>
          <w:rFonts w:ascii="思源黑体 CN Bold" w:eastAsia="思源黑体 CN Bold" w:hAnsi="思源黑体 CN Bold" w:cs="思源黑体 CN Normal" w:hint="eastAsia"/>
          <w:b/>
          <w:sz w:val="18"/>
          <w:szCs w:val="18"/>
        </w:rPr>
        <w:t>指导意义</w:t>
      </w:r>
    </w:p>
    <w:p w14:paraId="49DA8183" w14:textId="77777777" w:rsidR="00054423"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帕利（Talazoparib）以及近期由NMPA批准的氟</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5EA74C37" w14:textId="77777777" w:rsidR="00054423"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5648" behindDoc="0" locked="0" layoutInCell="1" allowOverlap="1" wp14:anchorId="69C28599" wp14:editId="668C2E5F">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5323BAB6"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1CBEC511"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5D9AD4B2"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17DEA15C"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52E10117"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1CF3B1D0"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4BF945F7"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34FDE08F"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0A9CA0E6"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35D54DF4"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531C5E89"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02637FE5"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3E2E2AAA"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0C2797A0"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65F093C3"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59619A59"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106B2180"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78F0E4D1"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4C872467"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778C74A2"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6263564C"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17F28DBC" w14:textId="77777777" w:rsidR="00054423" w:rsidRDefault="00054423">
      <w:pPr>
        <w:spacing w:line="380" w:lineRule="exact"/>
        <w:ind w:firstLine="420"/>
        <w:jc w:val="center"/>
        <w:rPr>
          <w:rFonts w:ascii="思源黑体 CN Normal" w:eastAsia="思源黑体 CN Normal" w:hAnsi="思源黑体 CN Normal" w:cs="思源黑体 CN Light"/>
          <w:sz w:val="18"/>
          <w:szCs w:val="18"/>
        </w:rPr>
      </w:pPr>
    </w:p>
    <w:p w14:paraId="4F341CE5" w14:textId="77777777" w:rsidR="00054423" w:rsidRDefault="00054423">
      <w:pPr>
        <w:spacing w:line="380" w:lineRule="exact"/>
        <w:rPr>
          <w:rFonts w:ascii="思源黑体 CN Normal" w:eastAsia="思源黑体 CN Normal" w:hAnsi="思源黑体 CN Normal" w:cs="思源黑体 CN Light"/>
          <w:sz w:val="18"/>
          <w:szCs w:val="18"/>
        </w:rPr>
      </w:pPr>
    </w:p>
    <w:p w14:paraId="1D454E7E" w14:textId="77777777" w:rsidR="00054423" w:rsidRDefault="00054423">
      <w:pPr>
        <w:spacing w:line="380" w:lineRule="exact"/>
        <w:rPr>
          <w:rFonts w:ascii="思源黑体 CN Normal" w:eastAsia="思源黑体 CN Normal" w:hAnsi="思源黑体 CN Normal" w:cs="思源黑体 CN Light"/>
          <w:sz w:val="18"/>
          <w:szCs w:val="18"/>
        </w:rPr>
      </w:pPr>
    </w:p>
    <w:p w14:paraId="06E0EE53" w14:textId="77777777" w:rsidR="00054423"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sectPr w:rsidR="00054423">
      <w:headerReference w:type="default" r:id="rId11"/>
      <w:footerReference w:type="default" r:id="rId12"/>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C6C0" w14:textId="77777777" w:rsidR="000D66A9" w:rsidRDefault="000D66A9">
      <w:r>
        <w:separator/>
      </w:r>
    </w:p>
  </w:endnote>
  <w:endnote w:type="continuationSeparator" w:id="0">
    <w:p w14:paraId="2DFAAC9F" w14:textId="77777777" w:rsidR="000D66A9" w:rsidRDefault="000D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altName w:val="宋体"/>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sdtPr>
    <w:sdtContent>
      <w:p w14:paraId="42B2F0EB" w14:textId="77777777" w:rsidR="00054423" w:rsidRDefault="00000000">
        <w:pPr>
          <w:pStyle w:val="a5"/>
          <w:ind w:right="540"/>
          <w:jc w:val="right"/>
          <w:rPr>
            <w:sz w:val="21"/>
            <w:szCs w:val="22"/>
          </w:rPr>
        </w:pPr>
        <w:r>
          <w:rPr>
            <w:rFonts w:ascii="思源黑体 CN Light" w:eastAsia="思源黑体 CN Light" w:hAnsi="思源黑体 CN Light"/>
            <w:b/>
            <w:bCs/>
          </w:rPr>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NUMPAGES</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27</w:t>
        </w:r>
        <w:r>
          <w:rPr>
            <w:rFonts w:ascii="思源黑体 CN Light" w:eastAsia="思源黑体 CN Light" w:hAnsi="思源黑体 CN Light"/>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D6B9" w14:textId="77777777" w:rsidR="000D66A9" w:rsidRDefault="000D66A9">
      <w:r>
        <w:separator/>
      </w:r>
    </w:p>
  </w:footnote>
  <w:footnote w:type="continuationSeparator" w:id="0">
    <w:p w14:paraId="6AFF92D8" w14:textId="77777777" w:rsidR="000D66A9" w:rsidRDefault="000D6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68B4" w14:textId="77777777" w:rsidR="00054423"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A01786"/>
    <w:multiLevelType w:val="multilevel"/>
    <w:tmpl w:val="E2A017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71790C"/>
    <w:multiLevelType w:val="multilevel"/>
    <w:tmpl w:val="0571790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0E4A64E2"/>
    <w:multiLevelType w:val="multilevel"/>
    <w:tmpl w:val="0E4A64E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4F2213"/>
    <w:multiLevelType w:val="multilevel"/>
    <w:tmpl w:val="0E4F22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710865"/>
    <w:multiLevelType w:val="multilevel"/>
    <w:tmpl w:val="227108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78B73A3"/>
    <w:multiLevelType w:val="multilevel"/>
    <w:tmpl w:val="478B73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14DAEA"/>
    <w:multiLevelType w:val="multilevel"/>
    <w:tmpl w:val="5F14DA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B600124"/>
    <w:multiLevelType w:val="multilevel"/>
    <w:tmpl w:val="6B600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7D8CA4D"/>
    <w:multiLevelType w:val="multilevel"/>
    <w:tmpl w:val="77D8CA4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80660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3812736">
    <w:abstractNumId w:val="11"/>
  </w:num>
  <w:num w:numId="3" w16cid:durableId="593588009">
    <w:abstractNumId w:val="14"/>
  </w:num>
  <w:num w:numId="4" w16cid:durableId="703673053">
    <w:abstractNumId w:val="7"/>
  </w:num>
  <w:num w:numId="5" w16cid:durableId="463930905">
    <w:abstractNumId w:val="3"/>
  </w:num>
  <w:num w:numId="6" w16cid:durableId="261308249">
    <w:abstractNumId w:val="0"/>
  </w:num>
  <w:num w:numId="7" w16cid:durableId="1059934672">
    <w:abstractNumId w:val="6"/>
  </w:num>
  <w:num w:numId="8" w16cid:durableId="622227055">
    <w:abstractNumId w:val="13"/>
  </w:num>
  <w:num w:numId="9" w16cid:durableId="818183064">
    <w:abstractNumId w:val="8"/>
  </w:num>
  <w:num w:numId="10" w16cid:durableId="1303270592">
    <w:abstractNumId w:val="2"/>
  </w:num>
  <w:num w:numId="11" w16cid:durableId="968784018">
    <w:abstractNumId w:val="5"/>
  </w:num>
  <w:num w:numId="12" w16cid:durableId="2111047513">
    <w:abstractNumId w:val="12"/>
  </w:num>
  <w:num w:numId="13" w16cid:durableId="1280794925">
    <w:abstractNumId w:val="10"/>
  </w:num>
  <w:num w:numId="14" w16cid:durableId="1673876987">
    <w:abstractNumId w:val="9"/>
  </w:num>
  <w:num w:numId="15" w16cid:durableId="125468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3FF2"/>
    <w:rsid w:val="00004700"/>
    <w:rsid w:val="00010E11"/>
    <w:rsid w:val="000149A8"/>
    <w:rsid w:val="00021328"/>
    <w:rsid w:val="000221A7"/>
    <w:rsid w:val="000267FC"/>
    <w:rsid w:val="000343F2"/>
    <w:rsid w:val="0003623F"/>
    <w:rsid w:val="00041E2C"/>
    <w:rsid w:val="0004421F"/>
    <w:rsid w:val="00045B7D"/>
    <w:rsid w:val="000503F7"/>
    <w:rsid w:val="00054423"/>
    <w:rsid w:val="000566AA"/>
    <w:rsid w:val="00056A27"/>
    <w:rsid w:val="00065A80"/>
    <w:rsid w:val="0006777D"/>
    <w:rsid w:val="00071C70"/>
    <w:rsid w:val="0007644F"/>
    <w:rsid w:val="00076C0F"/>
    <w:rsid w:val="00076DD9"/>
    <w:rsid w:val="00085DAB"/>
    <w:rsid w:val="000914FF"/>
    <w:rsid w:val="00092694"/>
    <w:rsid w:val="00093E84"/>
    <w:rsid w:val="000976F6"/>
    <w:rsid w:val="00097D8B"/>
    <w:rsid w:val="000A0443"/>
    <w:rsid w:val="000A0B00"/>
    <w:rsid w:val="000A344D"/>
    <w:rsid w:val="000A34FF"/>
    <w:rsid w:val="000A6F3A"/>
    <w:rsid w:val="000B1A02"/>
    <w:rsid w:val="000B2E53"/>
    <w:rsid w:val="000B44B6"/>
    <w:rsid w:val="000B5AF2"/>
    <w:rsid w:val="000B7274"/>
    <w:rsid w:val="000C6D49"/>
    <w:rsid w:val="000C7A28"/>
    <w:rsid w:val="000D1A6C"/>
    <w:rsid w:val="000D39C2"/>
    <w:rsid w:val="000D494D"/>
    <w:rsid w:val="000D5BFE"/>
    <w:rsid w:val="000D66A9"/>
    <w:rsid w:val="000E2D29"/>
    <w:rsid w:val="000E3CD8"/>
    <w:rsid w:val="000E3E03"/>
    <w:rsid w:val="000F4E26"/>
    <w:rsid w:val="000F7DD3"/>
    <w:rsid w:val="0010603A"/>
    <w:rsid w:val="0010731C"/>
    <w:rsid w:val="00110A75"/>
    <w:rsid w:val="00110F22"/>
    <w:rsid w:val="00112044"/>
    <w:rsid w:val="00113E8B"/>
    <w:rsid w:val="0012226F"/>
    <w:rsid w:val="001354DB"/>
    <w:rsid w:val="001412D0"/>
    <w:rsid w:val="00142446"/>
    <w:rsid w:val="00142D74"/>
    <w:rsid w:val="001445F8"/>
    <w:rsid w:val="00144959"/>
    <w:rsid w:val="00144FFB"/>
    <w:rsid w:val="00145954"/>
    <w:rsid w:val="00146584"/>
    <w:rsid w:val="001504B9"/>
    <w:rsid w:val="0015237F"/>
    <w:rsid w:val="001525A6"/>
    <w:rsid w:val="00152C69"/>
    <w:rsid w:val="00152CC6"/>
    <w:rsid w:val="00157C1B"/>
    <w:rsid w:val="00161617"/>
    <w:rsid w:val="001621AF"/>
    <w:rsid w:val="00167FDC"/>
    <w:rsid w:val="0017145E"/>
    <w:rsid w:val="00172C4A"/>
    <w:rsid w:val="00173394"/>
    <w:rsid w:val="00182880"/>
    <w:rsid w:val="0018325F"/>
    <w:rsid w:val="00183F43"/>
    <w:rsid w:val="001851C2"/>
    <w:rsid w:val="001919D3"/>
    <w:rsid w:val="00192B1D"/>
    <w:rsid w:val="00193EC4"/>
    <w:rsid w:val="001946AE"/>
    <w:rsid w:val="001A50F8"/>
    <w:rsid w:val="001B580A"/>
    <w:rsid w:val="001C20FA"/>
    <w:rsid w:val="001C2CB6"/>
    <w:rsid w:val="001C3C18"/>
    <w:rsid w:val="001C754B"/>
    <w:rsid w:val="001D7EAF"/>
    <w:rsid w:val="001D7EE8"/>
    <w:rsid w:val="001E11FD"/>
    <w:rsid w:val="001E1CFB"/>
    <w:rsid w:val="001E2A24"/>
    <w:rsid w:val="001E3892"/>
    <w:rsid w:val="001F3DE4"/>
    <w:rsid w:val="001F5079"/>
    <w:rsid w:val="001F7D67"/>
    <w:rsid w:val="00212FD9"/>
    <w:rsid w:val="00213834"/>
    <w:rsid w:val="002148A7"/>
    <w:rsid w:val="00220BBF"/>
    <w:rsid w:val="00222DCF"/>
    <w:rsid w:val="00225694"/>
    <w:rsid w:val="002266A0"/>
    <w:rsid w:val="00243884"/>
    <w:rsid w:val="00244FA8"/>
    <w:rsid w:val="00245880"/>
    <w:rsid w:val="0027185B"/>
    <w:rsid w:val="00283FE3"/>
    <w:rsid w:val="002857FC"/>
    <w:rsid w:val="00292604"/>
    <w:rsid w:val="00292C51"/>
    <w:rsid w:val="00294488"/>
    <w:rsid w:val="002A0E19"/>
    <w:rsid w:val="002A1DF6"/>
    <w:rsid w:val="002A60BC"/>
    <w:rsid w:val="002A6178"/>
    <w:rsid w:val="002B4FC1"/>
    <w:rsid w:val="002C2A2A"/>
    <w:rsid w:val="002C3B79"/>
    <w:rsid w:val="002C605F"/>
    <w:rsid w:val="002D4C47"/>
    <w:rsid w:val="002D60F5"/>
    <w:rsid w:val="002D6FAA"/>
    <w:rsid w:val="002E0C93"/>
    <w:rsid w:val="002E25A8"/>
    <w:rsid w:val="002E3881"/>
    <w:rsid w:val="002E49E3"/>
    <w:rsid w:val="002E4D9E"/>
    <w:rsid w:val="002E67A7"/>
    <w:rsid w:val="002E7C56"/>
    <w:rsid w:val="002F5E55"/>
    <w:rsid w:val="00307350"/>
    <w:rsid w:val="0031141C"/>
    <w:rsid w:val="00311EAF"/>
    <w:rsid w:val="00313062"/>
    <w:rsid w:val="003146F5"/>
    <w:rsid w:val="00315FB1"/>
    <w:rsid w:val="00317751"/>
    <w:rsid w:val="00326F99"/>
    <w:rsid w:val="00336207"/>
    <w:rsid w:val="00337A20"/>
    <w:rsid w:val="00342D93"/>
    <w:rsid w:val="00345F9C"/>
    <w:rsid w:val="00346BDF"/>
    <w:rsid w:val="003509E6"/>
    <w:rsid w:val="00352CA3"/>
    <w:rsid w:val="00354065"/>
    <w:rsid w:val="00354271"/>
    <w:rsid w:val="003567B2"/>
    <w:rsid w:val="00357DF8"/>
    <w:rsid w:val="0036021A"/>
    <w:rsid w:val="003614C1"/>
    <w:rsid w:val="00362513"/>
    <w:rsid w:val="003642E6"/>
    <w:rsid w:val="003651CE"/>
    <w:rsid w:val="0037209D"/>
    <w:rsid w:val="0037412B"/>
    <w:rsid w:val="00375E3E"/>
    <w:rsid w:val="0037664D"/>
    <w:rsid w:val="0038147D"/>
    <w:rsid w:val="00386DF6"/>
    <w:rsid w:val="003948C6"/>
    <w:rsid w:val="00394C12"/>
    <w:rsid w:val="00395B7D"/>
    <w:rsid w:val="003961A9"/>
    <w:rsid w:val="003A5160"/>
    <w:rsid w:val="003A7D84"/>
    <w:rsid w:val="003B0C62"/>
    <w:rsid w:val="003B190F"/>
    <w:rsid w:val="003B5A23"/>
    <w:rsid w:val="003C36AB"/>
    <w:rsid w:val="003C38FF"/>
    <w:rsid w:val="003C7261"/>
    <w:rsid w:val="003D3594"/>
    <w:rsid w:val="003D601D"/>
    <w:rsid w:val="003D75E8"/>
    <w:rsid w:val="003D7BB4"/>
    <w:rsid w:val="003D7F22"/>
    <w:rsid w:val="003E03FA"/>
    <w:rsid w:val="003E2FBB"/>
    <w:rsid w:val="003E386D"/>
    <w:rsid w:val="003E39BA"/>
    <w:rsid w:val="003E4D49"/>
    <w:rsid w:val="003E77FE"/>
    <w:rsid w:val="003F0AB8"/>
    <w:rsid w:val="003F3FC9"/>
    <w:rsid w:val="003F5F8F"/>
    <w:rsid w:val="003F6E9F"/>
    <w:rsid w:val="00401A53"/>
    <w:rsid w:val="0040351A"/>
    <w:rsid w:val="00405C9E"/>
    <w:rsid w:val="00407184"/>
    <w:rsid w:val="00412322"/>
    <w:rsid w:val="0041333B"/>
    <w:rsid w:val="00415132"/>
    <w:rsid w:val="004155E2"/>
    <w:rsid w:val="00420BD0"/>
    <w:rsid w:val="00423172"/>
    <w:rsid w:val="004250EC"/>
    <w:rsid w:val="00425799"/>
    <w:rsid w:val="00433409"/>
    <w:rsid w:val="00433674"/>
    <w:rsid w:val="00437978"/>
    <w:rsid w:val="00437E4F"/>
    <w:rsid w:val="00443B6C"/>
    <w:rsid w:val="004459CE"/>
    <w:rsid w:val="00447764"/>
    <w:rsid w:val="00451E30"/>
    <w:rsid w:val="00453234"/>
    <w:rsid w:val="00457E29"/>
    <w:rsid w:val="00467227"/>
    <w:rsid w:val="00470137"/>
    <w:rsid w:val="0047301B"/>
    <w:rsid w:val="0047308A"/>
    <w:rsid w:val="00475D68"/>
    <w:rsid w:val="00480870"/>
    <w:rsid w:val="00481295"/>
    <w:rsid w:val="0048521D"/>
    <w:rsid w:val="004864BD"/>
    <w:rsid w:val="00491207"/>
    <w:rsid w:val="00493BF2"/>
    <w:rsid w:val="00493DA7"/>
    <w:rsid w:val="004966AA"/>
    <w:rsid w:val="00497462"/>
    <w:rsid w:val="004A03EE"/>
    <w:rsid w:val="004A1902"/>
    <w:rsid w:val="004A272E"/>
    <w:rsid w:val="004A5236"/>
    <w:rsid w:val="004B1CF9"/>
    <w:rsid w:val="004B2453"/>
    <w:rsid w:val="004B2741"/>
    <w:rsid w:val="004B3F2D"/>
    <w:rsid w:val="004B4412"/>
    <w:rsid w:val="004B75B3"/>
    <w:rsid w:val="004C0E51"/>
    <w:rsid w:val="004C24E0"/>
    <w:rsid w:val="004C5C3C"/>
    <w:rsid w:val="004C6C0C"/>
    <w:rsid w:val="004D160F"/>
    <w:rsid w:val="004E16B5"/>
    <w:rsid w:val="004E3315"/>
    <w:rsid w:val="004E4582"/>
    <w:rsid w:val="004E6590"/>
    <w:rsid w:val="004F22CA"/>
    <w:rsid w:val="004F428A"/>
    <w:rsid w:val="004F4E0E"/>
    <w:rsid w:val="004F5E3F"/>
    <w:rsid w:val="004F61DA"/>
    <w:rsid w:val="00507FF9"/>
    <w:rsid w:val="005101CD"/>
    <w:rsid w:val="005136CA"/>
    <w:rsid w:val="005156FE"/>
    <w:rsid w:val="0051748C"/>
    <w:rsid w:val="00520FCA"/>
    <w:rsid w:val="00526EBF"/>
    <w:rsid w:val="00530D8E"/>
    <w:rsid w:val="00530E1E"/>
    <w:rsid w:val="00537850"/>
    <w:rsid w:val="00546628"/>
    <w:rsid w:val="00550F2E"/>
    <w:rsid w:val="00552129"/>
    <w:rsid w:val="005523D4"/>
    <w:rsid w:val="00553828"/>
    <w:rsid w:val="005554E3"/>
    <w:rsid w:val="00556029"/>
    <w:rsid w:val="00566A9D"/>
    <w:rsid w:val="005671DA"/>
    <w:rsid w:val="00574C4D"/>
    <w:rsid w:val="00575447"/>
    <w:rsid w:val="00576BF6"/>
    <w:rsid w:val="00585492"/>
    <w:rsid w:val="005935DA"/>
    <w:rsid w:val="00596F4C"/>
    <w:rsid w:val="005A000F"/>
    <w:rsid w:val="005A31F1"/>
    <w:rsid w:val="005A53B5"/>
    <w:rsid w:val="005A5CB8"/>
    <w:rsid w:val="005B0C5E"/>
    <w:rsid w:val="005B2EE3"/>
    <w:rsid w:val="005B3F52"/>
    <w:rsid w:val="005B4BD0"/>
    <w:rsid w:val="005C57B7"/>
    <w:rsid w:val="005C69B1"/>
    <w:rsid w:val="005D1951"/>
    <w:rsid w:val="005D278F"/>
    <w:rsid w:val="005D42B4"/>
    <w:rsid w:val="005D5997"/>
    <w:rsid w:val="005E49E5"/>
    <w:rsid w:val="005E4E3B"/>
    <w:rsid w:val="005E7941"/>
    <w:rsid w:val="005F1260"/>
    <w:rsid w:val="005F224E"/>
    <w:rsid w:val="005F4724"/>
    <w:rsid w:val="005F5990"/>
    <w:rsid w:val="00604F04"/>
    <w:rsid w:val="006072DA"/>
    <w:rsid w:val="006075F5"/>
    <w:rsid w:val="0060774C"/>
    <w:rsid w:val="00607A67"/>
    <w:rsid w:val="00607E23"/>
    <w:rsid w:val="0061081C"/>
    <w:rsid w:val="00612068"/>
    <w:rsid w:val="00613A04"/>
    <w:rsid w:val="00620F0A"/>
    <w:rsid w:val="006242A8"/>
    <w:rsid w:val="00640683"/>
    <w:rsid w:val="0064122C"/>
    <w:rsid w:val="00641C59"/>
    <w:rsid w:val="00641DFF"/>
    <w:rsid w:val="0064227E"/>
    <w:rsid w:val="00653914"/>
    <w:rsid w:val="006557A2"/>
    <w:rsid w:val="00662270"/>
    <w:rsid w:val="0066241A"/>
    <w:rsid w:val="00665CCC"/>
    <w:rsid w:val="006668DF"/>
    <w:rsid w:val="006708D9"/>
    <w:rsid w:val="0067283F"/>
    <w:rsid w:val="0067420B"/>
    <w:rsid w:val="00674B41"/>
    <w:rsid w:val="00674F80"/>
    <w:rsid w:val="006755E5"/>
    <w:rsid w:val="00675B10"/>
    <w:rsid w:val="006769CB"/>
    <w:rsid w:val="00683697"/>
    <w:rsid w:val="00683846"/>
    <w:rsid w:val="00685DFA"/>
    <w:rsid w:val="006878A5"/>
    <w:rsid w:val="00694682"/>
    <w:rsid w:val="00697BC6"/>
    <w:rsid w:val="006A2BB3"/>
    <w:rsid w:val="006A7195"/>
    <w:rsid w:val="006B248F"/>
    <w:rsid w:val="006B3693"/>
    <w:rsid w:val="006C0B33"/>
    <w:rsid w:val="006C4331"/>
    <w:rsid w:val="006E0DDD"/>
    <w:rsid w:val="006E2097"/>
    <w:rsid w:val="006E2597"/>
    <w:rsid w:val="006E48A1"/>
    <w:rsid w:val="006E6E92"/>
    <w:rsid w:val="006E7712"/>
    <w:rsid w:val="006F284E"/>
    <w:rsid w:val="006F4B55"/>
    <w:rsid w:val="006F4D84"/>
    <w:rsid w:val="006F68AE"/>
    <w:rsid w:val="006F7911"/>
    <w:rsid w:val="00701E23"/>
    <w:rsid w:val="00704DDC"/>
    <w:rsid w:val="00706C88"/>
    <w:rsid w:val="0071068D"/>
    <w:rsid w:val="007159D8"/>
    <w:rsid w:val="00717EB6"/>
    <w:rsid w:val="0072217D"/>
    <w:rsid w:val="00722883"/>
    <w:rsid w:val="007238BD"/>
    <w:rsid w:val="00723B00"/>
    <w:rsid w:val="00725F4D"/>
    <w:rsid w:val="0072711A"/>
    <w:rsid w:val="00730B05"/>
    <w:rsid w:val="00733DDA"/>
    <w:rsid w:val="00735DE8"/>
    <w:rsid w:val="00735F4A"/>
    <w:rsid w:val="0074028E"/>
    <w:rsid w:val="00746B9A"/>
    <w:rsid w:val="00747AAF"/>
    <w:rsid w:val="00750F23"/>
    <w:rsid w:val="00751078"/>
    <w:rsid w:val="00751FDA"/>
    <w:rsid w:val="00755B68"/>
    <w:rsid w:val="00757E82"/>
    <w:rsid w:val="0076246D"/>
    <w:rsid w:val="00762721"/>
    <w:rsid w:val="007711C5"/>
    <w:rsid w:val="0078231C"/>
    <w:rsid w:val="007829B7"/>
    <w:rsid w:val="007872DC"/>
    <w:rsid w:val="00787F60"/>
    <w:rsid w:val="0079105B"/>
    <w:rsid w:val="007A5199"/>
    <w:rsid w:val="007B51A0"/>
    <w:rsid w:val="007C1FF4"/>
    <w:rsid w:val="007C4676"/>
    <w:rsid w:val="007C5130"/>
    <w:rsid w:val="007C5779"/>
    <w:rsid w:val="007D01DB"/>
    <w:rsid w:val="007D16F9"/>
    <w:rsid w:val="007E28F4"/>
    <w:rsid w:val="007E2F1E"/>
    <w:rsid w:val="007E2FC2"/>
    <w:rsid w:val="007E4353"/>
    <w:rsid w:val="007E58C1"/>
    <w:rsid w:val="007E6B72"/>
    <w:rsid w:val="007F0A04"/>
    <w:rsid w:val="007F29DB"/>
    <w:rsid w:val="007F3B62"/>
    <w:rsid w:val="007F444C"/>
    <w:rsid w:val="007F7C72"/>
    <w:rsid w:val="008024DB"/>
    <w:rsid w:val="008058CD"/>
    <w:rsid w:val="00806A24"/>
    <w:rsid w:val="00806C0A"/>
    <w:rsid w:val="00811B8A"/>
    <w:rsid w:val="00812294"/>
    <w:rsid w:val="008153A9"/>
    <w:rsid w:val="00817474"/>
    <w:rsid w:val="008269BC"/>
    <w:rsid w:val="00835B5C"/>
    <w:rsid w:val="0084533E"/>
    <w:rsid w:val="00850E5A"/>
    <w:rsid w:val="00851303"/>
    <w:rsid w:val="00853109"/>
    <w:rsid w:val="00860D4C"/>
    <w:rsid w:val="00867DF1"/>
    <w:rsid w:val="00871B88"/>
    <w:rsid w:val="008810A7"/>
    <w:rsid w:val="00884BDE"/>
    <w:rsid w:val="00885677"/>
    <w:rsid w:val="00887C22"/>
    <w:rsid w:val="0089555B"/>
    <w:rsid w:val="008A5A1B"/>
    <w:rsid w:val="008B292C"/>
    <w:rsid w:val="008B2A9A"/>
    <w:rsid w:val="008C0CDD"/>
    <w:rsid w:val="008C64BA"/>
    <w:rsid w:val="008C66F0"/>
    <w:rsid w:val="008C6E4E"/>
    <w:rsid w:val="008D6ECF"/>
    <w:rsid w:val="008E0CBD"/>
    <w:rsid w:val="008E4FF4"/>
    <w:rsid w:val="008E5025"/>
    <w:rsid w:val="008E5793"/>
    <w:rsid w:val="008E6305"/>
    <w:rsid w:val="008E7659"/>
    <w:rsid w:val="008F0F46"/>
    <w:rsid w:val="00902DC4"/>
    <w:rsid w:val="00903ECF"/>
    <w:rsid w:val="0091151E"/>
    <w:rsid w:val="00915C07"/>
    <w:rsid w:val="0091732A"/>
    <w:rsid w:val="00917FD1"/>
    <w:rsid w:val="00923F5C"/>
    <w:rsid w:val="00925362"/>
    <w:rsid w:val="0092607F"/>
    <w:rsid w:val="009262D8"/>
    <w:rsid w:val="00926EF9"/>
    <w:rsid w:val="00935E1B"/>
    <w:rsid w:val="00935FE3"/>
    <w:rsid w:val="00936A3F"/>
    <w:rsid w:val="00936EB4"/>
    <w:rsid w:val="00940F1F"/>
    <w:rsid w:val="00945DB0"/>
    <w:rsid w:val="009470AA"/>
    <w:rsid w:val="0095207F"/>
    <w:rsid w:val="00960C4B"/>
    <w:rsid w:val="0096461D"/>
    <w:rsid w:val="00967176"/>
    <w:rsid w:val="009756E2"/>
    <w:rsid w:val="009763BC"/>
    <w:rsid w:val="0097695E"/>
    <w:rsid w:val="00980418"/>
    <w:rsid w:val="009811D2"/>
    <w:rsid w:val="00985323"/>
    <w:rsid w:val="00985CD1"/>
    <w:rsid w:val="009A0427"/>
    <w:rsid w:val="009A0640"/>
    <w:rsid w:val="009A13BF"/>
    <w:rsid w:val="009A7936"/>
    <w:rsid w:val="009B2EC6"/>
    <w:rsid w:val="009B4108"/>
    <w:rsid w:val="009C133E"/>
    <w:rsid w:val="009C420C"/>
    <w:rsid w:val="009C4DFC"/>
    <w:rsid w:val="009C631D"/>
    <w:rsid w:val="009C686B"/>
    <w:rsid w:val="009C6B4D"/>
    <w:rsid w:val="009D1286"/>
    <w:rsid w:val="009D3302"/>
    <w:rsid w:val="009D3D91"/>
    <w:rsid w:val="009D4BB9"/>
    <w:rsid w:val="009E0EEE"/>
    <w:rsid w:val="009E174D"/>
    <w:rsid w:val="009E541C"/>
    <w:rsid w:val="009E5E64"/>
    <w:rsid w:val="00A04BCD"/>
    <w:rsid w:val="00A067BE"/>
    <w:rsid w:val="00A123FC"/>
    <w:rsid w:val="00A12824"/>
    <w:rsid w:val="00A21058"/>
    <w:rsid w:val="00A226C9"/>
    <w:rsid w:val="00A23827"/>
    <w:rsid w:val="00A257E2"/>
    <w:rsid w:val="00A321EF"/>
    <w:rsid w:val="00A32F4C"/>
    <w:rsid w:val="00A34545"/>
    <w:rsid w:val="00A359B1"/>
    <w:rsid w:val="00A41F53"/>
    <w:rsid w:val="00A429FA"/>
    <w:rsid w:val="00A508FB"/>
    <w:rsid w:val="00A61314"/>
    <w:rsid w:val="00A7366B"/>
    <w:rsid w:val="00A90FA5"/>
    <w:rsid w:val="00A922D5"/>
    <w:rsid w:val="00A93FDF"/>
    <w:rsid w:val="00AA0D3A"/>
    <w:rsid w:val="00AA692A"/>
    <w:rsid w:val="00AB7A5E"/>
    <w:rsid w:val="00AC0E7A"/>
    <w:rsid w:val="00AC35F2"/>
    <w:rsid w:val="00AC40C1"/>
    <w:rsid w:val="00AC5281"/>
    <w:rsid w:val="00AC5391"/>
    <w:rsid w:val="00AD40FB"/>
    <w:rsid w:val="00AD489F"/>
    <w:rsid w:val="00AD6EF8"/>
    <w:rsid w:val="00AD72DF"/>
    <w:rsid w:val="00AD7A19"/>
    <w:rsid w:val="00AE2193"/>
    <w:rsid w:val="00AE3410"/>
    <w:rsid w:val="00AF0F6C"/>
    <w:rsid w:val="00AF1DB9"/>
    <w:rsid w:val="00AF3033"/>
    <w:rsid w:val="00AF5729"/>
    <w:rsid w:val="00B02B7F"/>
    <w:rsid w:val="00B03C6B"/>
    <w:rsid w:val="00B052C2"/>
    <w:rsid w:val="00B13258"/>
    <w:rsid w:val="00B15EB6"/>
    <w:rsid w:val="00B17F72"/>
    <w:rsid w:val="00B21BFD"/>
    <w:rsid w:val="00B21FB0"/>
    <w:rsid w:val="00B235E5"/>
    <w:rsid w:val="00B24DAC"/>
    <w:rsid w:val="00B27B52"/>
    <w:rsid w:val="00B27FFD"/>
    <w:rsid w:val="00B325C7"/>
    <w:rsid w:val="00B34E69"/>
    <w:rsid w:val="00B5031A"/>
    <w:rsid w:val="00B63571"/>
    <w:rsid w:val="00B63DC2"/>
    <w:rsid w:val="00B7608E"/>
    <w:rsid w:val="00B80AC0"/>
    <w:rsid w:val="00B81171"/>
    <w:rsid w:val="00B87D18"/>
    <w:rsid w:val="00B90E7B"/>
    <w:rsid w:val="00B92D86"/>
    <w:rsid w:val="00B940E1"/>
    <w:rsid w:val="00B953E2"/>
    <w:rsid w:val="00B96E1B"/>
    <w:rsid w:val="00B97D71"/>
    <w:rsid w:val="00BA18C0"/>
    <w:rsid w:val="00BA3040"/>
    <w:rsid w:val="00BB077A"/>
    <w:rsid w:val="00BB1F1B"/>
    <w:rsid w:val="00BB3261"/>
    <w:rsid w:val="00BB3E65"/>
    <w:rsid w:val="00BB47E1"/>
    <w:rsid w:val="00BB7177"/>
    <w:rsid w:val="00BC094C"/>
    <w:rsid w:val="00BC5040"/>
    <w:rsid w:val="00BD1EF2"/>
    <w:rsid w:val="00BD63EB"/>
    <w:rsid w:val="00BD67D7"/>
    <w:rsid w:val="00BF387F"/>
    <w:rsid w:val="00C02B7A"/>
    <w:rsid w:val="00C050C6"/>
    <w:rsid w:val="00C05D81"/>
    <w:rsid w:val="00C066B4"/>
    <w:rsid w:val="00C07470"/>
    <w:rsid w:val="00C07DC8"/>
    <w:rsid w:val="00C17A9C"/>
    <w:rsid w:val="00C17CB3"/>
    <w:rsid w:val="00C2405C"/>
    <w:rsid w:val="00C30165"/>
    <w:rsid w:val="00C51274"/>
    <w:rsid w:val="00C56377"/>
    <w:rsid w:val="00C6031C"/>
    <w:rsid w:val="00C710EE"/>
    <w:rsid w:val="00C728EF"/>
    <w:rsid w:val="00C72BD4"/>
    <w:rsid w:val="00C74421"/>
    <w:rsid w:val="00C842DF"/>
    <w:rsid w:val="00C852DA"/>
    <w:rsid w:val="00C856BA"/>
    <w:rsid w:val="00C92968"/>
    <w:rsid w:val="00C96715"/>
    <w:rsid w:val="00C96D58"/>
    <w:rsid w:val="00CA2F83"/>
    <w:rsid w:val="00CA4C46"/>
    <w:rsid w:val="00CA573A"/>
    <w:rsid w:val="00CA62C3"/>
    <w:rsid w:val="00CB2228"/>
    <w:rsid w:val="00CB6B67"/>
    <w:rsid w:val="00CC241E"/>
    <w:rsid w:val="00CD0A3F"/>
    <w:rsid w:val="00CD19C1"/>
    <w:rsid w:val="00CD49B2"/>
    <w:rsid w:val="00CE2077"/>
    <w:rsid w:val="00CF2AEA"/>
    <w:rsid w:val="00CF2BEE"/>
    <w:rsid w:val="00CF337E"/>
    <w:rsid w:val="00CF5839"/>
    <w:rsid w:val="00D0036D"/>
    <w:rsid w:val="00D131B2"/>
    <w:rsid w:val="00D170AC"/>
    <w:rsid w:val="00D20585"/>
    <w:rsid w:val="00D26436"/>
    <w:rsid w:val="00D27045"/>
    <w:rsid w:val="00D324DB"/>
    <w:rsid w:val="00D427CA"/>
    <w:rsid w:val="00D566E8"/>
    <w:rsid w:val="00D6169C"/>
    <w:rsid w:val="00D6766F"/>
    <w:rsid w:val="00D7608D"/>
    <w:rsid w:val="00D77622"/>
    <w:rsid w:val="00D82689"/>
    <w:rsid w:val="00D84BC4"/>
    <w:rsid w:val="00D873EF"/>
    <w:rsid w:val="00D9311B"/>
    <w:rsid w:val="00D96106"/>
    <w:rsid w:val="00D964F5"/>
    <w:rsid w:val="00D973AB"/>
    <w:rsid w:val="00DB015D"/>
    <w:rsid w:val="00DB0AB4"/>
    <w:rsid w:val="00DB63E6"/>
    <w:rsid w:val="00DC02E3"/>
    <w:rsid w:val="00DC0762"/>
    <w:rsid w:val="00DC52F8"/>
    <w:rsid w:val="00DC79EE"/>
    <w:rsid w:val="00DD2A83"/>
    <w:rsid w:val="00DD733E"/>
    <w:rsid w:val="00DE08E0"/>
    <w:rsid w:val="00DE1ABE"/>
    <w:rsid w:val="00DE2900"/>
    <w:rsid w:val="00DE3D24"/>
    <w:rsid w:val="00DE7B64"/>
    <w:rsid w:val="00DE7DA1"/>
    <w:rsid w:val="00DF1DBC"/>
    <w:rsid w:val="00DF2D74"/>
    <w:rsid w:val="00DF3A1E"/>
    <w:rsid w:val="00DF5434"/>
    <w:rsid w:val="00DF58A4"/>
    <w:rsid w:val="00DF71FB"/>
    <w:rsid w:val="00E0151C"/>
    <w:rsid w:val="00E0386E"/>
    <w:rsid w:val="00E05A9B"/>
    <w:rsid w:val="00E05BC2"/>
    <w:rsid w:val="00E06AC6"/>
    <w:rsid w:val="00E1604D"/>
    <w:rsid w:val="00E1762E"/>
    <w:rsid w:val="00E17FD9"/>
    <w:rsid w:val="00E22804"/>
    <w:rsid w:val="00E22BB4"/>
    <w:rsid w:val="00E24569"/>
    <w:rsid w:val="00E328C0"/>
    <w:rsid w:val="00E34F1C"/>
    <w:rsid w:val="00E36D9B"/>
    <w:rsid w:val="00E431E9"/>
    <w:rsid w:val="00E558CF"/>
    <w:rsid w:val="00E61B16"/>
    <w:rsid w:val="00E61C4A"/>
    <w:rsid w:val="00E64654"/>
    <w:rsid w:val="00E704AC"/>
    <w:rsid w:val="00E84909"/>
    <w:rsid w:val="00E86BF7"/>
    <w:rsid w:val="00E92B59"/>
    <w:rsid w:val="00E93309"/>
    <w:rsid w:val="00E93C46"/>
    <w:rsid w:val="00E945E0"/>
    <w:rsid w:val="00E95638"/>
    <w:rsid w:val="00E96DE2"/>
    <w:rsid w:val="00E97449"/>
    <w:rsid w:val="00EA5655"/>
    <w:rsid w:val="00EB22E2"/>
    <w:rsid w:val="00EC4848"/>
    <w:rsid w:val="00EC6F4F"/>
    <w:rsid w:val="00EC724D"/>
    <w:rsid w:val="00ED4AB0"/>
    <w:rsid w:val="00ED53F5"/>
    <w:rsid w:val="00EE7434"/>
    <w:rsid w:val="00EF1B92"/>
    <w:rsid w:val="00EF61ED"/>
    <w:rsid w:val="00EF797A"/>
    <w:rsid w:val="00F0012A"/>
    <w:rsid w:val="00F00F01"/>
    <w:rsid w:val="00F01FA3"/>
    <w:rsid w:val="00F033C6"/>
    <w:rsid w:val="00F10EB1"/>
    <w:rsid w:val="00F13EE5"/>
    <w:rsid w:val="00F1537F"/>
    <w:rsid w:val="00F159B0"/>
    <w:rsid w:val="00F15D67"/>
    <w:rsid w:val="00F17CE6"/>
    <w:rsid w:val="00F206AA"/>
    <w:rsid w:val="00F2436C"/>
    <w:rsid w:val="00F31DC5"/>
    <w:rsid w:val="00F41F29"/>
    <w:rsid w:val="00F46576"/>
    <w:rsid w:val="00F5034E"/>
    <w:rsid w:val="00F5082F"/>
    <w:rsid w:val="00F518E3"/>
    <w:rsid w:val="00F60343"/>
    <w:rsid w:val="00F661C1"/>
    <w:rsid w:val="00F67A4B"/>
    <w:rsid w:val="00F7384A"/>
    <w:rsid w:val="00F76412"/>
    <w:rsid w:val="00F81EC0"/>
    <w:rsid w:val="00F844DE"/>
    <w:rsid w:val="00F84ACD"/>
    <w:rsid w:val="00F909E1"/>
    <w:rsid w:val="00F90FEC"/>
    <w:rsid w:val="00F912BC"/>
    <w:rsid w:val="00F97E66"/>
    <w:rsid w:val="00F97FD5"/>
    <w:rsid w:val="00FA0672"/>
    <w:rsid w:val="00FB3526"/>
    <w:rsid w:val="00FD20D0"/>
    <w:rsid w:val="00FD2591"/>
    <w:rsid w:val="00FE288B"/>
    <w:rsid w:val="00FF2448"/>
    <w:rsid w:val="00FF2C81"/>
    <w:rsid w:val="00FF3C55"/>
    <w:rsid w:val="00FF4583"/>
    <w:rsid w:val="04861E76"/>
    <w:rsid w:val="16B71F86"/>
    <w:rsid w:val="39306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A0C94C"/>
  <w15:docId w15:val="{5DD0E838-D51C-4062-8E8D-5712F71F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3254</Words>
  <Characters>18554</Characters>
  <Application>Microsoft Office Word</Application>
  <DocSecurity>0</DocSecurity>
  <Lines>154</Lines>
  <Paragraphs>43</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130</cp:revision>
  <dcterms:created xsi:type="dcterms:W3CDTF">2022-05-09T07:36:00Z</dcterms:created>
  <dcterms:modified xsi:type="dcterms:W3CDTF">2022-08-30T03:23:00Z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C693E1D13B4B4F6981B00F7F0043CF11</vt:lpwstr>
  </property>
</Properties>
</file>