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May</w:t>
      </w:r>
      <w:r>
        <w:t xml:space="preserve"> </w:t>
      </w:r>
      <w:r>
        <w:t xml:space="preserve">25,</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4"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3"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BodyText"/>
      </w:pPr>
      <w:r>
        <w:t xml:space="preserve">表</w:t>
      </w:r>
      <w:r>
        <w:t xml:space="preserve"> </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3"/>
    <w:bookmarkEnd w:id="34"/>
    <w:bookmarkStart w:id="40" w:name="result"/>
    <w:p>
      <w:pPr>
        <w:pStyle w:val="Heading1"/>
      </w:pPr>
      <w:r>
        <w:rPr>
          <w:rStyle w:val="SectionNumber"/>
        </w:rPr>
        <w:t xml:space="preserve">3</w:t>
      </w:r>
      <w:r>
        <w:tab/>
      </w:r>
      <w:r>
        <w:t xml:space="preserve">Experimental Results</w:t>
      </w:r>
    </w:p>
    <w:bookmarkStart w:id="39"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表</w:t>
      </w:r>
      <w:r>
        <w:t xml:space="preserve"> </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 </w:t>
      </w:r>
      <w:r>
        <w:t xml:space="preserve">）し、同様の結果を得ている（オッズ比の95%信頼区間が1を含んでいる）。</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Start w:id="38" w:name="refs"/>
    <w:bookmarkStart w:id="35"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35"/>
    <w:bookmarkStart w:id="37"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36">
        <w:r>
          <w:rPr>
            <w:rStyle w:val="Hyperlink"/>
          </w:rPr>
          <w:t xml:space="preserve">https://doi.org/10.11406/rinketsu.57.271</w:t>
        </w:r>
      </w:hyperlink>
      <w:r>
        <w:t xml:space="preserve">.</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一人が海外に在住していた。また、データ提供時点でコーディネーションが進行中であった潜在ドナーは104名いた。コーディネーションが進行中の潜在ドナーの比率は実験群間でバランスしている（F-value, p-value=</w:t>
      </w:r>
      <m:oMath>
        <m:r>
          <m:t>0.964</m:t>
        </m:r>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6" Target="https://doi.org/10.11406/rinketsu.57.271"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1406/rinketsu.57.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2023-05-25T11:45:38Z</dcterms:created>
  <dcterms:modified xsi:type="dcterms:W3CDTF">2023-05-25T11:45:38Z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May 25, 2023</vt:lpwstr>
  </property>
  <property fmtid="{D5CDD505-2E9C-101B-9397-08002B2CF9AE}" pid="4" name="output">
    <vt:lpwstr/>
  </property>
</Properties>
</file>