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0.png" ContentType="image/png"/>
  <Override PartName="/word/media/rId63.png" ContentType="image/png"/>
  <Override PartName="/word/media/rId77.png" ContentType="image/png"/>
  <Override PartName="/word/media/rId73.png" ContentType="image/png"/>
  <Override PartName="/word/media/rId57.png" ContentType="image/png"/>
  <Override PartName="/word/media/rId5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6月</w:t>
      </w:r>
      <w:r>
        <w:t xml:space="preserve"> </w:t>
      </w:r>
      <w:r>
        <w:t xml:space="preserve">19,</w:t>
      </w:r>
      <w:r>
        <w:t xml:space="preserve"> </w:t>
      </w:r>
      <w:r>
        <w:t xml:space="preserve">2023</w:t>
      </w:r>
    </w:p>
    <w:bookmarkStart w:id="24"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。したがって、移植までの期間を短くし、登録患者の移植到達率を高めることが重要である。</w:t>
      </w:r>
    </w:p>
    <w:p>
      <w:pPr>
        <w:pStyle w:val="BodyText"/>
      </w:pPr>
      <w:r>
        <w:t xml:space="preserve">移植率を高めるためのドナープールへの介入策は二種類ある。第一に、潜在ドナーの人数を増やして、マッチング確率を高めるような政策である。4人未満のドナーと合致する患者と比較して、200人以上のドナーと合致する患者の移植率は45%から74%に上昇する</w:t>
      </w:r>
      <w:r>
        <w:t xml:space="preserve">(Hirakawa et al. 2018)</w:t>
      </w:r>
      <w:r>
        <w:t xml:space="preserve">。しかしながら、</w:t>
      </w:r>
      <w:r>
        <w:t xml:space="preserve">Takanashi (2016)</w:t>
      </w:r>
      <w:r>
        <w:t xml:space="preserve"> </w:t>
      </w:r>
      <w:r>
        <w:t xml:space="preserve">によると、2000年から2015年にかけて潜在的なドナーの数は約二倍に増えたにもかかわらず、初回マッチング確率は5%程度しか増えていないので、潜在ドナーを増やすことの限界便益は小さい</w:t>
      </w:r>
      <w:r>
        <w:rPr>
          <w:rStyle w:val="FootnoteReference"/>
        </w:rPr>
        <w:footnoteReference w:id="21"/>
      </w:r>
      <w:r>
        <w:t xml:space="preserve">。</w:t>
      </w:r>
    </w:p>
    <w:p>
      <w:pPr>
        <w:pStyle w:val="BodyText"/>
      </w:pPr>
      <w:r>
        <w:t xml:space="preserve">第二の政策は提供に積極的な潜在ドナーの比率を高め、ドナープールの質を高める。</w:t>
      </w:r>
      <w:r>
        <w:t xml:space="preserve">Hirakawa et al. (2018)</w:t>
      </w:r>
      <w:r>
        <w:t xml:space="preserve"> </w:t>
      </w:r>
      <w:r>
        <w:t xml:space="preserve">はコーディネーションの多く（2004–2013年で実施されたコーディネーションの73%）はコーディネーションの第一過程である確認検査の前に中断しており、その多くは（不健康を含む）ドナー側の理由であることを明らかにしている。特に、若年ドナーほど健康理由でコーディネーションを中断する可能性が低く、それ以外の自身の理由でコーディネーションを中断する可能性が高い</w:t>
      </w:r>
      <w:r>
        <w:rPr>
          <w:rStyle w:val="FootnoteReference"/>
        </w:rPr>
        <w:footnoteReference w:id="22"/>
      </w:r>
      <w:r>
        <w:t xml:space="preserve">。不健康以外のドナー理由が本人の意向と相関しているのであれば、強い提供意向がある潜在ドナーを増やすことは移植到達率を高め、その限界便益は潜在ドナーを増やすことの限界便益よりも大きい高いだろう。</w:t>
      </w:r>
    </w:p>
    <w:p>
      <w:pPr>
        <w:pStyle w:val="BodyText"/>
      </w:pPr>
      <w:r>
        <w:t xml:space="preserve">そこで、本研究はドナープールの質を高める施策の一つとして、提供意向を高めるような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二つの新規のメッセージを加え、追加メッセージの効果を検証するフィールド実験をJMDPと協働で実施した。</w:t>
      </w:r>
    </w:p>
    <w:p>
      <w:pPr>
        <w:pStyle w:val="BodyText"/>
      </w:pPr>
      <w:r>
        <w:t xml:space="preserve">第一の新規メッセージは患者一人あたりのHLA適合ドナーの数が少ないという情報を提示した。同じHLA型を持つ他の潜在ドナーがプールに存在すれば、自身の提供はその適合ドナーと代替可能であり、自身の提供なしに患者の生存による効用を得られる。また、JMDPを介した移植は一人の患者に対して、複数のドナー（最大10人）がコーディネーションを同時に受ける。したがって、JMDPを介した移植は公共財の性質を有しており、一般的なHLAの型を持っている人ほど提供に消極的となるだろう。すなわち、JMDPを介した移植は標準的なフリーライド問題に直面している</w:t>
      </w:r>
      <w:r>
        <w:t xml:space="preserve">(Bergstrom, Garratt, and Sheehan-Connor 2009)</w:t>
      </w:r>
      <w:r>
        <w:t xml:space="preserve">。また、この問題は1人だけの協力行動で公共財が生産される状況を想定するボランティアのジレンマと本質的に同じである。ボランティアのジレンマでは、1人でも協力行動を取る確率がグループサイズによって減少することが理論的に予測され、その仮説は実験室実験でも確認されている</w:t>
      </w:r>
      <w:r>
        <w:t xml:space="preserve">(Diekmann 1985, 1986; Franzen 1999; Davis and Heller 2017)</w:t>
      </w:r>
      <w:r>
        <w:t xml:space="preserve">。また、JMDPのコーディネーションを経験した人に対するインタビュー研究</w:t>
      </w:r>
      <w:r>
        <w:t xml:space="preserve">(Kurosawa et al. 2022)</w:t>
      </w:r>
      <w:r>
        <w:t xml:space="preserve">によると、提供意向の低い人は「何人かいるドナーの1人」という意識を持っており、自身の提供が他者によって代替可能であることが提供意向の阻害要因であることを示している。ボランティアのジレンマとの重要な違いはJMDPの潜在ドナーは自身のHLA型や同時にコーディネーションを受けている人の数について知ることができないので、グループサイズを正確に把握できないことにある。したがって、潜在ドナーは代替可能な他のドナーの数について過度に多く見積もり、提供に消極的になる可能性がある。一つ目のメッセージはこの誤解から生じる行動を修正することを目的としている。</w:t>
      </w:r>
    </w:p>
    <w:p>
      <w:pPr>
        <w:pStyle w:val="BodyText"/>
      </w:pPr>
      <w:r>
        <w:t xml:space="preserve">第二のメッセージはドナーが早く見つかるほど患者の移植到達率を高められるという情報を提示した。この情報は患者への移植によって得られる効用が経時的に減衰していくことを示唆している。もしその効用水準が時間に対して一定であると誤解しているならば、今コストを支払ってコーディネーションを受けるよりも将来コストを支払ってコーディネーションを受けようと考えるはずである。同じ意思決定が将来でも生じ、適合通知への返信が遅れてしまう可能性がある。こうした問題は行動経済学における現在バイアスによる先延し行動と似たような問題である。先延ばし行動は将来の自分が価値を合理的に評価できると信じているが、実際はその時の効用を過剰に高く評価してしまうことで生じる。二つ目のメッセージは患者への移植によって得られる効用水準の経時的変化に関する誤解から生じる先延ばし行動を修正することを目的としている。</w:t>
      </w:r>
    </w:p>
    <w:p>
      <w:pPr>
        <w:pStyle w:val="BodyText"/>
      </w:pPr>
      <w:r>
        <w:t xml:space="preserve">我々は以上のメッセージの効果を検証するために、四つの実験群を作成した。一つ目の実験群は上記の二つのメッセージを追加していない標準的な適合通知を送付する（コントロール群）。第二・三の実験群はそれぞれ上記のメッセージを一つ追加した適合通知を送付する。第四の実験群は二つのメッセージを同時に追記した適合通知を送付する。我々は2021年9月から2022年2月の間に適合通知を受け取った11,154名の潜在ドナーを対象にフィールド実験を実施し、実験群を週単位のクラスターランダム化で実験参加者に割り当てた。我々はJMDPの協力のもと、コーディネーションデータを2022年6月末に受け取り、メッセージの効果を検証した。</w:t>
      </w:r>
    </w:p>
    <w:p>
      <w:pPr>
        <w:pStyle w:val="BodyText"/>
      </w:pPr>
      <w:r>
        <w:t xml:space="preserve">本研究の主要な結果は二つある。第一に、患者一人当たりのHLA適合ドナーが少ないという情報のみを提供することは20代男性の提供意向を高めたが、他の性・年代では提供意向に統計的に有意な影響を与えていない。第二に、ドナーが早く見つかるほど移植到達率を高められるという情報のみを与えることは20代女性の全体の返信率に影響を与えていないが、短期間の返信（4日以内）に正の影響を与えている</w:t>
      </w:r>
      <w:r>
        <w:rPr>
          <w:rStyle w:val="FootnoteReference"/>
        </w:rPr>
        <w:footnoteReference w:id="23"/>
      </w:r>
      <w:r>
        <w:t xml:space="preserve">。すなわち、この情報は返信行動そのものを促進しているよりむしろ、返信日数を短くしているといえる。このような効果は他の性・年代では確認されなかった。全体として、我々の介入は異質的である。</w:t>
      </w:r>
    </w:p>
    <w:p>
      <w:pPr>
        <w:pStyle w:val="BodyText"/>
      </w:pPr>
      <w:r>
        <w:t xml:space="preserve">本研究は情報提供によって骨髄バンクに登録した潜在ドナーの意向を高められることを示唆するものであり、これはJMDPを含めた世界中の骨髄ドナープログラムの実務的な洞察をもたらすものである。</w:t>
      </w:r>
    </w:p>
    <w:bookmarkEnd w:id="24"/>
    <w:bookmarkStart w:id="38" w:name="experiment"/>
    <w:p>
      <w:pPr>
        <w:pStyle w:val="Heading1"/>
      </w:pPr>
      <w:r>
        <w:rPr>
          <w:rStyle w:val="SectionNumber"/>
        </w:rPr>
        <w:t xml:space="preserve">2</w:t>
      </w:r>
      <w:r>
        <w:tab/>
      </w:r>
      <w:r>
        <w:t xml:space="preserve">Field Experiment</w:t>
      </w:r>
    </w:p>
    <w:bookmarkStart w:id="26"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5"/>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6"/>
    <w:bookmarkStart w:id="33"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8" name="Picture"/>
            <a:graphic>
              <a:graphicData uri="http://schemas.openxmlformats.org/drawingml/2006/picture">
                <pic:pic>
                  <pic:nvPicPr>
                    <pic:cNvPr descr="image/intervention.png" id="29" name="Picture"/>
                    <pic:cNvPicPr>
                      <a:picLocks noChangeArrowheads="1" noChangeAspect="1"/>
                    </pic:cNvPicPr>
                  </pic:nvPicPr>
                  <pic:blipFill>
                    <a:blip r:embed="rId27"/>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30" w:name="fig:message"/>
      <w:bookmarkEnd w:id="30"/>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31"/>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2" w:name="tab:assignment"/>
      <w:bookmarkEnd w:id="32"/>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3"/>
    <w:bookmarkStart w:id="37"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4"/>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5" w:name="tab:summary"/>
      <w:bookmarkEnd w:id="35"/>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robust standard errors for statistical inference.</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年齢を除く変数について実験群間で平均的に差がないので、実験群の割り当てはおおよそランダムである。ただし、年齢は群間でばらつきがある。実験群Cの平均年齢はコントロール群と比較して1歳程度若い。</w:t>
      </w:r>
    </w:p>
    <w:p>
      <w:pPr>
        <w:pStyle w:val="BodyText"/>
      </w:pPr>
      <w:r>
        <w:t xml:space="preserve">我々はどのような情報を潜在ドナー全員に与えるべきかに関心があるので、母集団全体の平均処置効果を識別したい。先決変数で条件づけたとき、実験群の割り当ては潜在成果変数（ある実験群が割り当てられたときに観察されるであろう成果変数）と独立であるはずなので、先決変数で条件づけた実験群間の平均値の差で平均処置効果を識別できる。したがって、我々は</w:t>
      </w:r>
      <m:oMath>
        <m:r>
          <m:t>m</m:t>
        </m:r>
      </m:oMath>
      <w:r>
        <w:t xml:space="preserve">月の</w:t>
      </w:r>
      <m:oMath>
        <m:r>
          <m:t>w</m:t>
        </m:r>
      </m:oMath>
      <w:r>
        <w:t xml:space="preserve">週に適合通知を受け取った個人</w:t>
      </w:r>
      <m:oMath>
        <m:r>
          <m:t>i</m:t>
        </m:r>
      </m:oMath>
      <w:r>
        <w:t xml:space="preserve">についての以下の線形確率モデルを推定する。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は個人属性ベクトルである。年末年始などの特定時期の共通のショックをコントロールするために、月および週のダミー変数</w:t>
      </w:r>
      <m:oMath>
        <m:sSub>
          <m:e>
            <m:r>
              <m:t>λ</m:t>
            </m:r>
          </m:e>
          <m:sub>
            <m:r>
              <m:t>m</m:t>
            </m:r>
          </m:sub>
        </m:sSub>
      </m:oMath>
      <w:r>
        <w:t xml:space="preserve">と</w:t>
      </w:r>
      <m:oMath>
        <m:sSub>
          <m:e>
            <m:r>
              <m:t>θ</m:t>
            </m:r>
          </m:e>
          <m:sub>
            <m:r>
              <m:t>w</m:t>
            </m:r>
          </m:sub>
        </m:sSub>
      </m:oMath>
      <w:r>
        <w:t xml:space="preserve">を加える。我々の関心のあるパラメータは</w:t>
      </w:r>
      <m:oMath>
        <m:d>
          <m:dPr>
            <m:begChr m:val="("/>
            <m:endChr m:val=")"/>
            <m:sepChr m:val=""/>
            <m:grow/>
          </m:dPr>
          <m:e>
            <m:sSub>
              <m:e>
                <m:r>
                  <m:t>β</m:t>
                </m:r>
              </m:e>
              <m:sub>
                <m:r>
                  <m:t>1</m:t>
                </m:r>
              </m:sub>
            </m:sSub>
            <m:r>
              <m:rPr>
                <m:sty m:val="p"/>
              </m:rPr>
              <m:t>,</m:t>
            </m:r>
            <m:sSub>
              <m:e>
                <m:r>
                  <m:t>β</m:t>
                </m:r>
              </m:e>
              <m:sub>
                <m:r>
                  <m:t>2</m:t>
                </m:r>
              </m:sub>
            </m:sSub>
            <m:r>
              <m:rPr>
                <m:sty m:val="p"/>
              </m:rPr>
              <m:t>,</m:t>
            </m:r>
            <m:sSub>
              <m:e>
                <m:r>
                  <m:t>β</m:t>
                </m:r>
              </m:e>
              <m:sub>
                <m:r>
                  <m:t>3</m:t>
                </m:r>
              </m:sub>
            </m:sSub>
          </m:e>
        </m:d>
      </m:oMath>
      <w:r>
        <w:t xml:space="preserve">である。固定効果を加えたとき、観察不可能な変数のクラスター（実験週）内の相関を生み出す原因はないと思われる。したがって、我々は推定値の統計的推論の際に頑健標準誤差を用いる</w:t>
      </w:r>
      <w:r>
        <w:rPr>
          <w:rStyle w:val="FootnoteReference"/>
        </w:rPr>
        <w:footnoteReference w:id="36"/>
      </w:r>
      <w:r>
        <w:t xml:space="preserve">。</w:t>
      </w:r>
    </w:p>
    <w:bookmarkEnd w:id="37"/>
    <w:bookmarkEnd w:id="38"/>
    <w:bookmarkStart w:id="68" w:name="result"/>
    <w:p>
      <w:pPr>
        <w:pStyle w:val="Heading1"/>
      </w:pPr>
      <w:r>
        <w:rPr>
          <w:rStyle w:val="SectionNumber"/>
        </w:rPr>
        <w:t xml:space="preserve">3</w:t>
      </w:r>
      <w:r>
        <w:tab/>
      </w:r>
      <w:r>
        <w:t xml:space="preserve">Experimental Results</w:t>
      </w:r>
    </w:p>
    <w:bookmarkStart w:id="44"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9" w:name="tab:reg-stock"/>
      <w:bookmarkEnd w:id="39"/>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41" name="Picture"/>
            <a:graphic>
              <a:graphicData uri="http://schemas.openxmlformats.org/drawingml/2006/picture">
                <pic:pic>
                  <pic:nvPicPr>
                    <pic:cNvPr descr="body_fe-TRUE_cluster-FALSE_se-stata_files/figure-docx/coefplot-reg-stock-subset-1.png" id="42" name="Picture"/>
                    <pic:cNvPicPr>
                      <a:picLocks noChangeArrowheads="1" noChangeAspect="1"/>
                    </pic:cNvPicPr>
                  </pic:nvPicPr>
                  <pic:blipFill>
                    <a:blip r:embed="rId40"/>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3" w:name="fig:coefplot-reg-stock-subset"/>
      <w:bookmarkEnd w:id="43"/>
      <w:r>
        <w:t xml:space="preserve">Figure 3.1: Effect on Reply and Intentions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次に、メッセージ効果の異質性を検証するために、我々はサンプルを性別と年齢層（30歳未満か否か）で4つのサブセットに分割し、各サブセットでメッセージ効果を推定する。図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は係数プロットである。結果として、若い男性グループで、確率メッセージを含む実験群BとDが返信率を約6ポイント（コントロール平均が</w:t>
      </w:r>
      <m:oMath>
        <m:r>
          <m:t>74.4</m:t>
        </m:r>
      </m:oMath>
      <w:r>
        <w:t xml:space="preserve">%なので、</w:t>
      </w:r>
      <m:oMath>
        <m:r>
          <m:t>8.06</m:t>
        </m:r>
      </m:oMath>
      <w:r>
        <w:t xml:space="preserve">%増加）高めており、これは統計的に5%水準で有意である。特に、確率メッセージのみを加えた実験群Bが正の意向を伴う返信を約10ポイント（コントロール平均が</w:t>
      </w:r>
      <m:oMath>
        <m:r>
          <m:t>38.6</m:t>
        </m:r>
      </m:oMath>
      <w:r>
        <w:t xml:space="preserve">%なので、</w:t>
      </w:r>
      <m:oMath>
        <m:r>
          <m:t>25.91</m:t>
        </m:r>
      </m:oMath>
      <w:r>
        <w:t xml:space="preserve">%増加）増やしており、これも統計的に1%水準で有意である（表</w:t>
      </w:r>
      <w:r>
        <w:t xml:space="preserve">3.6</w:t>
      </w:r>
      <w:r>
        <w:t xml:space="preserve">）。ただし、他の性・年代グループで、我々の介入は返信や意向に対して統計的に有意な効果をもたない。</w:t>
      </w:r>
    </w:p>
    <w:p>
      <w:pPr>
        <w:pStyle w:val="BodyText"/>
      </w:pPr>
      <w:r>
        <w:t xml:space="preserve">コントロール群において、適合通知に返信した若い男性の約50%が提供に積極的であり、これは他の性・年代グループの返信者の意向比率（60%）よりも低い。実験群B（確率メッセージ）は30歳未満の男性の返信者の意向比率を50%から60%に引き上げている。さらに、若い男性の移植成績は他の性・年代よりも良い。これらを総合すると、ドナーとして望ましい人の行動変容（コーディネーションの開始）を促しているという意味で、確率メッセージはコーディネーションの効率性を改善しているといえるだろう。</w:t>
      </w:r>
    </w:p>
    <w:bookmarkEnd w:id="44"/>
    <w:bookmarkStart w:id="51"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5"/>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7" name="Picture"/>
            <a:graphic>
              <a:graphicData uri="http://schemas.openxmlformats.org/drawingml/2006/picture">
                <pic:pic>
                  <pic:nvPicPr>
                    <pic:cNvPr descr="body_fe-TRUE_cluster-FALSE_se-stata_files/figure-docx/boxplot-rcf-int-1.png" id="48" name="Picture"/>
                    <pic:cNvPicPr>
                      <a:picLocks noChangeArrowheads="1" noChangeAspect="1"/>
                    </pic:cNvPicPr>
                  </pic:nvPicPr>
                  <pic:blipFill>
                    <a:blip r:embed="rId46"/>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9" w:name="fig:boxplot-rcf-int"/>
      <w:bookmarkEnd w:id="49"/>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3.1</w:t>
      </w:r>
      <w:r>
        <w:t xml:space="preserve">で示した線形確率モデルのサブサンプル分析の結果と近い値である（表</w:t>
      </w:r>
      <w:r>
        <w:t xml:space="preserve">3.8</w:t>
      </w:r>
      <w:r>
        <w:t xml:space="preserve">参照）。また、30–40代男性の一部に対して、実験群Bの効果は10ポイント以上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50" w:name="tab:rcf-int-corr"/>
      <w:bookmarkEnd w:id="50"/>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[-0.0423, -0.0349]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[0.0064, 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[-0.0184, -0.0091]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[0.0114, 0.0140]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[-0.0391, -0.0322]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 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 0.0097]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 0.0087]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[0.2886, 0.3757]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[0.3339, 0.3627]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[0.3112, 0.3880]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[0.3911, 0.4186]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0.6351***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[-0.0781, 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[0.3628, 0.4163]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[-0.1218, -0.0175]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[0.6048, 0.6654]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[0.6549, 0.8049]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[0.2913, 0.3378]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[0.8279, 0.9477]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[0.2514, 0.2908]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3.2</w:t>
      </w:r>
      <w:r>
        <w:t xml:space="preserve">の列(1)–(4)は実験群Dの予測処置効果を実験群BとCの予測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3.2</w:t>
      </w:r>
      <w:r>
        <w:t xml:space="preserve">の列(4)–(8)は実験群Dの予測処置効果を実験群Bの予測効果と実験群Cの予測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51"/>
    <w:bookmarkStart w:id="61"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53" name="Picture"/>
            <a:graphic>
              <a:graphicData uri="http://schemas.openxmlformats.org/drawingml/2006/picture">
                <pic:pic>
                  <pic:nvPicPr>
                    <pic:cNvPr descr="body_fe-TRUE_cluster-FALSE_se-stata_files/figure-docx/young-male-flow-1.png" id="54" name="Picture"/>
                    <pic:cNvPicPr>
                      <a:picLocks noChangeArrowheads="1" noChangeAspect="1"/>
                    </pic:cNvPicPr>
                  </pic:nvPicPr>
                  <pic:blipFill>
                    <a:blip r:embed="rId52"/>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5" w:name="fig:young-male-flow"/>
      <w:bookmarkEnd w:id="55"/>
      <w:r>
        <w:t xml:space="preserve">Figure 3.3: Effect on Reply within Specific Days after Sending Notification among 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w:t>
      </w:r>
      <w:r>
        <w:rPr>
          <w:rStyle w:val="FootnoteReference"/>
        </w:rPr>
        <w:footnoteReference w:id="56"/>
      </w:r>
      <w:r>
        <w:t xml:space="preserve">。図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58" name="Picture"/>
            <a:graphic>
              <a:graphicData uri="http://schemas.openxmlformats.org/drawingml/2006/picture">
                <pic:pic>
                  <pic:nvPicPr>
                    <pic:cNvPr descr="body_fe-TRUE_cluster-FALSE_se-stata_files/figure-docx/young-female-flow-1.png" id="59" name="Picture"/>
                    <pic:cNvPicPr>
                      <a:picLocks noChangeArrowheads="1" noChangeAspect="1"/>
                    </pic:cNvPicPr>
                  </pic:nvPicPr>
                  <pic:blipFill>
                    <a:blip r:embed="rId5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0" w:name="fig:young-female-flow"/>
      <w:bookmarkEnd w:id="60"/>
      <w:r>
        <w:t xml:space="preserve">Figure 3.4: Effect on Reply within Specific Days after Sending Notification among Females Less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この効果は28日以内の返信率でも維持している。すなわち、4–28日の返信率の変動はコントロール群と比較して同じである。そして、実験群Cの全体の返信率に対する点推定は3ポイントなので、この実験群は28日以降の返信率を3ポイント下げている。したがって、実験群Cは4日以内の返信率を高め、それ以降の返信率を若干減らしていることを示唆している。言い換えれば、Early Coordinationメッセージは30歳未満の女性の早期返信を促している。4日以内の返信の増加は正の意向を伴う返信と負の意向を伴う返信を同程度高めていることから生じている。</w:t>
      </w:r>
    </w:p>
    <w:p>
      <w:pPr>
        <w:pStyle w:val="BodyText"/>
      </w:pPr>
      <w:r>
        <w:t xml:space="preserve">また、Early Coordinationメッセージを含む実験群Dの返信への効果も実験群Cと同様の傾向である。また、実験群Cの結果と異なり、4日以内の返信の増加は正の意向を伴う返信のみの増加から生じている。</w:t>
      </w:r>
    </w:p>
    <w:bookmarkEnd w:id="61"/>
    <w:bookmarkStart w:id="67" w:name="process"/>
    <w:p>
      <w:pPr>
        <w:pStyle w:val="Heading2"/>
      </w:pPr>
      <w:r>
        <w:rPr>
          <w:rStyle w:val="SectionNumber"/>
        </w:rPr>
        <w:t xml:space="preserve">3.4</w:t>
      </w:r>
      <w:r>
        <w:tab/>
      </w:r>
      <w:r>
        <w:t xml:space="preserve">Effects on the Coordination Process</w:t>
      </w:r>
    </w:p>
    <w:p>
      <w:pPr>
        <w:pStyle w:val="FirstParagraph"/>
      </w:pPr>
      <w:r>
        <w:t xml:space="preserve">最後に、我々は適合通知への返信以降のコーディネーション過程の各工程への影響を検証する。第</w:t>
      </w:r>
      <w:r>
        <w:t xml:space="preserve">2.1</w:t>
      </w:r>
      <w:r>
        <w:t xml:space="preserve">節で説明したように、コーディネーション過程は確認検査・候補者選定・最終同意・提供の4つのステージからなる。我々は潜在ドナーが各ステージに到達したならば1を取るダミー変数をアウトカム変数として用いる。第</w:t>
      </w:r>
      <w:r>
        <w:t xml:space="preserve">3.1</w:t>
      </w:r>
      <w:r>
        <w:t xml:space="preserve">節の分析と同様に、我々は潜在ドナーの意思とは無関係にコーディネーションが中断したと思われるサンプルを除く。確認検査への効果を推定するとき、我々は患者側の理由で中断した事例を除外する。患者の意思は候補者選定時に最も健康なな潜在ドナーを選ぶ可能性が高いので、候補者選定以降でドナーの健康理由で中断した事例はドナーの意思と無関係に生じていると考えられる。よって、候補者選定・最終同意・提供に対する効果を推定するとき、我々は患者側の理由で中断したサンプルと候補者選定以降にドナーの健康理由で中断したサンプルを除く。ただし、サンプルの除外だけでは医者の意思決定を完全に取り除けないかもしれないので、解釈には注意を要する。コントロール群では、潜在ドナーの24%が確認検査を受けて、8%が候補者になり、6%が最終的に提供した。</w:t>
      </w:r>
    </w:p>
    <w:p>
      <w:pPr>
        <w:pStyle w:val="TableCaption"/>
      </w:pPr>
      <w:bookmarkStart w:id="62" w:name="tab:est-full-coordination"/>
      <w:bookmarkEnd w:id="62"/>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3.3</w:t>
      </w:r>
      <w:r>
        <w:t xml:space="preserve">はフルサンプルの推定結果を示している。その結果、確率メッセージを含む実験群BとDは確認検査の実施率を約3ポイント高めており、これは統計的に有意な効果である。この効果は実験群BとDの返信への効果よりも大きい。これは実験群BとDでは、健康理由を含むドナー側の都合でコーディネーションが中断する可能性がコントロール群と比較して小さいからである。したがって、実験群BとDは提供に積極的な人を増やしていないが、提供の意向を強固にしており、コーディネートの継続性に貢献していると考えられる。</w:t>
      </w:r>
    </w:p>
    <w:p>
      <w:pPr>
        <w:pStyle w:val="BodyText"/>
      </w:pPr>
      <w:r>
        <w:t xml:space="preserve">実験群BとDの候補者選定以降のステージに対する効果は1ポイント以下であり、統計的に非有意である。これは解釈に注意が必要である。我々の介入は需要（患者数）に影響を与えていないので、我々の介入によって確認検査に到達する人が増えたならば、その分だけ外生的な理由で候補者に選定されなかった人を増やしているはずである。実験群Bとコントロール群で、確認検査を実施した潜在ドナーはそれぞれ774人と564人である。すなわち、実験群Bは確認検査実施数を210件増やしたことになる。また、患者理由もしくはドナーの健康理由で候補者に選定されなかった人は実験群Bとコントロール群でそれぞれ556人と385人である。すなわち、実験群Bは外生的な理由で候補者に選定されなかった人を171人増やしている。したがって、推定値は我々の介入効果だけでなく幹細胞移植の需要の影響を含んでいる。</w:t>
      </w:r>
    </w:p>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64" name="Picture"/>
            <a:graphic>
              <a:graphicData uri="http://schemas.openxmlformats.org/drawingml/2006/picture">
                <pic:pic>
                  <pic:nvPicPr>
                    <pic:cNvPr descr="body_fe-TRUE_cluster-FALSE_se-stata_files/figure-docx/coefplot-reg-subsample-coordination-1.png" id="65" name="Picture"/>
                    <pic:cNvPicPr>
                      <a:picLocks noChangeArrowheads="1" noChangeAspect="1"/>
                    </pic:cNvPicPr>
                  </pic:nvPicPr>
                  <pic:blipFill>
                    <a:blip r:embed="rId6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6" w:name="fig:coefplot-reg-subsample-coordination"/>
      <w:bookmarkEnd w:id="66"/>
      <w:r>
        <w:t xml:space="preserve">Figure 3.5: Effect on Coordination by Gender and Age Group. Note: These plots show the average effect (and associated 95% confidential interval) on each outcome by gender and age group.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図</w:t>
      </w:r>
      <w:r>
        <w:t xml:space="preserve">3.5</w:t>
      </w:r>
      <w:r>
        <w:t xml:space="preserve">はサンプルを性別と年齢層（30歳未満か否か）で4つのサブセットに分割し、各サブセットでメッセージ効果を推定している。その結果、実験群Bは30歳未満の男性の確認検査到達比率を8ポイント程度高めており、統計的に有意である。したがって、実験群Bは30歳未満の男性の提供意向を高めるだけでなく、それを強固にしている可能性がある。また、実験群Bは30歳未満の男性の候補者選定・最終同意に統計的に有意な影響を与えていない。ただし、提供への効果は統計的に10%水準で有意である（表</w:t>
      </w:r>
      <w:r>
        <w:t xml:space="preserve">3.7</w:t>
      </w:r>
      <w:r>
        <w:t xml:space="preserve">）。先に述べたように、この効果は我々の介入効果だけでなく、幹細胞移植の需要を反映していると考えられる。若い男性ほど移植成績が良いならば、この世代の幹細胞移植の需要は他の性・年代よりも高いかもしれない。提供への効果はこの影響を含んでいるかもしれない。</w:t>
      </w:r>
    </w:p>
    <w:bookmarkEnd w:id="67"/>
    <w:bookmarkEnd w:id="68"/>
    <w:bookmarkStart w:id="110" w:name="appendix"/>
    <w:p>
      <w:pPr>
        <w:pStyle w:val="Heading1"/>
      </w:pPr>
      <w:r>
        <w:t xml:space="preserve">Appendix</w:t>
      </w:r>
    </w:p>
    <w:p>
      <w:pPr>
        <w:pStyle w:val="TableCaption"/>
      </w:pPr>
      <w:bookmarkStart w:id="69" w:name="tab:logit-stock"/>
      <w:bookmarkEnd w:id="69"/>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0" w:name="tab:logit-coordination"/>
      <w:bookmarkEnd w:id="70"/>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1" w:name="tab:reg-young-male-stock"/>
      <w:bookmarkEnd w:id="71"/>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72" w:name="tab:reg-young-male-coordination"/>
      <w:bookmarkEnd w:id="72"/>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robust standard errors are reported in parentheses.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TRUE_cluster-FALSE_se-stata_files/figure-docx/old-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male-flow"/>
      <w:bookmarkEnd w:id="76"/>
      <w:r>
        <w:t xml:space="preserve">Figure 3.6: Effect on Reply within Specific Days after Sending Notification among 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 title="" id="78" name="Picture"/>
            <a:graphic>
              <a:graphicData uri="http://schemas.openxmlformats.org/drawingml/2006/picture">
                <pic:pic>
                  <pic:nvPicPr>
                    <pic:cNvPr descr="body_fe-TRUE_cluster-FALSE_se-stata_files/figure-docx/old-female-flow-1.png" id="79" name="Picture"/>
                    <pic:cNvPicPr>
                      <a:picLocks noChangeArrowheads="1" noChangeAspect="1"/>
                    </pic:cNvPicPr>
                  </pic:nvPicPr>
                  <pic:blipFill>
                    <a:blip r:embed="rId7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80" w:name="fig:old-female-flow"/>
      <w:bookmarkEnd w:id="80"/>
      <w:r>
        <w:t xml:space="preserve">Figure 3.7: Effect on Reply within Specific Days after Sending Notification among Females More than 30. Notes: These plots show the average effect (and associated 95% confidential interval) on each outcome. We use robust standard errors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81" w:name="tab:rcf-int-cate"/>
      <w:bookmarkEnd w:id="81"/>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0.245</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0.679</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0.324</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109" w:name="refs"/>
    <w:bookmarkStart w:id="83"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82">
        <w:r>
          <w:rPr>
            <w:rStyle w:val="Hyperlink"/>
          </w:rPr>
          <w:t xml:space="preserve">https://doi.org/10.1073/pnas.1510489113</w:t>
        </w:r>
      </w:hyperlink>
      <w:r>
        <w:t xml:space="preserve">.</w:t>
      </w:r>
    </w:p>
    <w:bookmarkEnd w:id="83"/>
    <w:bookmarkStart w:id="85" w:name="ref-Athey2019b"/>
    <w:p>
      <w:pPr>
        <w:pStyle w:val="Bibliography"/>
      </w:pPr>
      <w:r>
        <w:t xml:space="preserve">Athey, Susan, Julie Tibshirani, and Stefan Wager. 2019.</w:t>
      </w:r>
      <w:r>
        <w:t xml:space="preserve"> </w:t>
      </w:r>
      <w:r>
        <w:t xml:space="preserve">“Generalized Random Forests.”</w:t>
      </w:r>
      <w:r>
        <w:t xml:space="preserve"> </w:t>
      </w:r>
      <w:r>
        <w:rPr>
          <w:iCs/>
          <w:i/>
        </w:rPr>
        <w:t xml:space="preserve">The Annals of Statistics</w:t>
      </w:r>
      <w:r>
        <w:t xml:space="preserve"> </w:t>
      </w:r>
      <w:r>
        <w:t xml:space="preserve">47 (2).</w:t>
      </w:r>
      <w:r>
        <w:t xml:space="preserve"> </w:t>
      </w:r>
      <w:hyperlink r:id="rId84">
        <w:r>
          <w:rPr>
            <w:rStyle w:val="Hyperlink"/>
          </w:rPr>
          <w:t xml:space="preserve">https://doi.org/10.1214/18-AOS1709</w:t>
        </w:r>
      </w:hyperlink>
      <w:r>
        <w:t xml:space="preserve">.</w:t>
      </w:r>
    </w:p>
    <w:bookmarkEnd w:id="85"/>
    <w:bookmarkStart w:id="87"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6">
        <w:r>
          <w:rPr>
            <w:rStyle w:val="Hyperlink"/>
          </w:rPr>
          <w:t xml:space="preserve">https://doi.org/10.1353/obs.2019.0001</w:t>
        </w:r>
      </w:hyperlink>
      <w:r>
        <w:t xml:space="preserve">.</w:t>
      </w:r>
    </w:p>
    <w:bookmarkEnd w:id="87"/>
    <w:bookmarkStart w:id="89" w:name="ref-Bergstrom2009"/>
    <w:p>
      <w:pPr>
        <w:pStyle w:val="Bibliography"/>
      </w:pPr>
      <w:r>
        <w:t xml:space="preserve">Bergstrom, Theodore C, Rodney J Garratt, and Damien Sheehan-Connor. 2009.</w:t>
      </w:r>
      <w:r>
        <w:t xml:space="preserve"> </w:t>
      </w:r>
      <w:r>
        <w:t xml:space="preserve">“One</w:t>
      </w:r>
      <w:r>
        <w:t xml:space="preserve"> </w:t>
      </w:r>
      <w:r>
        <w:t xml:space="preserve">Chance</w:t>
      </w:r>
      <w:r>
        <w:t xml:space="preserve"> </w:t>
      </w:r>
      <w:r>
        <w:t xml:space="preserve">in a</w:t>
      </w:r>
      <w:r>
        <w:t xml:space="preserve"> </w:t>
      </w:r>
      <w:r>
        <w:t xml:space="preserve">Million</w:t>
      </w:r>
      <w:r>
        <w:t xml:space="preserve">:</w:t>
      </w:r>
      <w:r>
        <w:t xml:space="preserve"> </w:t>
      </w:r>
      <w:r>
        <w:t xml:space="preserve">Altruism</w:t>
      </w:r>
      <w:r>
        <w:t xml:space="preserve"> </w:t>
      </w:r>
      <w:r>
        <w:t xml:space="preserve">and the</w:t>
      </w:r>
      <w:r>
        <w:t xml:space="preserve"> </w:t>
      </w:r>
      <w:r>
        <w:t xml:space="preserve">Bone Marrow Registry</w:t>
      </w:r>
      <w:r>
        <w:t xml:space="preserve">.”</w:t>
      </w:r>
      <w:r>
        <w:t xml:space="preserve"> </w:t>
      </w:r>
      <w:r>
        <w:rPr>
          <w:iCs/>
          <w:i/>
        </w:rPr>
        <w:t xml:space="preserve">American Economic Review</w:t>
      </w:r>
      <w:r>
        <w:t xml:space="preserve"> </w:t>
      </w:r>
      <w:r>
        <w:t xml:space="preserve">99 (4): 1309–34.</w:t>
      </w:r>
      <w:r>
        <w:t xml:space="preserve"> </w:t>
      </w:r>
      <w:hyperlink r:id="rId88">
        <w:r>
          <w:rPr>
            <w:rStyle w:val="Hyperlink"/>
          </w:rPr>
          <w:t xml:space="preserve">https://doi.org/10.1257/aer.99.4.1309</w:t>
        </w:r>
      </w:hyperlink>
      <w:r>
        <w:t xml:space="preserve">.</w:t>
      </w:r>
    </w:p>
    <w:bookmarkEnd w:id="89"/>
    <w:bookmarkStart w:id="91"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90">
        <w:r>
          <w:rPr>
            <w:rStyle w:val="Hyperlink"/>
          </w:rPr>
          <w:t xml:space="preserve">https://doi.org/10.3982/ECTA17458</w:t>
        </w:r>
      </w:hyperlink>
      <w:r>
        <w:t xml:space="preserve">.</w:t>
      </w:r>
    </w:p>
    <w:bookmarkEnd w:id="91"/>
    <w:bookmarkStart w:id="93"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92">
        <w:r>
          <w:rPr>
            <w:rStyle w:val="Hyperlink"/>
          </w:rPr>
          <w:t xml:space="preserve">https://doi.org/10.1257/aer.p20171000</w:t>
        </w:r>
      </w:hyperlink>
      <w:r>
        <w:t xml:space="preserve">.</w:t>
      </w:r>
    </w:p>
    <w:bookmarkEnd w:id="93"/>
    <w:bookmarkStart w:id="95" w:name="ref-Diekmann1985"/>
    <w:p>
      <w:pPr>
        <w:pStyle w:val="Bibliography"/>
      </w:pPr>
      <w:r>
        <w:t xml:space="preserve">Diekmann, Andreas. 1985.</w:t>
      </w:r>
      <w:r>
        <w:t xml:space="preserve"> </w:t>
      </w:r>
      <w:r>
        <w:t xml:space="preserve">“Volunteer’s</w:t>
      </w:r>
      <w:r>
        <w:t xml:space="preserve"> </w:t>
      </w:r>
      <w:r>
        <w:t xml:space="preserve">Dilemma</w:t>
      </w:r>
      <w:r>
        <w:t xml:space="preserve">.”</w:t>
      </w:r>
      <w:r>
        <w:t xml:space="preserve"> </w:t>
      </w:r>
      <w:r>
        <w:rPr>
          <w:iCs/>
          <w:i/>
        </w:rPr>
        <w:t xml:space="preserve">Journal of Conflict Resolution</w:t>
      </w:r>
      <w:r>
        <w:t xml:space="preserve"> </w:t>
      </w:r>
      <w:r>
        <w:t xml:space="preserve">29 (4): 605–10.</w:t>
      </w:r>
      <w:r>
        <w:t xml:space="preserve"> </w:t>
      </w:r>
      <w:hyperlink r:id="rId94">
        <w:r>
          <w:rPr>
            <w:rStyle w:val="Hyperlink"/>
          </w:rPr>
          <w:t xml:space="preserve">https://doi.org/10.1177/0022002785029004003</w:t>
        </w:r>
      </w:hyperlink>
      <w:r>
        <w:t xml:space="preserve">.</w:t>
      </w:r>
    </w:p>
    <w:bookmarkEnd w:id="95"/>
    <w:bookmarkStart w:id="97" w:name="ref-Diekmann1986"/>
    <w:p>
      <w:pPr>
        <w:pStyle w:val="Bibliography"/>
      </w:pPr>
      <w:r>
        <w:t xml:space="preserve">———. 1986.</w:t>
      </w:r>
      <w:r>
        <w:t xml:space="preserve"> </w:t>
      </w:r>
      <w:r>
        <w:t xml:space="preserve">“Volunteer’s</w:t>
      </w:r>
      <w:r>
        <w:t xml:space="preserve"> </w:t>
      </w:r>
      <w:r>
        <w:t xml:space="preserve">Dilemma</w:t>
      </w:r>
      <w:r>
        <w:t xml:space="preserve">.</w:t>
      </w:r>
      <w:r>
        <w:t xml:space="preserve"> </w:t>
      </w:r>
      <w:r>
        <w:t xml:space="preserve">A Social Trap</w:t>
      </w:r>
      <w:r>
        <w:t xml:space="preserve"> </w:t>
      </w:r>
      <w:r>
        <w:t xml:space="preserve">Without a</w:t>
      </w:r>
      <w:r>
        <w:t xml:space="preserve"> </w:t>
      </w:r>
      <w:r>
        <w:t xml:space="preserve">Dominant Strategy</w:t>
      </w:r>
      <w:r>
        <w:t xml:space="preserve"> </w:t>
      </w:r>
      <w:r>
        <w:t xml:space="preserve">and Some</w:t>
      </w:r>
      <w:r>
        <w:t xml:space="preserve"> </w:t>
      </w:r>
      <w:r>
        <w:t xml:space="preserve">Empirical Results</w:t>
      </w:r>
      <w:r>
        <w:t xml:space="preserve">.”</w:t>
      </w:r>
      <w:r>
        <w:t xml:space="preserve"> </w:t>
      </w:r>
      <w:r>
        <w:t xml:space="preserve">In</w:t>
      </w:r>
      <w:r>
        <w:t xml:space="preserve"> </w:t>
      </w:r>
      <w:r>
        <w:rPr>
          <w:iCs/>
          <w:i/>
        </w:rPr>
        <w:t xml:space="preserve">Paradoxical</w:t>
      </w:r>
      <w:r>
        <w:rPr>
          <w:iCs/>
          <w:i/>
        </w:rPr>
        <w:t xml:space="preserve"> </w:t>
      </w:r>
      <w:r>
        <w:rPr>
          <w:iCs/>
          <w:i/>
        </w:rPr>
        <w:t xml:space="preserve">Effects</w:t>
      </w:r>
      <w:r>
        <w:rPr>
          <w:iCs/>
          <w:i/>
        </w:rPr>
        <w:t xml:space="preserve"> </w:t>
      </w:r>
      <w:r>
        <w:rPr>
          <w:iCs/>
          <w:i/>
        </w:rPr>
        <w:t xml:space="preserve">of</w:t>
      </w:r>
      <w:r>
        <w:rPr>
          <w:iCs/>
          <w:i/>
        </w:rPr>
        <w:t xml:space="preserve"> </w:t>
      </w:r>
      <w:r>
        <w:rPr>
          <w:iCs/>
          <w:i/>
        </w:rPr>
        <w:t xml:space="preserve">Social Behavior</w:t>
      </w:r>
      <w:r>
        <w:t xml:space="preserve">, edited by Andreas Diekmann and Peter Mitter, 187–97.</w:t>
      </w:r>
      <w:r>
        <w:t xml:space="preserve"> </w:t>
      </w:r>
      <w:r>
        <w:t xml:space="preserve">Heidelberg</w:t>
      </w:r>
      <w:r>
        <w:t xml:space="preserve">:</w:t>
      </w:r>
      <w:r>
        <w:t xml:space="preserve"> </w:t>
      </w:r>
      <w:r>
        <w:t xml:space="preserve">Physica Heidelberg</w:t>
      </w:r>
      <w:r>
        <w:t xml:space="preserve">.</w:t>
      </w:r>
      <w:r>
        <w:t xml:space="preserve"> </w:t>
      </w:r>
      <w:hyperlink r:id="rId96">
        <w:r>
          <w:rPr>
            <w:rStyle w:val="Hyperlink"/>
          </w:rPr>
          <w:t xml:space="preserve">https://doi.org/10.1007/978-3-642-95874-8_13</w:t>
        </w:r>
      </w:hyperlink>
      <w:r>
        <w:t xml:space="preserve">.</w:t>
      </w:r>
    </w:p>
    <w:bookmarkEnd w:id="97"/>
    <w:bookmarkStart w:id="99" w:name="ref-Franzen1999"/>
    <w:p>
      <w:pPr>
        <w:pStyle w:val="Bibliography"/>
      </w:pPr>
      <w:r>
        <w:t xml:space="preserve">Franzen, Axel. 1999.</w:t>
      </w:r>
      <w:r>
        <w:t xml:space="preserve"> </w:t>
      </w:r>
      <w:r>
        <w:t xml:space="preserve">“The</w:t>
      </w:r>
      <w:r>
        <w:t xml:space="preserve"> </w:t>
      </w:r>
      <w:r>
        <w:t xml:space="preserve">Volunteer</w:t>
      </w:r>
      <w:r>
        <w:t xml:space="preserve">’s</w:t>
      </w:r>
      <w:r>
        <w:t xml:space="preserve"> </w:t>
      </w:r>
      <w:r>
        <w:t xml:space="preserve">Dilemma</w:t>
      </w:r>
      <w:r>
        <w:t xml:space="preserve">:</w:t>
      </w:r>
      <w:r>
        <w:t xml:space="preserve"> </w:t>
      </w:r>
      <w:r>
        <w:t xml:space="preserve">Theoretical Models</w:t>
      </w:r>
      <w:r>
        <w:t xml:space="preserve"> </w:t>
      </w:r>
      <w:r>
        <w:t xml:space="preserve">and</w:t>
      </w:r>
      <w:r>
        <w:t xml:space="preserve"> </w:t>
      </w:r>
      <w:r>
        <w:t xml:space="preserve">Empirical Evidence</w:t>
      </w:r>
      <w:r>
        <w:t xml:space="preserve">.”</w:t>
      </w:r>
      <w:r>
        <w:t xml:space="preserve"> </w:t>
      </w:r>
      <w:r>
        <w:t xml:space="preserve">In</w:t>
      </w:r>
      <w:r>
        <w:t xml:space="preserve"> </w:t>
      </w:r>
      <w:r>
        <w:rPr>
          <w:iCs/>
          <w:i/>
        </w:rPr>
        <w:t xml:space="preserve">Resolving</w:t>
      </w:r>
      <w:r>
        <w:rPr>
          <w:iCs/>
          <w:i/>
        </w:rPr>
        <w:t xml:space="preserve"> </w:t>
      </w:r>
      <w:r>
        <w:rPr>
          <w:iCs/>
          <w:i/>
        </w:rPr>
        <w:t xml:space="preserve">Social Dilemmas</w:t>
      </w:r>
      <w:r>
        <w:rPr>
          <w:iCs/>
          <w:i/>
        </w:rPr>
        <w:t xml:space="preserve">:</w:t>
      </w:r>
      <w:r>
        <w:rPr>
          <w:iCs/>
          <w:i/>
        </w:rPr>
        <w:t xml:space="preserve"> </w:t>
      </w:r>
      <w:r>
        <w:rPr>
          <w:iCs/>
          <w:i/>
        </w:rPr>
        <w:t xml:space="preserve">Dynamic</w:t>
      </w:r>
      <w:r>
        <w:rPr>
          <w:iCs/>
          <w:i/>
        </w:rPr>
        <w:t xml:space="preserve">,</w:t>
      </w:r>
      <w:r>
        <w:rPr>
          <w:iCs/>
          <w:i/>
        </w:rPr>
        <w:t xml:space="preserve"> </w:t>
      </w:r>
      <w:r>
        <w:rPr>
          <w:iCs/>
          <w:i/>
        </w:rPr>
        <w:t xml:space="preserve">Structural</w:t>
      </w:r>
      <w:r>
        <w:rPr>
          <w:iCs/>
          <w:i/>
        </w:rPr>
        <w:t xml:space="preserve">, and</w:t>
      </w:r>
      <w:r>
        <w:rPr>
          <w:iCs/>
          <w:i/>
        </w:rPr>
        <w:t xml:space="preserve"> </w:t>
      </w:r>
      <w:r>
        <w:rPr>
          <w:iCs/>
          <w:i/>
        </w:rPr>
        <w:t xml:space="preserve">Intergroup Aspects</w:t>
      </w:r>
      <w:r>
        <w:t xml:space="preserve">, edited by Margaret Foddy, Michael Smithson, Sherry Schneider, and Michael A. Hogg, First.</w:t>
      </w:r>
      <w:r>
        <w:t xml:space="preserve"> </w:t>
      </w:r>
      <w:r>
        <w:t xml:space="preserve">New York</w:t>
      </w:r>
      <w:r>
        <w:t xml:space="preserve">:</w:t>
      </w:r>
      <w:r>
        <w:t xml:space="preserve"> </w:t>
      </w:r>
      <w:r>
        <w:t xml:space="preserve">Psychology Press</w:t>
      </w:r>
      <w:r>
        <w:t xml:space="preserve">.</w:t>
      </w:r>
      <w:r>
        <w:t xml:space="preserve"> </w:t>
      </w:r>
      <w:hyperlink r:id="rId98">
        <w:r>
          <w:rPr>
            <w:rStyle w:val="Hyperlink"/>
          </w:rPr>
          <w:t xml:space="preserve">https://doi.org/10.4324/9780203776001</w:t>
        </w:r>
      </w:hyperlink>
      <w:r>
        <w:t xml:space="preserve">.</w:t>
      </w:r>
    </w:p>
    <w:bookmarkEnd w:id="99"/>
    <w:bookmarkStart w:id="100"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100"/>
    <w:bookmarkStart w:id="102" w:name="ref-Kurosawa2022"/>
    <w:p>
      <w:pPr>
        <w:pStyle w:val="Bibliography"/>
      </w:pPr>
      <w:r>
        <w:t xml:space="preserve">Kurosawa, Saiko, Yoshimi Tomine, Kazuhiro Yoshiuchi, Takahiro Fukuda, and Japan Marrow Donor Program. 2022.</w:t>
      </w:r>
      <w:r>
        <w:t xml:space="preserve"> </w:t>
      </w:r>
      <w:r>
        <w:t xml:space="preserve">“</w:t>
      </w:r>
      <w:r>
        <w:t xml:space="preserve">An interview survey of psychosocial factors in unrelated stem cell donor candidates</w:t>
      </w:r>
      <w:r>
        <w:t xml:space="preserve">.”</w:t>
      </w:r>
      <w:r>
        <w:t xml:space="preserve"> </w:t>
      </w:r>
      <w:r>
        <w:rPr>
          <w:iCs/>
          <w:i/>
        </w:rPr>
        <w:t xml:space="preserve">Japanese Journal of Transplantation and Cellular Therapy</w:t>
      </w:r>
      <w:r>
        <w:t xml:space="preserve"> </w:t>
      </w:r>
      <w:r>
        <w:t xml:space="preserve">11 (3): 169–76.</w:t>
      </w:r>
      <w:r>
        <w:t xml:space="preserve"> </w:t>
      </w:r>
      <w:hyperlink r:id="rId101">
        <w:r>
          <w:rPr>
            <w:rStyle w:val="Hyperlink"/>
          </w:rPr>
          <w:t xml:space="preserve">https://doi.org/10.7889/tct-21-024</w:t>
        </w:r>
      </w:hyperlink>
      <w:r>
        <w:t xml:space="preserve">.</w:t>
      </w:r>
    </w:p>
    <w:bookmarkEnd w:id="102"/>
    <w:bookmarkStart w:id="104"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103">
        <w:r>
          <w:rPr>
            <w:rStyle w:val="Hyperlink"/>
          </w:rPr>
          <w:t xml:space="preserve">https://doi.org/10.1111/iere.12589</w:t>
        </w:r>
      </w:hyperlink>
      <w:r>
        <w:t xml:space="preserve">.</w:t>
      </w:r>
    </w:p>
    <w:bookmarkEnd w:id="104"/>
    <w:bookmarkStart w:id="106"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105">
        <w:r>
          <w:rPr>
            <w:rStyle w:val="Hyperlink"/>
          </w:rPr>
          <w:t xml:space="preserve">https://doi.org/10.11406/rinketsu.57.271</w:t>
        </w:r>
      </w:hyperlink>
      <w:r>
        <w:t xml:space="preserve">.</w:t>
      </w:r>
    </w:p>
    <w:bookmarkEnd w:id="106"/>
    <w:bookmarkStart w:id="108"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107">
        <w:r>
          <w:rPr>
            <w:rStyle w:val="Hyperlink"/>
          </w:rPr>
          <w:t xml:space="preserve">https://doi.org/10.1080/01621459.2017.1319839</w:t>
        </w:r>
      </w:hyperlink>
      <w:r>
        <w:t xml:space="preserv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2">
    <w:p>
      <w:pPr>
        <w:pStyle w:val="FootnoteText"/>
      </w:pPr>
      <w:r>
        <w:rPr>
          <w:rStyle w:val="FootnoteReference"/>
        </w:rPr>
        <w:footnoteRef/>
      </w:r>
      <w:r>
        <w:t xml:space="preserve"> </w:t>
      </w:r>
      <w:r>
        <w:t xml:space="preserve">20代男性のコーディネーションの15%がドナーの不健康（既往歴・腰痛・治療中など）で中断している一方で、41%が不健康以外のドナー理由（連絡が取れない・都合がつかないなど）で中断している。移植はドナーの家族の同意を必要とする。不健康以外のドナー理由は家族の同意を得られていないことを含んでいない。20代男性のコーディネーションの6%がこの理由で中断している。</w:t>
      </w:r>
    </w:p>
  </w:footnote>
  <w:footnote w:id="23">
    <w:p>
      <w:pPr>
        <w:pStyle w:val="FootnoteText"/>
      </w:pPr>
      <w:r>
        <w:rPr>
          <w:rStyle w:val="FootnoteReference"/>
        </w:rPr>
        <w:footnoteRef/>
      </w:r>
      <w:r>
        <w:t xml:space="preserve"> </w:t>
      </w:r>
      <w:r>
        <w:t xml:space="preserve">JMDPは返信目安が10日以内であるということを適合通知に明記している。</w:t>
      </w:r>
    </w:p>
  </w:footnote>
  <w:footnote w:id="25">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31">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4">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36">
    <w:p>
      <w:pPr>
        <w:pStyle w:val="FootnoteText"/>
      </w:pPr>
      <w:r>
        <w:rPr>
          <w:rStyle w:val="FootnoteReference"/>
        </w:rPr>
        <w:footnoteRef/>
      </w:r>
      <w:r>
        <w:t xml:space="preserve"> </w:t>
      </w:r>
      <w:r>
        <w:t xml:space="preserve">クラスター標準誤差を用いた回帰分析を頑健性の確認として実施し、本論で示す主要な結果に変化がないことを確認している。</w:t>
      </w:r>
    </w:p>
  </w:footnote>
  <w:footnote w:id="45">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Athey, Tibshirani, and Wager (2019)</w:t>
      </w:r>
      <w:r>
        <w:t xml:space="preserve"> </w:t>
      </w:r>
      <w:r>
        <w:t xml:space="preserve">を参照せよ。</w:t>
      </w:r>
    </w:p>
  </w:footnote>
  <w:footnote w:id="56">
    <w:p>
      <w:pPr>
        <w:pStyle w:val="FootnoteText"/>
      </w:pPr>
      <w:r>
        <w:rPr>
          <w:rStyle w:val="FootnoteReference"/>
        </w:rPr>
        <w:footnoteRef/>
      </w:r>
      <w:r>
        <w:t xml:space="preserve"> </w:t>
      </w:r>
      <w:r>
        <w:t xml:space="preserve">30歳以上の男女については補論の図</w:t>
      </w:r>
      <w:r>
        <w:t xml:space="preserve">3.6</w:t>
      </w:r>
      <w:r>
        <w:t xml:space="preserve">と図</w:t>
      </w:r>
      <w:r>
        <w:t xml:space="preserve">3.7</w:t>
      </w:r>
      <w:r>
        <w:t xml:space="preserve">に示す。これらのグループでは特徴的な結果がない。</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image" Id="rId63" Target="media/rId63.pn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27" Target="media/rId27.png" /><Relationship Type="http://schemas.openxmlformats.org/officeDocument/2006/relationships/hyperlink" Id="rId96" Target="https://doi.org/10.1007/978-3-642-95874-8_13" TargetMode="External" /><Relationship Type="http://schemas.openxmlformats.org/officeDocument/2006/relationships/hyperlink" Id="rId82" Target="https://doi.org/10.1073/pnas.1510489113" TargetMode="External" /><Relationship Type="http://schemas.openxmlformats.org/officeDocument/2006/relationships/hyperlink" Id="rId107" Target="https://doi.org/10.1080/01621459.2017.1319839" TargetMode="External" /><Relationship Type="http://schemas.openxmlformats.org/officeDocument/2006/relationships/hyperlink" Id="rId103" Target="https://doi.org/10.1111/iere.12589" TargetMode="External" /><Relationship Type="http://schemas.openxmlformats.org/officeDocument/2006/relationships/hyperlink" Id="rId105" Target="https://doi.org/10.11406/rinketsu.57.271" TargetMode="External" /><Relationship Type="http://schemas.openxmlformats.org/officeDocument/2006/relationships/hyperlink" Id="rId94" Target="https://doi.org/10.1177/0022002785029004003" TargetMode="External" /><Relationship Type="http://schemas.openxmlformats.org/officeDocument/2006/relationships/hyperlink" Id="rId84" Target="https://doi.org/10.1214/18-AOS1709" TargetMode="External" /><Relationship Type="http://schemas.openxmlformats.org/officeDocument/2006/relationships/hyperlink" Id="rId88" Target="https://doi.org/10.1257/aer.99.4.1309" TargetMode="External" /><Relationship Type="http://schemas.openxmlformats.org/officeDocument/2006/relationships/hyperlink" Id="rId92" Target="https://doi.org/10.1257/aer.p20171000" TargetMode="External" /><Relationship Type="http://schemas.openxmlformats.org/officeDocument/2006/relationships/hyperlink" Id="rId86" Target="https://doi.org/10.1353/obs.2019.0001" TargetMode="External" /><Relationship Type="http://schemas.openxmlformats.org/officeDocument/2006/relationships/hyperlink" Id="rId90" Target="https://doi.org/10.3982/ECTA17458" TargetMode="External" /><Relationship Type="http://schemas.openxmlformats.org/officeDocument/2006/relationships/hyperlink" Id="rId98" Target="https://doi.org/10.4324/9780203776001" TargetMode="External" /><Relationship Type="http://schemas.openxmlformats.org/officeDocument/2006/relationships/hyperlink" Id="rId101" Target="https://doi.org/10.7889/tct-21-024" TargetMode="External" /></Relationships>
</file>

<file path=word/_rels/footnotes.xml.rels><?xml version="1.0" encoding="UTF-8"?><Relationships xmlns="http://schemas.openxmlformats.org/package/2006/relationships"><Relationship Type="http://schemas.openxmlformats.org/officeDocument/2006/relationships/hyperlink" Id="rId96" Target="https://doi.org/10.1007/978-3-642-95874-8_13" TargetMode="External" /><Relationship Type="http://schemas.openxmlformats.org/officeDocument/2006/relationships/hyperlink" Id="rId82" Target="https://doi.org/10.1073/pnas.1510489113" TargetMode="External" /><Relationship Type="http://schemas.openxmlformats.org/officeDocument/2006/relationships/hyperlink" Id="rId107" Target="https://doi.org/10.1080/01621459.2017.1319839" TargetMode="External" /><Relationship Type="http://schemas.openxmlformats.org/officeDocument/2006/relationships/hyperlink" Id="rId103" Target="https://doi.org/10.1111/iere.12589" TargetMode="External" /><Relationship Type="http://schemas.openxmlformats.org/officeDocument/2006/relationships/hyperlink" Id="rId105" Target="https://doi.org/10.11406/rinketsu.57.271" TargetMode="External" /><Relationship Type="http://schemas.openxmlformats.org/officeDocument/2006/relationships/hyperlink" Id="rId94" Target="https://doi.org/10.1177/0022002785029004003" TargetMode="External" /><Relationship Type="http://schemas.openxmlformats.org/officeDocument/2006/relationships/hyperlink" Id="rId84" Target="https://doi.org/10.1214/18-AOS1709" TargetMode="External" /><Relationship Type="http://schemas.openxmlformats.org/officeDocument/2006/relationships/hyperlink" Id="rId88" Target="https://doi.org/10.1257/aer.99.4.1309" TargetMode="External" /><Relationship Type="http://schemas.openxmlformats.org/officeDocument/2006/relationships/hyperlink" Id="rId92" Target="https://doi.org/10.1257/aer.p20171000" TargetMode="External" /><Relationship Type="http://schemas.openxmlformats.org/officeDocument/2006/relationships/hyperlink" Id="rId86" Target="https://doi.org/10.1353/obs.2019.0001" TargetMode="External" /><Relationship Type="http://schemas.openxmlformats.org/officeDocument/2006/relationships/hyperlink" Id="rId90" Target="https://doi.org/10.3982/ECTA17458" TargetMode="External" /><Relationship Type="http://schemas.openxmlformats.org/officeDocument/2006/relationships/hyperlink" Id="rId98" Target="https://doi.org/10.4324/9780203776001" TargetMode="External" /><Relationship Type="http://schemas.openxmlformats.org/officeDocument/2006/relationships/hyperlink" Id="rId101" Target="https://doi.org/10.7889/tct-21-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2023-06-19T10:48:49Z</dcterms:created>
  <dcterms:modified xsi:type="dcterms:W3CDTF">2023-06-19T10:48:49Z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6月 19, 2023</vt:lpwstr>
  </property>
  <property fmtid="{D5CDD505-2E9C-101B-9397-08002B2CF9AE}" pid="4" name="output">
    <vt:lpwstr/>
  </property>
  <property fmtid="{D5CDD505-2E9C-101B-9397-08002B2CF9AE}" pid="5" name="params">
    <vt:lpwstr/>
  </property>
</Properties>
</file>