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9.png" ContentType="image/png"/>
  <Override PartName="/word/media/rId73.png" ContentType="image/png"/>
  <Override PartName="/word/media/rId69.png" ContentType="image/png"/>
  <Override PartName="/word/media/rId53.png" ContentType="image/png"/>
  <Override PartName="/word/media/rId4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02,</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5"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4"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3" w:name="tab:summary"/>
      <w:bookmarkEnd w:id="33"/>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0.669</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4"/>
    <w:bookmarkEnd w:id="35"/>
    <w:bookmarkStart w:id="64" w:name="result"/>
    <w:p>
      <w:pPr>
        <w:pStyle w:val="Heading1"/>
      </w:pPr>
      <w:r>
        <w:rPr>
          <w:rStyle w:val="SectionNumber"/>
        </w:rPr>
        <w:t xml:space="preserve">3</w:t>
      </w:r>
      <w:r>
        <w:tab/>
      </w:r>
      <w:r>
        <w:t xml:space="preserve">Experimental Results</w:t>
      </w:r>
    </w:p>
    <w:bookmarkStart w:id="41"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6" w:name="tab:reg-stock"/>
      <w:bookmarkEnd w:id="36"/>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3.4</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38" name="Picture"/>
            <a:graphic>
              <a:graphicData uri="http://schemas.openxmlformats.org/drawingml/2006/picture">
                <pic:pic>
                  <pic:nvPicPr>
                    <pic:cNvPr descr="body_fe-TRUE_cluster-TRUE_main-se-stata_cluster-se-stata_files/figure-docx/coefplot-reg-stock-subset-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0" w:name="fig:coefplot-reg-stock-subset"/>
      <w:bookmarkEnd w:id="40"/>
      <w:r>
        <w:t xml:space="preserve">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End w:id="41"/>
    <w:bookmarkStart w:id="48"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2"/>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4" name="Picture"/>
            <a:graphic>
              <a:graphicData uri="http://schemas.openxmlformats.org/drawingml/2006/picture">
                <pic:pic>
                  <pic:nvPicPr>
                    <pic:cNvPr descr="body_fe-TRUE_cluster-TRUE_main-se-stata_cluster-se-stata_files/figure-docx/boxplot-rcf-int-1.png" id="45"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6" w:name="fig:boxplot-rcf-int"/>
      <w:bookmarkEnd w:id="46"/>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w:t>
      </w:r>
      <w:r>
        <w:t xml:space="preserve">で示した線形確率モデルのサブサンプル分析の結果と近い値である（表</w:t>
      </w:r>
      <w:r>
        <w:t xml:space="preserve">3.8</w:t>
      </w:r>
      <w:r>
        <w:t xml:space="preserve">参照）。また、30–40代男性の一部に対して、実験群Bの効果は10ポイント以上と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47" w:name="tab:rcf-int-corr"/>
      <w:bookmarkEnd w:id="47"/>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[-0.0430, -0.0358]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 0.0103]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[-0.0172, -0.0089]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 0.0154]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[-0.0396, -0.0327]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[0.0067, 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[0.0013, 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 0.0106]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[0.2878, 0.3763]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[0.3465, 0.3764]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[0.3200, 0.3959]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[0.3861, 0.4138]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0.6258***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[-0.0978, 0.0530]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[0.3787, 0.4344]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[-0.1237, -0.0140]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[0.5957, 0.6559]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0.2659***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[0.6747, 0.8220]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[0.2958, 0.3470]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[0.8780, 0.9972]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[0.2459, 0.2858]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w:t>
      </w:r>
      <w:r>
        <w:t xml:space="preserve">の列(1)–(4)は実験群Dの処置効果を実験群BとCの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w:t>
      </w:r>
      <w:r>
        <w:t xml:space="preserve">の列(4)–(8)は実験群Dの処置効果を実験群Bの効果と実験群Cの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48"/>
    <w:bookmarkStart w:id="57"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0" name="Picture"/>
            <a:graphic>
              <a:graphicData uri="http://schemas.openxmlformats.org/drawingml/2006/picture">
                <pic:pic>
                  <pic:nvPicPr>
                    <pic:cNvPr descr="body_fe-TRUE_cluster-TRUE_main-se-stata_cluster-se-stata_files/figure-docx/young-male-flow-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young-male-flow"/>
      <w:bookmarkEnd w:id="52"/>
      <w:r>
        <w:t xml:space="preserve">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4" name="Picture"/>
            <a:graphic>
              <a:graphicData uri="http://schemas.openxmlformats.org/drawingml/2006/picture">
                <pic:pic>
                  <pic:nvPicPr>
                    <pic:cNvPr descr="body_fe-TRUE_cluster-TRUE_main-se-stata_cluster-se-stata_files/figure-docx/young-female-flow-1.png" id="55" name="Picture"/>
                    <pic:cNvPicPr>
                      <a:picLocks noChangeArrowheads="1" noChangeAspect="1"/>
                    </pic:cNvPicPr>
                  </pic:nvPicPr>
                  <pic:blipFill>
                    <a:blip r:embed="rId5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6" w:name="fig:young-female-flow"/>
      <w:bookmarkEnd w:id="56"/>
      <w:r>
        <w:t xml:space="preserve">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w:t>
      </w:r>
    </w:p>
    <w:bookmarkEnd w:id="57"/>
    <w:bookmarkStart w:id="63" w:name="process"/>
    <w:p>
      <w:pPr>
        <w:pStyle w:val="Heading2"/>
      </w:pPr>
      <w:r>
        <w:rPr>
          <w:rStyle w:val="SectionNumber"/>
        </w:rPr>
        <w:t xml:space="preserve">3.4</w:t>
      </w:r>
      <w:r>
        <w:tab/>
      </w:r>
      <w:r>
        <w:t xml:space="preserve">Effects on the Coordination Process</w:t>
      </w:r>
    </w:p>
    <w:p>
      <w:pPr>
        <w:pStyle w:val="TableCaption"/>
      </w:pPr>
      <w:bookmarkStart w:id="58" w:name="tab:est-full-coordination"/>
      <w:bookmarkEnd w:id="58"/>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60" name="Picture"/>
            <a:graphic>
              <a:graphicData uri="http://schemas.openxmlformats.org/drawingml/2006/picture">
                <pic:pic>
                  <pic:nvPicPr>
                    <pic:cNvPr descr="body_fe-TRUE_cluster-TRUE_main-se-stata_cluster-se-stata_files/figure-docx/coefplot-reg-subsample-coordination-1.png" id="61" name="Picture"/>
                    <pic:cNvPicPr>
                      <a:picLocks noChangeArrowheads="1" noChangeAspect="1"/>
                    </pic:cNvPicPr>
                  </pic:nvPicPr>
                  <pic:blipFill>
                    <a:blip r:embed="rId5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2" w:name="fig:coefplot-reg-subsample-coordination"/>
      <w:bookmarkEnd w:id="62"/>
      <w:r>
        <w:t xml:space="preserve">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63"/>
    <w:bookmarkEnd w:id="64"/>
    <w:bookmarkStart w:id="94" w:name="appendix"/>
    <w:p>
      <w:pPr>
        <w:pStyle w:val="Heading1"/>
      </w:pPr>
      <w:r>
        <w:t xml:space="preserve">Appendix</w:t>
      </w:r>
    </w:p>
    <w:p>
      <w:pPr>
        <w:pStyle w:val="TableCaption"/>
      </w:pPr>
      <w:bookmarkStart w:id="65" w:name="tab:logit-stock"/>
      <w:bookmarkEnd w:id="65"/>
      <w:r>
        <w:t xml:space="preserve">Table 3.4:</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6" w:name="tab:logit-coordination"/>
      <w:bookmarkEnd w:id="66"/>
      <w:r>
        <w:t xml:space="preserve">Table 3.5:</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7" w:name="tab:wildbs-young-male-stock"/>
      <w:bookmarkEnd w:id="67"/>
      <w:r>
        <w:t xml:space="preserve">Table 3.6:</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0.1770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0.1690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TableCaption"/>
      </w:pPr>
      <w:bookmarkStart w:id="68" w:name="tab:wildbs-young-male-coordination"/>
      <w:bookmarkEnd w:id="68"/>
      <w:r>
        <w:t xml:space="preserve">Table 3.7:</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0.1750</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CaptionedFigure"/>
      </w:pPr>
      <w:r>
        <w:drawing>
          <wp:inline>
            <wp:extent cx="5334000" cy="3555999"/>
            <wp:effectExtent b="0" l="0" r="0" t="0"/>
            <wp:docPr descr="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0" name="Picture"/>
            <a:graphic>
              <a:graphicData uri="http://schemas.openxmlformats.org/drawingml/2006/picture">
                <pic:pic>
                  <pic:nvPicPr>
                    <pic:cNvPr descr="body_fe-TRUE_cluster-TRUE_main-se-stata_cluster-se-stata_files/figure-docx/old-male-flow-1.png" id="71" name="Picture"/>
                    <pic:cNvPicPr>
                      <a:picLocks noChangeArrowheads="1" noChangeAspect="1"/>
                    </pic:cNvPicPr>
                  </pic:nvPicPr>
                  <pic:blipFill>
                    <a:blip r:embed="rId6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2" w:name="fig:old-male-flow"/>
      <w:bookmarkEnd w:id="72"/>
      <w:r>
        <w:t xml:space="preserve">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4" name="Picture"/>
            <a:graphic>
              <a:graphicData uri="http://schemas.openxmlformats.org/drawingml/2006/picture">
                <pic:pic>
                  <pic:nvPicPr>
                    <pic:cNvPr descr="body_fe-TRUE_cluster-TRUE_main-se-stata_cluster-se-stata_files/figure-docx/old-female-flow-1.png" id="75" name="Picture"/>
                    <pic:cNvPicPr>
                      <a:picLocks noChangeArrowheads="1" noChangeAspect="1"/>
                    </pic:cNvPicPr>
                  </pic:nvPicPr>
                  <pic:blipFill>
                    <a:blip r:embed="rId7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6" w:name="fig:old-female-flow"/>
      <w:bookmarkEnd w:id="76"/>
      <w:r>
        <w:t xml:space="preserve">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77" w:name="tab:rcf-int-cate"/>
      <w:bookmarkEnd w:id="77"/>
      <w:r>
        <w:t xml:space="preserve">Table 3.8:</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0.207</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0.604</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93" w:name="refs"/>
    <w:bookmarkStart w:id="79"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78">
        <w:r>
          <w:rPr>
            <w:rStyle w:val="Hyperlink"/>
          </w:rPr>
          <w:t xml:space="preserve">https://doi.org/10.1073/pnas.1510489113</w:t>
        </w:r>
      </w:hyperlink>
      <w:r>
        <w:t xml:space="preserve">.</w:t>
      </w:r>
    </w:p>
    <w:bookmarkEnd w:id="79"/>
    <w:bookmarkStart w:id="81"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0">
        <w:r>
          <w:rPr>
            <w:rStyle w:val="Hyperlink"/>
          </w:rPr>
          <w:t xml:space="preserve">https://doi.org/10.1353/obs.2019.0001</w:t>
        </w:r>
      </w:hyperlink>
      <w:r>
        <w:t xml:space="preserve">.</w:t>
      </w:r>
    </w:p>
    <w:bookmarkEnd w:id="81"/>
    <w:bookmarkStart w:id="83"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82">
        <w:r>
          <w:rPr>
            <w:rStyle w:val="Hyperlink"/>
          </w:rPr>
          <w:t xml:space="preserve">https://doi.org/10.3982/ECTA17458</w:t>
        </w:r>
      </w:hyperlink>
      <w:r>
        <w:t xml:space="preserve">.</w:t>
      </w:r>
    </w:p>
    <w:bookmarkEnd w:id="83"/>
    <w:bookmarkStart w:id="85"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84">
        <w:r>
          <w:rPr>
            <w:rStyle w:val="Hyperlink"/>
          </w:rPr>
          <w:t xml:space="preserve">https://doi.org/10.1257/aer.p20171000</w:t>
        </w:r>
      </w:hyperlink>
      <w:r>
        <w:t xml:space="preserve">.</w:t>
      </w:r>
    </w:p>
    <w:bookmarkEnd w:id="85"/>
    <w:bookmarkStart w:id="86"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86"/>
    <w:bookmarkStart w:id="88" w:name="ref-Murakami2022"/>
    <w:p>
      <w:pPr>
        <w:pStyle w:val="Bibliography"/>
      </w:pPr>
      <w:r>
        <w:t xml:space="preserve">Murakami, Kayo, Hideki Shimada, Yoshiaki Ushifusa, and Takanori Ida. 2022.</w:t>
      </w:r>
      <w:r>
        <w:t xml:space="preserve"> </w:t>
      </w:r>
      <w:r>
        <w:t xml:space="preserve">“</w:t>
      </w:r>
      <w:r>
        <w:t xml:space="preserve">HETEROGENEOUS TREATMENT EFFECTS OF NUDGE AND REBATE</w:t>
      </w:r>
      <w:r>
        <w:t xml:space="preserve">:</w:t>
      </w:r>
      <w:r>
        <w:t xml:space="preserve"> </w:t>
      </w:r>
      <w:r>
        <w:t xml:space="preserve">CAUSAL MACHINE LEARNING IN A FIELD EXPERIMENT ON ELECTRICITY CONSERVATION</w:t>
      </w:r>
      <w:r>
        <w:t xml:space="preserve">.”</w:t>
      </w:r>
      <w:r>
        <w:t xml:space="preserve"> </w:t>
      </w:r>
      <w:r>
        <w:rPr>
          <w:iCs/>
          <w:i/>
        </w:rPr>
        <w:t xml:space="preserve">International Economic Review</w:t>
      </w:r>
      <w:r>
        <w:t xml:space="preserve">, June, iere.12589.</w:t>
      </w:r>
      <w:r>
        <w:t xml:space="preserve"> </w:t>
      </w:r>
      <w:hyperlink r:id="rId87">
        <w:r>
          <w:rPr>
            <w:rStyle w:val="Hyperlink"/>
          </w:rPr>
          <w:t xml:space="preserve">https://doi.org/10.1111/iere.12589</w:t>
        </w:r>
      </w:hyperlink>
      <w:r>
        <w:t xml:space="preserve">.</w:t>
      </w:r>
    </w:p>
    <w:bookmarkEnd w:id="88"/>
    <w:bookmarkStart w:id="90"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89">
        <w:r>
          <w:rPr>
            <w:rStyle w:val="Hyperlink"/>
          </w:rPr>
          <w:t xml:space="preserve">https://doi.org/10.11406/rinketsu.57.271</w:t>
        </w:r>
      </w:hyperlink>
      <w:r>
        <w:t xml:space="preserve">.</w:t>
      </w:r>
    </w:p>
    <w:bookmarkEnd w:id="90"/>
    <w:bookmarkStart w:id="92"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91">
        <w:r>
          <w:rPr>
            <w:rStyle w:val="Hyperlink"/>
          </w:rPr>
          <w:t xml:space="preserve">https://doi.org/10.1080/01621459.2017.1319839</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42">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w:t>
      </w:r>
      <w:r>
        <w:rPr>
          <w:bCs/>
          <w:b/>
        </w:rPr>
        <w:t xml:space="preserve">Athey2019a?</w:t>
      </w:r>
      <w:r>
        <w:t xml:space="preserve">)</w:t>
      </w:r>
      <w:r>
        <w:t xml:space="preserve"> </w:t>
      </w:r>
      <w:r>
        <w:t xml:space="preserve">を参照せよ。</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2023-06-02T07:56:54Z</dcterms:created>
  <dcterms:modified xsi:type="dcterms:W3CDTF">2023-06-02T07:56:54Z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02, 2023</vt:lpwstr>
  </property>
  <property fmtid="{D5CDD505-2E9C-101B-9397-08002B2CF9AE}" pid="4" name="output">
    <vt:lpwstr/>
  </property>
  <property fmtid="{D5CDD505-2E9C-101B-9397-08002B2CF9AE}" pid="5" name="params">
    <vt:lpwstr/>
  </property>
</Properties>
</file>