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9.png" ContentType="image/png"/>
  <Override PartName="/word/media/rId42.png" ContentType="image/png"/>
  <Override PartName="/word/media/rId66.png" ContentType="image/png"/>
  <Override PartName="/word/media/rId81.png" ContentType="image/png"/>
  <Override PartName="/word/media/rId77.png" ContentType="image/png"/>
  <Override PartName="/word/media/rId6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p>
      <w:pPr>
        <w:pStyle w:val="AbstractTitle"/>
      </w:pPr>
      <w:r>
        <w:t xml:space="preserve">Abstract</w:t>
      </w:r>
    </w:p>
    <w:p>
      <w:pPr>
        <w:pStyle w:val="Abstract"/>
      </w:pPr>
      <w:r>
        <w:t xml:space="preserve">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は、ドナーのHLAと呼ばれる白血球の型が患者のHLAと一致していることが条件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ている</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。これはJMDPだけでなく他国の骨髄ドナープログラムでも問題となっている</w:t>
      </w:r>
      <w:r>
        <w:t xml:space="preserve">(Haylock et al. 2022)</w:t>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だろう。</w:t>
      </w:r>
    </w:p>
    <w:p>
      <w:pPr>
        <w:pStyle w:val="BodyText"/>
      </w:pPr>
      <w:r>
        <w:t xml:space="preserve">そこで、本研究はドナープールの質を高める施策の一つとして、提供意向を高めるような情報提供の効果を検証する。JMDPに登録した人がある患者とマッチングすると、適合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w:t>
      </w:r>
    </w:p>
    <w:p>
      <w:pPr>
        <w:pStyle w:val="BodyText"/>
      </w:pPr>
      <w:r>
        <w:t xml:space="preserve">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唆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を過度に多く見積もり、提供に消極的になる可能性がある。一つ目のメッセージはこの誤解から生じる行動を修正することを目的としている。</w:t>
      </w:r>
    </w:p>
    <w:p>
      <w:pPr>
        <w:pStyle w:val="BodyText"/>
      </w:pPr>
      <w:r>
        <w:t xml:space="preserve">第二のメッセージは早いコーディネーションが患者の移植到達率を高めるという情報を提示した。この情報は患者への移植によって得られる効用が経時的に減衰していくことを暗に提示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w:t>
      </w:r>
      <w:r>
        <w:t xml:space="preserve">(O’Donoghue and Rabin 2001)</w:t>
      </w:r>
      <w:r>
        <w:t xml:space="preserve">。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適合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HLAが完全一致した潜在ドナーに電話で伝えた。彼らの実験は完全なランダム比較試験ではなく、この新規メッセージがコーディネーションの数を増やさない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造血幹細胞移植と献血は共通点が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rewardなどの非金銭的インセンティブ効果検証を通じて、献血の動機が検証されている</w:t>
      </w:r>
      <w:r>
        <w:t xml:space="preserve">(Mellström and Johannesson 2008; Lacetera and Macis 2010)</w:t>
      </w:r>
      <w:r>
        <w:t xml:space="preserve">。また、造血幹細胞移植と同じように、献血は公共財とみなせる。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る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40"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彼らに幹細胞提供を依頼する適合通知（compatibility notice）を送付する</w:t>
      </w:r>
      <w:r>
        <w:rPr>
          <w:rStyle w:val="FootnoteReference"/>
        </w:rPr>
        <w:footnoteReference w:id="25"/>
      </w:r>
      <w:r>
        <w:t xml:space="preserve">。適合ドナーは問診票を記入し、提供意思の有無を示して、適合通知に返信する。</w:t>
      </w:r>
    </w:p>
    <w:p>
      <w:pPr>
        <w:pStyle w:val="BodyText"/>
      </w:pPr>
      <w:r>
        <w:t xml:space="preserve">その後、移植に向けたコーディネーションが始まる。適合ドナーはおよそ1カ月以内に確認検査（confirmatory typing）を受ける。この段階では、コーディネーターは提供手順の詳細（骨髄採取もしくは末梢血幹細胞採取）を説明し、適合ドナーとその家族に提供の意向を調査する。潜在ドナーは二つの採取方法を選べる。加えて、コーディネーター医師が問診、検診、感染症の有無と血液型を調べる採血をする。これらのテストは適合ドナーがJMDPの定める基準に満たしているかどうかを検査する。</w:t>
      </w:r>
    </w:p>
    <w:p>
      <w:pPr>
        <w:pStyle w:val="BodyText"/>
      </w:pPr>
      <w:r>
        <w:t xml:space="preserve">患者は同時に最大10人の適合ドナーとのコーディネーションを受けられる。患者の医師は確認検査を受けた適合ドナーから最も適切な候補者を選ぶ。重要なこととして、適合ドナーはマッチしている患者の情報（他の適合ドナーと何人マッチしているかなど）を一切知ることができない。また、適合ドナーがコーディネーターやコーディネーター医師からそのような情報を得ることもできない。</w:t>
      </w:r>
    </w:p>
    <w:p>
      <w:pPr>
        <w:pStyle w:val="BodyText"/>
      </w:pPr>
      <w:r>
        <w:t xml:space="preserve">最も適切な候補者として選ばれた適合ドナーはコーディネーターやコーディネーター医師からの説明を受けた後に、最終同意をする必要がある。同時に、ドナーの家族の代表者も採取に同意しなければならない。ただし、これ以降、選定ドナーは意向を変えられない。最終同意後、選定ドナーは術前検査や採取の準備を受けるために1週間程度の入院をする。この後、ドナーは幹細胞採取の手術を受ける。確認検査から採取までの期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我々の実験はJMDPが適合ドナーに幹細胞提供を依頼する適合通知の内容に介入を施す。図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。Probability messageは登録患者一人あたりの適合ドナーの数が少ないことを強調している。第</w:t>
      </w:r>
      <w:r>
        <w:t xml:space="preserve">1</w:t>
      </w:r>
      <w:r>
        <w:t xml:space="preserve">節で述べたように、同じHLA型を持つ他の潜在ドナーがプールに存在すれば、自身の提供はその適合ドナーと代替可能なので、移植は公共財の性質を有している。したがって、ボランティアのジレンマの予測通り、一般的なHLAの型を持っている人ほど提供に消極的となるだろう。</w:t>
      </w:r>
    </w:p>
    <w:p>
      <w:pPr>
        <w:pStyle w:val="BodyText"/>
      </w:pPr>
      <w:r>
        <w:t xml:space="preserve">しかしながら、幹細胞移植の文脈では、適合ドナーがグループサイズを正確に知ることができないので、グループサイズの期待値が意思決定に影響を与える。すなわち、同じHLA型を持つ適合ドナーの数が多いと予測しているほど、そのドナーは提供に消極的となるだろう。もし、あるドナーの信念が過度に高いならば、Probability messageは信念の下方修正を通じて、フリーライド行動を抑制し、提供意向を高めるだろう。ただし、逆の効果も考えられる。あるドナーの信念が真のグループサイズよりも過小ならば、Probability messageは信念の上方修正を通じて、フリーライド行動を誘発し、提供意向を下げる恐れがある。</w:t>
      </w:r>
    </w:p>
    <w:p>
      <w:pPr>
        <w:pStyle w:val="BodyText"/>
      </w:pPr>
      <w:r>
        <w:t xml:space="preserve">Early Coordinationメッセージは早いコーディネーションが患者の移植率を高めることを提示している。適合通知への返信が遅れることによってコーディネーション期間が長くなると、患者の移植率が減少してしまう。したがって、このメッセージは患者への移植によって得られる効用が経時的に減衰していくことを暗に意味している。第</w:t>
      </w:r>
      <w:r>
        <w:t xml:space="preserve">1</w:t>
      </w:r>
      <w:r>
        <w:t xml:space="preserve">節で述べたように、適合通知への返信は行動経済学における先延ばし行動が障害となりうる。もしあるドナーが患者への移植によって得られる効用水準が時間に対して一定であると信じているならば、今コストを支払ってコーディネーションを受けるよりも将来コストを支払ってコーディネーションを受けようと考えるはずである。そして、同じ意思決定が将来でも生じ、適合通知への返信が遅れてしまう可能性がある。このメッセージはこの先延ばし行動を抑制することを目的としている。仮にこのメッセージが全体の適合通知への返信率を高めなくても、早期返信を促進しているだろう。</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適合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に割り当てスケジュールをまとめている。本実験の実施にあたって、我々はメッセージの内容を含めて大阪大学経済学研究科とJMDPの倫理審査の承認を得ている。</w:t>
      </w:r>
    </w:p>
    <w:bookmarkEnd w:id="33"/>
    <w:bookmarkStart w:id="39"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加えて、適合通知への返信について、データは返信日数と提供意向を記録している。さらに、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適合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w:t>
      </w:r>
      <w:r>
        <w:rPr>
          <w:rStyle w:val="FootnoteReference"/>
        </w:rPr>
        <w:footnoteReference w:id="35"/>
      </w:r>
      <w:r>
        <w:t xml:space="preserve">。このリストは完全な住所・骨髄採取（BM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7" w:name="tab:summary"/>
      <w:bookmarkEnd w:id="37"/>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Coordination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は個人属性ベクトルである。ある時期の共通のショックをコントロールするために、月および週のダミー変数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である。固定効果を加えたとき、観察不可能な要素</w:t>
      </w:r>
      <m:oMath>
        <m:sSub>
          <m:e>
            <m:r>
              <m:t>u</m:t>
            </m:r>
          </m:e>
          <m:sub>
            <m:r>
              <m:t>i</m:t>
            </m:r>
            <m:r>
              <m:t>m</m:t>
            </m:r>
            <m:r>
              <m:t>w</m:t>
            </m:r>
          </m:sub>
        </m:sSub>
      </m:oMath>
      <w:r>
        <w:t xml:space="preserve">のクラスター（実験週）内の相関を生み出す原因はないと思われる。したがって、我々は推定値の統計的推論の際に頑健標準誤差を用いる</w:t>
      </w:r>
      <w:r>
        <w:rPr>
          <w:rStyle w:val="FootnoteReference"/>
        </w:rPr>
        <w:footnoteReference w:id="38"/>
      </w:r>
      <w:r>
        <w:t xml:space="preserve">。</w:t>
      </w:r>
    </w:p>
    <w:bookmarkEnd w:id="39"/>
    <w:bookmarkEnd w:id="40"/>
    <w:bookmarkStart w:id="71" w:name="result"/>
    <w:p>
      <w:pPr>
        <w:pStyle w:val="Heading1"/>
      </w:pPr>
      <w:r>
        <w:rPr>
          <w:rStyle w:val="SectionNumber"/>
        </w:rPr>
        <w:t xml:space="preserve">3</w:t>
      </w:r>
      <w:r>
        <w:tab/>
      </w:r>
      <w:r>
        <w:t xml:space="preserve">Experimental Results</w:t>
      </w:r>
    </w:p>
    <w:bookmarkStart w:id="47" w:name="intention"/>
    <w:p>
      <w:pPr>
        <w:pStyle w:val="Heading2"/>
      </w:pPr>
      <w:r>
        <w:rPr>
          <w:rStyle w:val="SectionNumber"/>
        </w:rPr>
        <w:t xml:space="preserve">3.1</w:t>
      </w:r>
      <w:r>
        <w:tab/>
      </w:r>
      <w:r>
        <w:t xml:space="preserve">Effects on Reply and Intention</w:t>
      </w:r>
    </w:p>
    <w:p>
      <w:pPr>
        <w:pStyle w:val="FirstParagraph"/>
      </w:pPr>
      <w:r>
        <w:t xml:space="preserve">初めに、適合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したがって、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適合ドナーが返信する前に、患者側の都合でコーディネーションが中断してしまう可能性がある。これは潜在ドナーの意向と独立に生じるので、我々は各実験群でそのようなケースに該当する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41" w:name="tab:reg-stock"/>
      <w:bookmarkEnd w:id="41"/>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が、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3" name="Picture"/>
            <a:graphic>
              <a:graphicData uri="http://schemas.openxmlformats.org/drawingml/2006/picture">
                <pic:pic>
                  <pic:nvPicPr>
                    <pic:cNvPr descr="robustness-body-ja_files/figure-docx/coefplot-reg-stock-subset-1.png" id="44"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5" w:name="fig:coefplot-reg-stock-subset"/>
      <w:bookmarkEnd w:id="45"/>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は係数プロットである。結果として、確率メッセージを含む実験群BとDが20代男性の返信率を約6ポイント（コントロール平均が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コントロール群において、適合通知に返信した20代男性の約</w:t>
      </w:r>
      <m:oMath>
        <m:r>
          <m:t>50</m:t>
        </m:r>
        <m:d>
          <m:dPr>
            <m:begChr m:val="("/>
            <m:endChr m:val=")"/>
            <m:sepChr m:val=""/>
            <m:grow/>
          </m:dPr>
          <m:e>
            <m:r>
              <m:rPr>
                <m:sty m:val="p"/>
              </m:rPr>
              <m:t>=</m:t>
            </m:r>
            <m:r>
              <m:t>38.6</m:t>
            </m:r>
            <m:r>
              <m:rPr>
                <m:sty m:val="p"/>
              </m:rPr>
              <m:t>/</m:t>
            </m:r>
            <m:r>
              <m:t>74.4</m:t>
            </m:r>
          </m:e>
        </m:d>
      </m:oMath>
      <w:r>
        <w:t xml:space="preserve">%が提供に積極的であり、これは他の性・年代グループの返信者の意向比率（60%）よりも低い</w:t>
      </w:r>
      <w:r>
        <w:rPr>
          <w:rStyle w:val="FootnoteReference"/>
        </w:rPr>
        <w:footnoteReference w:id="46"/>
      </w:r>
      <w:r>
        <w:t xml:space="preserve">。実験群B（確率メッセージ）は20代男性の返信者の意向比率を50%から</w:t>
      </w:r>
      <m:oMath>
        <m:r>
          <m:t>60</m:t>
        </m:r>
        <m:d>
          <m:dPr>
            <m:begChr m:val="("/>
            <m:endChr m:val=")"/>
            <m:sepChr m:val=""/>
            <m:grow/>
          </m:dPr>
          <m:e>
            <m:r>
              <m:rPr>
                <m:sty m:val="p"/>
              </m:rPr>
              <m:t>=</m:t>
            </m:r>
            <m:d>
              <m:dPr>
                <m:begChr m:val="("/>
                <m:endChr m:val=")"/>
                <m:sepChr m:val=""/>
                <m:grow/>
              </m:dPr>
              <m:e>
                <m:r>
                  <m:t>38.6</m:t>
                </m:r>
                <m:r>
                  <m:rPr>
                    <m:sty m:val="p"/>
                  </m:rPr>
                  <m:t>+</m:t>
                </m:r>
                <m:r>
                  <m:t>10</m:t>
                </m:r>
              </m:e>
            </m:d>
            <m:r>
              <m:rPr>
                <m:sty m:val="p"/>
              </m:rPr>
              <m:t>/</m:t>
            </m:r>
            <m:d>
              <m:dPr>
                <m:begChr m:val="("/>
                <m:endChr m:val=")"/>
                <m:sepChr m:val=""/>
                <m:grow/>
              </m:dPr>
              <m:e>
                <m:r>
                  <m:t>74.4</m:t>
                </m:r>
                <m:r>
                  <m:rPr>
                    <m:sty m:val="p"/>
                  </m:rPr>
                  <m:t>+</m:t>
                </m:r>
                <m:r>
                  <m:t>6</m:t>
                </m:r>
              </m:e>
            </m:d>
          </m:e>
        </m:d>
      </m:oMath>
      <w:r>
        <w:t xml:space="preserve">%に引き上げている。さらに、若い男性の移植成績は他の性・年代よりも良いとされている。これらを総合すると、ドナーとして望ましい人の行動変容（コーディネーションの開始）を促しているという意味で、確率メッセージはコーディネーションの効率性を改善しているといえよう。</w:t>
      </w:r>
    </w:p>
    <w:bookmarkEnd w:id="47"/>
    <w:bookmarkStart w:id="54"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。この手法は回帰木アルゴリズムに基づいており、観察可能な特徴で条件づけた平均処置効果を推定する。この手法は労働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で達成され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8"/>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50" name="Picture"/>
            <a:graphic>
              <a:graphicData uri="http://schemas.openxmlformats.org/drawingml/2006/picture">
                <pic:pic>
                  <pic:nvPicPr>
                    <pic:cNvPr descr="robustness-body-ja_files/figure-docx/boxplot-rcf-int-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boxplot-rcf-int"/>
      <w:bookmarkEnd w:id="52"/>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20代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w:t>
      </w:r>
    </w:p>
    <w:p>
      <w:pPr>
        <w:pStyle w:val="TableCaption"/>
      </w:pPr>
      <w:bookmarkStart w:id="53" w:name="tab:rcf-int-corr"/>
      <w:bookmarkEnd w:id="53"/>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 -0.0314]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 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 -0.0078]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 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 -0.0276]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 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 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 0.0099]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[0.2663, 0.3552]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[0.3416, 0.3702]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[0.2960, 0.3713]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[0.3884, 0.4159]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0.6256***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[-0.1268, 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[0.3710, 0.4279]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[-0.1867, -0.0842]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[0.5948, 0.6565]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[0.6750, 0.8228]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[0.2950, 0.3441]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[0.9007, 1.0210]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[0.2490, 0.2896]</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適合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適合ドナーが実験群Dの情報を完全に理解しておらず、情報過多による認知負荷になっていること示唆している。</w:t>
      </w:r>
    </w:p>
    <w:p>
      <w:pPr>
        <w:pStyle w:val="BodyText"/>
      </w:pPr>
      <w:r>
        <w:t xml:space="preserve">完全に情報を受け取っていない適合ドナーは確率メッセージもしくはEarly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20代男女では、実験群CとDの偏相関は実験群BとDの偏相関よりも強い。すなわち、彼らは確率メッセージよりもEarly Coordinationメッセージを重視している。したがって、確率メッセージを提供しているにも関わらず、実験群Dは20代男性に効果がないのである。</w:t>
      </w:r>
    </w:p>
    <w:p>
      <w:pPr>
        <w:pStyle w:val="BodyText"/>
      </w:pPr>
      <w:r>
        <w:t xml:space="preserve">興味深いことに、30歳以上の男女では、実験群CとDの偏相関は実験群BとDの偏相関よりも弱い。すなわち、彼らはEarly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4"/>
    <w:bookmarkStart w:id="64"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早いコーディネーションが患者の移植率を高める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w:t>
      </w:r>
    </w:p>
    <w:p>
      <w:pPr>
        <w:pStyle w:val="BodyText"/>
      </w:pPr>
      <w:r>
        <w:t xml:space="preserve">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6" name="Picture"/>
            <a:graphic>
              <a:graphicData uri="http://schemas.openxmlformats.org/drawingml/2006/picture">
                <pic:pic>
                  <pic:nvPicPr>
                    <pic:cNvPr descr="robustness-body-ja_files/figure-docx/young-male-flow-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8" w:name="fig:young-male-flow"/>
      <w:bookmarkEnd w:id="58"/>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9"/>
      </w:r>
      <w:r>
        <w:t xml:space="preserve">。図</w:t>
      </w:r>
      <w:r>
        <w:t xml:space="preserve">3.3</w:t>
      </w:r>
      <w:r>
        <w:t xml:space="preserve">は20代男性の結果である。このサブグループでは、我々は確率メッセージのみを加えた実験群Bが提供意向を伴う全体の返信率を10ポイント程度高めていたことをすでに明らかにしている（図</w:t>
      </w:r>
      <w:r>
        <w:t xml:space="preserve">3.1</w:t>
      </w:r>
      <w:r>
        <w:t xml:space="preserve">）。図</w:t>
      </w:r>
      <w:r>
        <w:t xml:space="preserve">3.3</w:t>
      </w:r>
      <w:r>
        <w:t xml:space="preserve">はその効果が14日以内の返信から生じていることを示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1" name="Picture"/>
            <a:graphic>
              <a:graphicData uri="http://schemas.openxmlformats.org/drawingml/2006/picture">
                <pic:pic>
                  <pic:nvPicPr>
                    <pic:cNvPr descr="robustness-body-ja_files/figure-docx/young-female-flow-1.png" id="62" name="Picture"/>
                    <pic:cNvPicPr>
                      <a:picLocks noChangeArrowheads="1" noChangeAspect="1"/>
                    </pic:cNvPicPr>
                  </pic:nvPicPr>
                  <pic:blipFill>
                    <a:blip r:embed="rId6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3" w:name="fig:young-female-flow"/>
      <w:bookmarkEnd w:id="63"/>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しかしながら、実験群Cは20代女性の早期返信を促している可能性がある。図</w:t>
      </w:r>
      <w:r>
        <w:t xml:space="preserve">3.3</w:t>
      </w:r>
      <w:r>
        <w:t xml:space="preserve">は20代女性の結果である。図</w:t>
      </w:r>
      <w:r>
        <w:t xml:space="preserve">3.1</w:t>
      </w:r>
      <w:r>
        <w:t xml:space="preserve">より、実験群Cは20代女性の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言い換えれば、Early Coordinationメッセージは20代女性の早期返信を促している。4日以内の返信の増加は正の意向を伴う返信と負の意向を伴う返信を同程度高めていることから生じている。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Coordinationメッセージを含む実験群Dの返信への効果も実験群Cと同様の傾向である。ただし、実験群Cの結果と異なり、4日以内の返信の増加は正の意向を伴う返信のみの増加から生じている。</w:t>
      </w:r>
    </w:p>
    <w:bookmarkEnd w:id="64"/>
    <w:bookmarkStart w:id="70"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適合ドナーが各ステージに到達したならば1を取るダミー変数をアウトカム変数として用いる。</w:t>
      </w:r>
    </w:p>
    <w:p>
      <w:pPr>
        <w:pStyle w:val="BodyText"/>
      </w:pPr>
      <w:r>
        <w:t xml:space="preserve">第</w:t>
      </w:r>
      <w:r>
        <w:t xml:space="preserve">3.1</w:t>
      </w:r>
      <w:r>
        <w:t xml:space="preserve">節の分析と同様に、我々は適合ドナーの意思とは無関係にコーディネーションが中断したと思われるサンプルを除く。確認検査への効果を推定するとき、我々は患者側の理由で中断した事例を除外する。患者の意思は候補者選定時に最も健康な適合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適合ドナーの24%が確認検査を受けて、8%が候補者になり、6%が最終的に提供した。</w:t>
      </w:r>
    </w:p>
    <w:p>
      <w:pPr>
        <w:pStyle w:val="TableCaption"/>
      </w:pPr>
      <w:bookmarkStart w:id="65" w:name="tab:est-full-coordination"/>
      <w:bookmarkEnd w:id="65"/>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全体的に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7" name="Picture"/>
            <a:graphic>
              <a:graphicData uri="http://schemas.openxmlformats.org/drawingml/2006/picture">
                <pic:pic>
                  <pic:nvPicPr>
                    <pic:cNvPr descr="robustness-body-ja_files/figure-docx/coefplot-reg-subsample-coordination-1.png" id="68" name="Picture"/>
                    <pic:cNvPicPr>
                      <a:picLocks noChangeArrowheads="1" noChangeAspect="1"/>
                    </pic:cNvPicPr>
                  </pic:nvPicPr>
                  <pic:blipFill>
                    <a:blip r:embed="rId6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9" w:name="fig:coefplot-reg-subsample-coordination"/>
      <w:bookmarkEnd w:id="69"/>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20代男性の確認検査到達比率を8ポイント程度高めており、統計的に有意である。したがって、実験群Bは20代男性の提供意向を高めるだけでなく、それを強固にしている可能性がある。また、実験群Bは20代男性の候補者選定・最終同意に統計的に有意な影響を与えていない。ただし、提供への効果は4ポイント程度であり、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70"/>
    <w:bookmarkEnd w:id="71"/>
    <w:bookmarkStart w:id="72"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本研究はJMDPに登録した潜在ドナーの提供意向を高めるための情報提供の効果を検証した。その結果、一人の患者あたりのHLA適合ドナーが少ないという情報（Probability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さらに、幹細胞移植の需要の影響を含んでいるが、この情報はドナーの移植率を5ポイント高めている。人数に換算すると、Probability messageは71人から121人に増やしている。ただし、早いコーディネーションが患者の移植率を高めるという情報（Early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p>
    <w:p>
      <w:pPr>
        <w:pStyle w:val="BodyText"/>
      </w:pPr>
      <w:r>
        <w:t xml:space="preserve">本研究はフィールド実験によって情報提供の因果効果をクリアに識別できるが、先に述べたメカニズムを識別できるようなデータ・実験設計ではないことに限界がある。しかしながら、本研究は実務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若年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72"/>
    <w:bookmarkStart w:id="86" w:name="appendix"/>
    <w:p>
      <w:pPr>
        <w:pStyle w:val="Heading1"/>
      </w:pPr>
      <w:r>
        <w:t xml:space="preserve">Appendix</w:t>
      </w:r>
    </w:p>
    <w:p>
      <w:pPr>
        <w:pStyle w:val="TableCaption"/>
      </w:pPr>
      <w:bookmarkStart w:id="73" w:name="tab:logit-stock"/>
      <w:bookmarkEnd w:id="73"/>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4" w:name="tab:logit-coordination"/>
      <w:bookmarkEnd w:id="74"/>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5" w:name="tab:reg-young-male-stock"/>
      <w:bookmarkEnd w:id="75"/>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6" w:name="tab:reg-young-male-coordination"/>
      <w:bookmarkEnd w:id="76"/>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robustness-body-ja_files/figure-docx/old-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male-flow"/>
      <w:bookmarkEnd w:id="80"/>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82" name="Picture"/>
            <a:graphic>
              <a:graphicData uri="http://schemas.openxmlformats.org/drawingml/2006/picture">
                <pic:pic>
                  <pic:nvPicPr>
                    <pic:cNvPr descr="robustness-body-ja_files/figure-docx/old-female-flow-1.png" id="83" name="Picture"/>
                    <pic:cNvPicPr>
                      <a:picLocks noChangeArrowheads="1" noChangeAspect="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4" w:name="fig:old-female-flow"/>
      <w:bookmarkEnd w:id="84"/>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5" w:name="tab:rcf-int-cate"/>
      <w:bookmarkEnd w:id="85"/>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0.278</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0.519</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6"/>
    <w:bookmarkStart w:id="134" w:name="references"/>
    <w:p>
      <w:pPr>
        <w:pStyle w:val="Heading1"/>
      </w:pPr>
      <w:r>
        <w:t xml:space="preserve">References</w:t>
      </w:r>
    </w:p>
    <w:bookmarkStart w:id="133" w:name="refs"/>
    <w:bookmarkStart w:id="88"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7">
        <w:r>
          <w:rPr>
            <w:rStyle w:val="Hyperlink"/>
          </w:rPr>
          <w:t xml:space="preserve">https://doi.org/10.2307/2234133</w:t>
        </w:r>
      </w:hyperlink>
      <w:r>
        <w:t xml:space="preserve">.</w:t>
      </w:r>
    </w:p>
    <w:bookmarkEnd w:id="88"/>
    <w:bookmarkStart w:id="90"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9">
        <w:r>
          <w:rPr>
            <w:rStyle w:val="Hyperlink"/>
          </w:rPr>
          <w:t xml:space="preserve">https://doi.org/10.1073/pnas.1510489113</w:t>
        </w:r>
      </w:hyperlink>
      <w:r>
        <w:t xml:space="preserve">.</w:t>
      </w:r>
    </w:p>
    <w:bookmarkEnd w:id="90"/>
    <w:bookmarkStart w:id="92"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91">
        <w:r>
          <w:rPr>
            <w:rStyle w:val="Hyperlink"/>
          </w:rPr>
          <w:t xml:space="preserve">https://doi.org/10.1214/18-AOS1709</w:t>
        </w:r>
      </w:hyperlink>
      <w:r>
        <w:t xml:space="preserve">.</w:t>
      </w:r>
    </w:p>
    <w:bookmarkEnd w:id="92"/>
    <w:bookmarkStart w:id="94"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3">
        <w:r>
          <w:rPr>
            <w:rStyle w:val="Hyperlink"/>
          </w:rPr>
          <w:t xml:space="preserve">https://doi.org/10.1353/obs.2019.0001</w:t>
        </w:r>
      </w:hyperlink>
      <w:r>
        <w:t xml:space="preserve">.</w:t>
      </w:r>
    </w:p>
    <w:bookmarkEnd w:id="94"/>
    <w:bookmarkStart w:id="96"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5">
        <w:r>
          <w:rPr>
            <w:rStyle w:val="Hyperlink"/>
          </w:rPr>
          <w:t xml:space="preserve">https://doi.org/10.1257/aer.99.4.1309</w:t>
        </w:r>
      </w:hyperlink>
      <w:r>
        <w:t xml:space="preserve">.</w:t>
      </w:r>
    </w:p>
    <w:bookmarkEnd w:id="96"/>
    <w:bookmarkStart w:id="98"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7">
        <w:r>
          <w:rPr>
            <w:rStyle w:val="Hyperlink"/>
          </w:rPr>
          <w:t xml:space="preserve">https://doi.org/10.3982/ECTA17458</w:t>
        </w:r>
      </w:hyperlink>
      <w:r>
        <w:t xml:space="preserve">.</w:t>
      </w:r>
    </w:p>
    <w:bookmarkEnd w:id="98"/>
    <w:bookmarkStart w:id="10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9">
        <w:r>
          <w:rPr>
            <w:rStyle w:val="Hyperlink"/>
          </w:rPr>
          <w:t xml:space="preserve">https://doi.org/10.1257/aer.p20171000</w:t>
        </w:r>
      </w:hyperlink>
      <w:r>
        <w:t xml:space="preserve">.</w:t>
      </w:r>
    </w:p>
    <w:bookmarkEnd w:id="100"/>
    <w:bookmarkStart w:id="102"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101">
        <w:r>
          <w:rPr>
            <w:rStyle w:val="Hyperlink"/>
          </w:rPr>
          <w:t xml:space="preserve">https://doi.org/10.1177/0022002785029004003</w:t>
        </w:r>
      </w:hyperlink>
      <w:r>
        <w:t xml:space="preserve">.</w:t>
      </w:r>
    </w:p>
    <w:bookmarkEnd w:id="102"/>
    <w:bookmarkStart w:id="104"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3">
        <w:r>
          <w:rPr>
            <w:rStyle w:val="Hyperlink"/>
          </w:rPr>
          <w:t xml:space="preserve">https://doi.org/10.1007/978-3-642-95874-8_13</w:t>
        </w:r>
      </w:hyperlink>
      <w:r>
        <w:t xml:space="preserve">.</w:t>
      </w:r>
    </w:p>
    <w:bookmarkEnd w:id="104"/>
    <w:bookmarkStart w:id="106"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5">
        <w:r>
          <w:rPr>
            <w:rStyle w:val="Hyperlink"/>
          </w:rPr>
          <w:t xml:space="preserve">https://doi.org/10.4324/9780203776001</w:t>
        </w:r>
      </w:hyperlink>
      <w:r>
        <w:t xml:space="preserve">.</w:t>
      </w:r>
    </w:p>
    <w:bookmarkEnd w:id="106"/>
    <w:bookmarkStart w:id="108"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7">
        <w:r>
          <w:rPr>
            <w:rStyle w:val="Hyperlink"/>
          </w:rPr>
          <w:t xml:space="preserve">https://doi.org/10.3386/w29857</w:t>
        </w:r>
      </w:hyperlink>
      <w:r>
        <w:t xml:space="preserve">.</w:t>
      </w:r>
    </w:p>
    <w:bookmarkEnd w:id="108"/>
    <w:bookmarkStart w:id="10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9"/>
    <w:bookmarkStart w:id="111"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10">
        <w:r>
          <w:rPr>
            <w:rStyle w:val="Hyperlink"/>
          </w:rPr>
          <w:t xml:space="preserve">https://doi.org/10.7889/tct-21-024</w:t>
        </w:r>
      </w:hyperlink>
      <w:r>
        <w:t xml:space="preserve">.</w:t>
      </w:r>
    </w:p>
    <w:bookmarkEnd w:id="111"/>
    <w:bookmarkStart w:id="113"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12">
        <w:r>
          <w:rPr>
            <w:rStyle w:val="Hyperlink"/>
          </w:rPr>
          <w:t xml:space="preserve">https://doi.org/10.1016/j.jebo.2010.08.007</w:t>
        </w:r>
      </w:hyperlink>
      <w:r>
        <w:t xml:space="preserve">.</w:t>
      </w:r>
    </w:p>
    <w:bookmarkEnd w:id="113"/>
    <w:bookmarkStart w:id="115"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4">
        <w:r>
          <w:rPr>
            <w:rStyle w:val="Hyperlink"/>
          </w:rPr>
          <w:t xml:space="preserve">https://doi.org/10.1016/j.jhealeco.2013.10.006</w:t>
        </w:r>
      </w:hyperlink>
      <w:r>
        <w:t xml:space="preserve">.</w:t>
      </w:r>
    </w:p>
    <w:bookmarkEnd w:id="115"/>
    <w:bookmarkStart w:id="117"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6">
        <w:r>
          <w:rPr>
            <w:rStyle w:val="Hyperlink"/>
          </w:rPr>
          <w:t xml:space="preserve">https://doi.org/10.1162/JEEA.2008.6.4.845</w:t>
        </w:r>
      </w:hyperlink>
      <w:r>
        <w:t xml:space="preserve">.</w:t>
      </w:r>
    </w:p>
    <w:bookmarkEnd w:id="117"/>
    <w:bookmarkStart w:id="119"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8">
        <w:r>
          <w:rPr>
            <w:rStyle w:val="Hyperlink"/>
          </w:rPr>
          <w:t xml:space="preserve">https://doi.org/10.1111/iere.12589</w:t>
        </w:r>
      </w:hyperlink>
      <w:r>
        <w:t xml:space="preserve">.</w:t>
      </w:r>
    </w:p>
    <w:bookmarkEnd w:id="119"/>
    <w:bookmarkStart w:id="121" w:name="ref-ODonoghue2001"/>
    <w:p>
      <w:pPr>
        <w:pStyle w:val="Bibliography"/>
      </w:pPr>
      <w:r>
        <w:t xml:space="preserve">O’Donoghue, Ted, and M. Rabin. 2001.</w:t>
      </w:r>
      <w:r>
        <w:t xml:space="preserve"> </w:t>
      </w:r>
      <w:r>
        <w:t xml:space="preserve">“Choice and</w:t>
      </w:r>
      <w:r>
        <w:t xml:space="preserve"> </w:t>
      </w:r>
      <w:r>
        <w:t xml:space="preserve">Procrastination</w:t>
      </w:r>
      <w:r>
        <w:t xml:space="preserve">.”</w:t>
      </w:r>
      <w:r>
        <w:t xml:space="preserve"> </w:t>
      </w:r>
      <w:r>
        <w:rPr>
          <w:iCs/>
          <w:i/>
        </w:rPr>
        <w:t xml:space="preserve">The Quarterly Journal of Economics</w:t>
      </w:r>
      <w:r>
        <w:t xml:space="preserve"> </w:t>
      </w:r>
      <w:r>
        <w:t xml:space="preserve">116 (1): 121–60.</w:t>
      </w:r>
      <w:r>
        <w:t xml:space="preserve"> </w:t>
      </w:r>
      <w:hyperlink r:id="rId120">
        <w:r>
          <w:rPr>
            <w:rStyle w:val="Hyperlink"/>
          </w:rPr>
          <w:t xml:space="preserve">https://doi.org/10.1162/003355301556365</w:t>
        </w:r>
      </w:hyperlink>
      <w:r>
        <w:t xml:space="preserve">.</w:t>
      </w:r>
    </w:p>
    <w:bookmarkEnd w:id="121"/>
    <w:bookmarkStart w:id="122"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22"/>
    <w:bookmarkStart w:id="124"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23">
        <w:r>
          <w:rPr>
            <w:rStyle w:val="Hyperlink"/>
          </w:rPr>
          <w:t xml:space="preserve">https://doi.org/10.1097/01.TP.0000122219.35928.D6</w:t>
        </w:r>
      </w:hyperlink>
      <w:r>
        <w:t xml:space="preserve">.</w:t>
      </w:r>
    </w:p>
    <w:bookmarkEnd w:id="124"/>
    <w:bookmarkStart w:id="126"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5">
        <w:r>
          <w:rPr>
            <w:rStyle w:val="Hyperlink"/>
          </w:rPr>
          <w:t xml:space="preserve">https://doi.org/10.1016/j.bbmt.2018.03.017</w:t>
        </w:r>
      </w:hyperlink>
      <w:r>
        <w:t xml:space="preserve">.</w:t>
      </w:r>
    </w:p>
    <w:bookmarkEnd w:id="126"/>
    <w:bookmarkStart w:id="12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7">
        <w:r>
          <w:rPr>
            <w:rStyle w:val="Hyperlink"/>
          </w:rPr>
          <w:t xml:space="preserve">https://doi.org/10.11406/rinketsu.57.271</w:t>
        </w:r>
      </w:hyperlink>
      <w:r>
        <w:t xml:space="preserve">.</w:t>
      </w:r>
    </w:p>
    <w:bookmarkEnd w:id="128"/>
    <w:bookmarkStart w:id="13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9">
        <w:r>
          <w:rPr>
            <w:rStyle w:val="Hyperlink"/>
          </w:rPr>
          <w:t xml:space="preserve">https://doi.org/10.1080/01621459.2017.1319839</w:t>
        </w:r>
      </w:hyperlink>
      <w:r>
        <w:t xml:space="preserve">.</w:t>
      </w:r>
    </w:p>
    <w:bookmarkEnd w:id="130"/>
    <w:bookmarkStart w:id="132"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31">
        <w:r>
          <w:rPr>
            <w:rStyle w:val="Hyperlink"/>
          </w:rPr>
          <w:t xml:space="preserve">https://doi.org/10.1016/j.jhealeco.2008.11.005</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5">
    <w:p>
      <w:pPr>
        <w:pStyle w:val="FootnoteText"/>
      </w:pPr>
      <w:r>
        <w:rPr>
          <w:rStyle w:val="FootnoteReference"/>
        </w:rPr>
        <w:footnoteRef/>
      </w:r>
      <w:r>
        <w:t xml:space="preserve"> </w:t>
      </w:r>
      <w:hyperlink r:id="rId36">
        <w:r>
          <w:rPr>
            <w:rStyle w:val="Hyperlink"/>
          </w:rPr>
          <w:t xml:space="preserve">https://www.jmdp.or.jp/hospitals/view2/</w:t>
        </w:r>
      </w:hyperlink>
      <w:r>
        <w:t xml:space="preserve"> </w:t>
      </w:r>
      <w:r>
        <w:t xml:space="preserve">(access date: August 4, 2022)</w:t>
      </w:r>
    </w:p>
  </w:footnote>
  <w:footnote w:id="38">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6">
    <w:p>
      <w:pPr>
        <w:pStyle w:val="FootnoteText"/>
      </w:pPr>
      <w:r>
        <w:rPr>
          <w:rStyle w:val="FootnoteReference"/>
        </w:rPr>
        <w:footnoteRef/>
      </w:r>
      <w:r>
        <w:t xml:space="preserve"> </w:t>
      </w:r>
      <w:r>
        <w:t xml:space="preserve">20代女性について、</w:t>
      </w:r>
      <m:oMath>
        <m:r>
          <m:t>59</m:t>
        </m:r>
        <m:d>
          <m:dPr>
            <m:begChr m:val="("/>
            <m:endChr m:val=")"/>
            <m:sepChr m:val=""/>
            <m:grow/>
          </m:dPr>
          <m:e>
            <m:r>
              <m:rPr>
                <m:sty m:val="p"/>
              </m:rPr>
              <m:t>=</m:t>
            </m:r>
            <m:r>
              <m:t>51.6</m:t>
            </m:r>
            <m:r>
              <m:rPr>
                <m:sty m:val="p"/>
              </m:rPr>
              <m:t>/</m:t>
            </m:r>
            <m:r>
              <m:t>87.4</m:t>
            </m:r>
          </m:e>
        </m:d>
      </m:oMath>
      <w:r>
        <w:t xml:space="preserve">%。30歳以上の男性について、</w:t>
      </w:r>
      <m:oMath>
        <m:r>
          <m:t>66</m:t>
        </m:r>
        <m:d>
          <m:dPr>
            <m:begChr m:val="("/>
            <m:endChr m:val=")"/>
            <m:sepChr m:val=""/>
            <m:grow/>
          </m:dPr>
          <m:e>
            <m:r>
              <m:rPr>
                <m:sty m:val="p"/>
              </m:rPr>
              <m:t>=</m:t>
            </m:r>
            <m:r>
              <m:t>59.0</m:t>
            </m:r>
            <m:r>
              <m:rPr>
                <m:sty m:val="p"/>
              </m:rPr>
              <m:t>/</m:t>
            </m:r>
            <m:r>
              <m:t>89.1</m:t>
            </m:r>
          </m:e>
        </m:d>
      </m:oMath>
      <w:r>
        <w:t xml:space="preserve">%。30歳以上の女性について、</w:t>
      </w:r>
      <m:oMath>
        <m:r>
          <m:t>62</m:t>
        </m:r>
        <m:d>
          <m:dPr>
            <m:begChr m:val="("/>
            <m:endChr m:val=")"/>
            <m:sepChr m:val=""/>
            <m:grow/>
          </m:dPr>
          <m:e>
            <m:r>
              <m:rPr>
                <m:sty m:val="p"/>
              </m:rPr>
              <m:t>=</m:t>
            </m:r>
            <m:r>
              <m:t>58.8</m:t>
            </m:r>
            <m:r>
              <m:rPr>
                <m:sty m:val="p"/>
              </m:rPr>
              <m:t>/</m:t>
            </m:r>
            <m:r>
              <m:t>94.6</m:t>
            </m:r>
          </m:e>
        </m:d>
      </m:oMath>
      <w:r>
        <w:t xml:space="preserve">%。</w:t>
      </w:r>
    </w:p>
  </w:footnote>
  <w:footnote w:id="48">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9">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2023-06-20T06:28:10Z</dcterms:created>
  <dcterms:modified xsi:type="dcterms:W3CDTF">2023-06-20T06:28:10Z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vt:lpwstr>
  </property>
  <property fmtid="{D5CDD505-2E9C-101B-9397-08002B2CF9AE}" pid="3" name="bibliography">
    <vt:lpwstr>biblio.bib</vt:lpwstr>
  </property>
  <property fmtid="{D5CDD505-2E9C-101B-9397-08002B2CF9AE}" pid="4" name="date">
    <vt:lpwstr>Last updated on June 20, 2023</vt:lpwstr>
  </property>
  <property fmtid="{D5CDD505-2E9C-101B-9397-08002B2CF9AE}" pid="5" name="output">
    <vt:lpwstr/>
  </property>
  <property fmtid="{D5CDD505-2E9C-101B-9397-08002B2CF9AE}" pid="6" name="params">
    <vt:lpwstr/>
  </property>
</Properties>
</file>