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39E58" w14:textId="5D0F2FFD" w:rsidR="00DD51EA" w:rsidRPr="007529C1" w:rsidRDefault="00E64203" w:rsidP="007529C1">
      <w:pPr>
        <w:wordWrap/>
        <w:spacing w:line="360" w:lineRule="auto"/>
        <w:rPr>
          <w:rFonts w:ascii="Times New Roman" w:hAnsi="Times New Roman" w:cs="Times New Roman"/>
          <w:b/>
          <w:bCs/>
        </w:rPr>
      </w:pPr>
      <w:r>
        <w:rPr>
          <w:rFonts w:ascii="Times New Roman" w:hAnsi="Times New Roman" w:cs="Times New Roman"/>
          <w:b/>
          <w:bCs/>
        </w:rPr>
        <w:t>3</w:t>
      </w:r>
      <w:r w:rsidR="007529C1" w:rsidRPr="007529C1">
        <w:rPr>
          <w:rFonts w:ascii="Times New Roman" w:hAnsi="Times New Roman" w:cs="Times New Roman"/>
          <w:b/>
          <w:bCs/>
        </w:rPr>
        <w:t>.</w:t>
      </w:r>
      <w:r w:rsidR="004B2BB6">
        <w:rPr>
          <w:rFonts w:ascii="Times New Roman" w:hAnsi="Times New Roman" w:cs="Times New Roman"/>
          <w:b/>
          <w:bCs/>
        </w:rPr>
        <w:t>1</w:t>
      </w:r>
      <w:r w:rsidR="007529C1" w:rsidRPr="007529C1">
        <w:rPr>
          <w:rFonts w:ascii="Times New Roman" w:hAnsi="Times New Roman" w:cs="Times New Roman"/>
          <w:b/>
          <w:bCs/>
        </w:rPr>
        <w:t xml:space="preserve"> </w:t>
      </w:r>
      <w:r w:rsidR="00DD51EA">
        <w:rPr>
          <w:rFonts w:ascii="Times New Roman" w:hAnsi="Times New Roman" w:cs="Times New Roman"/>
          <w:b/>
          <w:bCs/>
        </w:rPr>
        <w:t>Average Responses to Time-of-Use Prices</w:t>
      </w:r>
    </w:p>
    <w:p w14:paraId="3E91F030" w14:textId="611F27E6" w:rsidR="00FB0486" w:rsidRPr="007529C1" w:rsidRDefault="00FB0486" w:rsidP="00FB0486">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w:t>
      </w:r>
      <w:r w:rsidR="004B2BB6">
        <w:rPr>
          <w:rFonts w:ascii="Times New Roman" w:hAnsi="Times New Roman" w:cs="Times New Roman"/>
          <w:b/>
          <w:bCs/>
        </w:rPr>
        <w:t>1</w:t>
      </w:r>
      <w:r>
        <w:rPr>
          <w:rFonts w:ascii="Times New Roman" w:hAnsi="Times New Roman" w:cs="Times New Roman"/>
          <w:b/>
          <w:bCs/>
        </w:rPr>
        <w:t>.1</w:t>
      </w:r>
      <w:r w:rsidRPr="007529C1">
        <w:rPr>
          <w:rFonts w:ascii="Times New Roman" w:hAnsi="Times New Roman" w:cs="Times New Roman"/>
          <w:b/>
          <w:bCs/>
        </w:rPr>
        <w:t xml:space="preserve"> </w:t>
      </w:r>
      <w:r>
        <w:rPr>
          <w:rFonts w:ascii="Times New Roman" w:hAnsi="Times New Roman" w:cs="Times New Roman"/>
          <w:b/>
          <w:bCs/>
          <w:lang w:eastAsia="ko-KR"/>
        </w:rPr>
        <w:t>Half-Hourly Average Treatment Effects</w:t>
      </w:r>
    </w:p>
    <w:p w14:paraId="63EA9A44" w14:textId="77777777"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Utilizing a panel DID identification strategy, I first measure the impact of the TOU prices on 30-minute-interval household electricity consumption. To obtain the ATE for each half-hour interval, I estimate the following specification:</w:t>
      </w:r>
    </w:p>
    <w:p w14:paraId="3A2D1C03" w14:textId="67744F10" w:rsidR="00FB0486" w:rsidRPr="00C82BEB" w:rsidRDefault="00CE34ED" w:rsidP="00FB0486">
      <w:pPr>
        <w:wordWrap/>
        <w:spacing w:line="360" w:lineRule="auto"/>
        <w:rPr>
          <w:rFonts w:ascii="Times New Roman" w:hAnsi="Times New Roman" w:cs="Times New Roman"/>
          <w:i/>
        </w:rPr>
      </w:pPr>
      <m:oMathPara>
        <m:oMathParaPr>
          <m:jc m:val="center"/>
        </m:oMathParaP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6F987BD9" w14:textId="740A1185" w:rsidR="00FB0486" w:rsidRPr="00FB0486" w:rsidRDefault="00FB0486" w:rsidP="00FB0486">
      <w:pPr>
        <w:wordWrap/>
        <w:spacing w:line="360" w:lineRule="auto"/>
        <w:rPr>
          <w:rFonts w:ascii="Times New Roman" w:hAnsi="Times New Roman" w:cs="Times New Roman"/>
        </w:rPr>
      </w:pPr>
      <w:r w:rsidRPr="00FB0486">
        <w:rPr>
          <w:rFonts w:ascii="Times New Roman" w:hAnsi="Times New Roman" w:cs="Times New Roman"/>
        </w:rPr>
        <w:t xml:space="preserve">The term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itw</m:t>
            </m:r>
          </m:sub>
        </m:sSub>
      </m:oMath>
      <w:r w:rsidRPr="00FB0486">
        <w:rPr>
          <w:rFonts w:ascii="Times New Roman" w:hAnsi="Times New Roman" w:cs="Times New Roman"/>
        </w:rPr>
        <w:t xml:space="preserve"> is the electricity consumption by household </w:t>
      </w:r>
      <w:proofErr w:type="spellStart"/>
      <w:r w:rsidR="00964FFC" w:rsidRPr="00964FFC">
        <w:rPr>
          <w:rFonts w:ascii="Times New Roman" w:hAnsi="Times New Roman" w:cs="Times New Roman"/>
          <w:i/>
          <w:iCs/>
        </w:rPr>
        <w:t>i</w:t>
      </w:r>
      <w:proofErr w:type="spellEnd"/>
      <w:r w:rsidRPr="00FB0486">
        <w:rPr>
          <w:rFonts w:ascii="Times New Roman" w:hAnsi="Times New Roman" w:cs="Times New Roman"/>
        </w:rPr>
        <w:t xml:space="preserve"> on the day </w:t>
      </w:r>
      <w:r w:rsidR="00964FFC" w:rsidRPr="00964FFC">
        <w:rPr>
          <w:rFonts w:ascii="Times New Roman" w:hAnsi="Times New Roman" w:cs="Times New Roman"/>
          <w:i/>
          <w:iCs/>
        </w:rPr>
        <w:t>t</w:t>
      </w:r>
      <w:r w:rsidRPr="00FB0486">
        <w:rPr>
          <w:rFonts w:ascii="Times New Roman" w:hAnsi="Times New Roman" w:cs="Times New Roman"/>
        </w:rPr>
        <w:t xml:space="preserve"> during the half-hourly time window </w:t>
      </w:r>
      <w:r w:rsidR="00964FFC" w:rsidRPr="00964FFC">
        <w:rPr>
          <w:rFonts w:ascii="Times New Roman" w:hAnsi="Times New Roman" w:cs="Times New Roman"/>
          <w:i/>
          <w:iCs/>
        </w:rPr>
        <w:t>w</w:t>
      </w:r>
      <w:r w:rsidRPr="00FB0486">
        <w:rPr>
          <w:rFonts w:ascii="Times New Roman" w:hAnsi="Times New Roman" w:cs="Times New Roman"/>
        </w:rPr>
        <w:t>. The indicator variable</w:t>
      </w:r>
      <w:r w:rsidR="00964F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FB0486">
        <w:rPr>
          <w:rFonts w:ascii="Times New Roman" w:hAnsi="Times New Roman" w:cs="Times New Roman"/>
        </w:rPr>
        <w:t xml:space="preserve"> is equal to one only if household </w:t>
      </w:r>
      <w:proofErr w:type="spellStart"/>
      <w:r w:rsidRPr="00964FFC">
        <w:rPr>
          <w:rFonts w:ascii="Times New Roman" w:hAnsi="Times New Roman" w:cs="Times New Roman"/>
          <w:i/>
          <w:iCs/>
        </w:rPr>
        <w:t>i</w:t>
      </w:r>
      <w:proofErr w:type="spellEnd"/>
      <w:r w:rsidRPr="00FB0486">
        <w:rPr>
          <w:rFonts w:ascii="Times New Roman" w:hAnsi="Times New Roman" w:cs="Times New Roman"/>
        </w:rPr>
        <w:t xml:space="preserve"> is in the treatment group and the day </w:t>
      </w:r>
      <w:r w:rsidR="00964FFC" w:rsidRPr="00964FFC">
        <w:rPr>
          <w:rFonts w:ascii="Times New Roman" w:hAnsi="Times New Roman" w:cs="Times New Roman"/>
          <w:i/>
          <w:iCs/>
        </w:rPr>
        <w:t>t</w:t>
      </w:r>
      <w:r w:rsidRPr="00FB0486">
        <w:rPr>
          <w:rFonts w:ascii="Times New Roman" w:hAnsi="Times New Roman" w:cs="Times New Roman"/>
        </w:rPr>
        <w:t xml:space="preserve"> is in the treatment period.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oMath>
      <w:r w:rsidRPr="00FB04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oMath>
      <w:r w:rsidRPr="00FB0486">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oMath>
      <w:r w:rsidRPr="00FB0486">
        <w:rPr>
          <w:rFonts w:ascii="Times New Roman" w:hAnsi="Times New Roman" w:cs="Times New Roman"/>
        </w:rPr>
        <w:t xml:space="preserve"> are household-by-half-hourly-interval, day-of-week-by-half-hourly-time-window, and month-of-year fixed effects, respectively. In the specification,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w</m:t>
            </m:r>
          </m:sub>
        </m:sSub>
      </m:oMath>
      <w:r w:rsidRPr="00FB0486">
        <w:rPr>
          <w:rFonts w:ascii="Times New Roman" w:hAnsi="Times New Roman" w:cs="Times New Roman"/>
        </w:rPr>
        <w:t xml:space="preserve"> representing the ATE for each 30-minute interval </w:t>
      </w:r>
      <w:r w:rsidRPr="00D258F9">
        <w:rPr>
          <w:rFonts w:ascii="Times New Roman" w:hAnsi="Times New Roman" w:cs="Times New Roman"/>
          <w:i/>
          <w:iCs/>
        </w:rPr>
        <w:t>w</w:t>
      </w:r>
      <w:r w:rsidRPr="00FB0486">
        <w:rPr>
          <w:rFonts w:ascii="Times New Roman" w:hAnsi="Times New Roman" w:cs="Times New Roman"/>
        </w:rPr>
        <w:t xml:space="preserve"> are the parameters of interest. I cluster the standard errors at the household and the day of experiment levels to correct for serial correlation. </w:t>
      </w:r>
    </w:p>
    <w:p w14:paraId="47D42F17" w14:textId="77777777" w:rsidR="00FB0486" w:rsidRPr="00FB0486" w:rsidRDefault="00FB0486" w:rsidP="00FB0486">
      <w:pPr>
        <w:wordWrap/>
        <w:spacing w:line="360" w:lineRule="auto"/>
        <w:rPr>
          <w:rFonts w:ascii="Times New Roman" w:hAnsi="Times New Roman" w:cs="Times New Roman"/>
        </w:rPr>
      </w:pPr>
    </w:p>
    <w:p w14:paraId="71D1976A" w14:textId="4D637A40" w:rsidR="00634B28" w:rsidRDefault="00E03C59" w:rsidP="00E03C59">
      <w:pPr>
        <w:wordWrap/>
        <w:spacing w:line="360" w:lineRule="auto"/>
        <w:ind w:firstLine="800"/>
        <w:rPr>
          <w:rFonts w:ascii="Times New Roman" w:hAnsi="Times New Roman" w:cs="Times New Roman"/>
        </w:rPr>
      </w:pPr>
      <w:r w:rsidRPr="00E03C59">
        <w:rPr>
          <w:rFonts w:ascii="Times New Roman" w:hAnsi="Times New Roman" w:cs="Times New Roman"/>
        </w:rPr>
        <w:t xml:space="preserve">FIGURE summarizes the estimated ATEs in the form of a time profile. As already demonstrated in </w:t>
      </w:r>
      <w:proofErr w:type="spellStart"/>
      <w:r w:rsidRPr="00E03C59">
        <w:rPr>
          <w:rFonts w:ascii="Times New Roman" w:hAnsi="Times New Roman" w:cs="Times New Roman"/>
        </w:rPr>
        <w:t>Prest</w:t>
      </w:r>
      <w:proofErr w:type="spellEnd"/>
      <w:r w:rsidRPr="00E03C59">
        <w:rPr>
          <w:rFonts w:ascii="Times New Roman" w:hAnsi="Times New Roman" w:cs="Times New Roman"/>
        </w:rPr>
        <w:t xml:space="preserve"> (2019), peak hours (i.e., from 5:00 p.m. to 7:00 p.m.), during which the inefficiency of fixed flat-rate tariffs is greatly intensified, show dominant electricity savings. In the following empirical analysis, I continually focus on household electricity demand responses to the time-varying prices during the peak rate period.</w:t>
      </w:r>
    </w:p>
    <w:p w14:paraId="7C55D72B" w14:textId="77777777" w:rsidR="00E03C59" w:rsidRDefault="00E03C59" w:rsidP="00E4123A">
      <w:pPr>
        <w:wordWrap/>
        <w:spacing w:line="360" w:lineRule="auto"/>
        <w:rPr>
          <w:rFonts w:ascii="Times New Roman" w:hAnsi="Times New Roman" w:cs="Times New Roman"/>
        </w:rPr>
      </w:pPr>
    </w:p>
    <w:p w14:paraId="5E8C95AB" w14:textId="5C95B4B9" w:rsidR="00DD51EA" w:rsidRDefault="00DD51EA" w:rsidP="00E4123A">
      <w:pPr>
        <w:wordWrap/>
        <w:spacing w:line="360" w:lineRule="auto"/>
        <w:rPr>
          <w:rFonts w:ascii="Times New Roman" w:hAnsi="Times New Roman" w:cs="Times New Roman"/>
          <w:b/>
          <w:bCs/>
          <w:lang w:eastAsia="ko-KR"/>
        </w:rPr>
      </w:pPr>
      <w:r>
        <w:rPr>
          <w:rFonts w:ascii="Times New Roman" w:hAnsi="Times New Roman" w:cs="Times New Roman"/>
          <w:b/>
          <w:bCs/>
        </w:rPr>
        <w:t>3</w:t>
      </w:r>
      <w:r w:rsidRPr="007529C1">
        <w:rPr>
          <w:rFonts w:ascii="Times New Roman" w:hAnsi="Times New Roman" w:cs="Times New Roman"/>
          <w:b/>
          <w:bCs/>
        </w:rPr>
        <w:t>.</w:t>
      </w:r>
      <w:r w:rsidR="004B2BB6">
        <w:rPr>
          <w:rFonts w:ascii="Times New Roman" w:hAnsi="Times New Roman" w:cs="Times New Roman"/>
          <w:b/>
          <w:bCs/>
        </w:rPr>
        <w:t>1</w:t>
      </w:r>
      <w:r w:rsidR="001A726E">
        <w:rPr>
          <w:rFonts w:ascii="Times New Roman" w:hAnsi="Times New Roman" w:cs="Times New Roman"/>
          <w:b/>
          <w:bCs/>
        </w:rPr>
        <w:t>.2</w:t>
      </w:r>
      <w:r w:rsidRPr="007529C1">
        <w:rPr>
          <w:rFonts w:ascii="Times New Roman" w:hAnsi="Times New Roman" w:cs="Times New Roman"/>
          <w:b/>
          <w:bCs/>
        </w:rPr>
        <w:t xml:space="preserve"> </w:t>
      </w:r>
      <w:r w:rsidR="000D21DE">
        <w:rPr>
          <w:rFonts w:ascii="Times New Roman" w:hAnsi="Times New Roman" w:cs="Times New Roman"/>
          <w:b/>
          <w:bCs/>
        </w:rPr>
        <w:t>Average Treatment Effects in the Peak Rate Period</w:t>
      </w:r>
    </w:p>
    <w:p w14:paraId="706BD8A0" w14:textId="01D7E28E" w:rsidR="00C723F5" w:rsidRPr="00EC69E9" w:rsidRDefault="000509EE" w:rsidP="00C723F5">
      <w:pPr>
        <w:wordWrap/>
        <w:spacing w:line="360" w:lineRule="auto"/>
        <w:rPr>
          <w:rFonts w:ascii="Times New Roman" w:hAnsi="Times New Roman" w:cs="Times New Roman"/>
          <w:lang w:eastAsia="ko-KR"/>
        </w:rPr>
      </w:pPr>
      <w:r w:rsidRPr="000509EE">
        <w:rPr>
          <w:rFonts w:ascii="Times New Roman" w:hAnsi="Times New Roman" w:cs="Times New Roman"/>
          <w:lang w:eastAsia="ko-KR"/>
        </w:rPr>
        <w:t xml:space="preserve">Estimating peak-rate-period ATEs relative to the control group allows us to know </w:t>
      </w:r>
      <w:proofErr w:type="gramStart"/>
      <w:r w:rsidRPr="000509EE">
        <w:rPr>
          <w:rFonts w:ascii="Times New Roman" w:hAnsi="Times New Roman" w:cs="Times New Roman"/>
          <w:lang w:eastAsia="ko-KR"/>
        </w:rPr>
        <w:t>whether or not</w:t>
      </w:r>
      <w:proofErr w:type="gramEnd"/>
      <w:r w:rsidRPr="000509EE">
        <w:rPr>
          <w:rFonts w:ascii="Times New Roman" w:hAnsi="Times New Roman" w:cs="Times New Roman"/>
          <w:lang w:eastAsia="ko-KR"/>
        </w:rPr>
        <w:t xml:space="preserve"> the law of demand is satisfied between the responsiveness of Irish households and the magnitudes of price changes in TOU electricity pricing</w:t>
      </w:r>
      <w:r w:rsidR="000D21DE" w:rsidRPr="00EC69E9">
        <w:rPr>
          <w:rFonts w:ascii="Times New Roman" w:hAnsi="Times New Roman" w:cs="Times New Roman"/>
          <w:lang w:eastAsia="ko-KR"/>
        </w:rPr>
        <w:t>.</w:t>
      </w:r>
      <w:r w:rsidR="00622603" w:rsidRPr="00EC69E9">
        <w:rPr>
          <w:rStyle w:val="a4"/>
          <w:rFonts w:ascii="Times New Roman" w:hAnsi="Times New Roman" w:cs="Times New Roman"/>
          <w:lang w:eastAsia="ko-KR"/>
        </w:rPr>
        <w:footnoteReference w:id="1"/>
      </w:r>
      <w:r w:rsidR="000D21DE" w:rsidRPr="00EC69E9">
        <w:rPr>
          <w:rFonts w:ascii="Times New Roman" w:hAnsi="Times New Roman" w:cs="Times New Roman"/>
          <w:lang w:eastAsia="ko-KR"/>
        </w:rPr>
        <w:t xml:space="preserve"> To do so, I run the following regression for each of the four tariff groups:</w:t>
      </w:r>
    </w:p>
    <w:p w14:paraId="1AAD78B8" w14:textId="3096BC8F" w:rsidR="001A726E" w:rsidRPr="00E7628C" w:rsidRDefault="00CE34ED" w:rsidP="00C723F5">
      <w:pPr>
        <w:wordWrap/>
        <w:spacing w:line="360" w:lineRule="auto"/>
        <w:rPr>
          <w:rFonts w:ascii="Times New Roman" w:hAnsi="Times New Roman" w:cs="Times New Roman"/>
          <w:i/>
          <w:lang w:eastAsia="ko-KR"/>
        </w:rPr>
      </w:pPr>
      <m:oMathPara>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itw</m:t>
              </m:r>
            </m:sub>
          </m:sSub>
        </m:oMath>
      </m:oMathPara>
    </w:p>
    <w:p w14:paraId="3D26D26B" w14:textId="2F20D4D6" w:rsidR="00E7628C" w:rsidRPr="00EC69E9" w:rsidRDefault="00E7628C" w:rsidP="00E7628C">
      <w:pPr>
        <w:wordWrap/>
        <w:spacing w:line="360" w:lineRule="auto"/>
        <w:rPr>
          <w:rFonts w:ascii="Times New Roman" w:hAnsi="Times New Roman" w:cs="Times New Roman"/>
          <w:lang w:eastAsia="ko-KR"/>
        </w:rPr>
      </w:pPr>
      <w:r w:rsidRPr="00EC69E9">
        <w:rPr>
          <w:rFonts w:ascii="Times New Roman" w:hAnsi="Times New Roman" w:cs="Times New Roman"/>
          <w:lang w:eastAsia="ko-KR"/>
        </w:rPr>
        <w:t xml:space="preserve">Excepting the dependent variable and the parameters of interest, the econometric model above is the same as (MODEL1). Specifically, the response variable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oMath>
      <w:r w:rsidRPr="00EC69E9">
        <w:rPr>
          <w:rFonts w:ascii="Times New Roman" w:hAnsi="Times New Roman" w:cs="Times New Roman"/>
          <w:lang w:eastAsia="ko-KR"/>
        </w:rPr>
        <w:t xml:space="preserve"> means the electricity consumption by household </w:t>
      </w:r>
      <w:proofErr w:type="spellStart"/>
      <w:r w:rsidRPr="00EC69E9">
        <w:rPr>
          <w:rFonts w:ascii="Times New Roman" w:hAnsi="Times New Roman" w:cs="Times New Roman"/>
          <w:i/>
          <w:iCs/>
          <w:lang w:eastAsia="ko-KR"/>
        </w:rPr>
        <w:t>i</w:t>
      </w:r>
      <w:proofErr w:type="spellEnd"/>
      <w:r w:rsidRPr="00EC69E9">
        <w:rPr>
          <w:rFonts w:ascii="Times New Roman" w:hAnsi="Times New Roman" w:cs="Times New Roman"/>
          <w:lang w:eastAsia="ko-KR"/>
        </w:rPr>
        <w:t xml:space="preserve"> on the day </w:t>
      </w:r>
      <w:r w:rsidRPr="00EC69E9">
        <w:rPr>
          <w:rFonts w:ascii="Times New Roman" w:hAnsi="Times New Roman" w:cs="Times New Roman"/>
          <w:i/>
          <w:iCs/>
          <w:lang w:eastAsia="ko-KR"/>
        </w:rPr>
        <w:t>t</w:t>
      </w:r>
      <w:r w:rsidRPr="00EC69E9">
        <w:rPr>
          <w:rFonts w:ascii="Times New Roman" w:hAnsi="Times New Roman" w:cs="Times New Roman"/>
          <w:lang w:eastAsia="ko-KR"/>
        </w:rPr>
        <w:t xml:space="preserve"> during the hour of the day </w:t>
      </w:r>
      <w:r w:rsidRPr="00EC69E9">
        <w:rPr>
          <w:rFonts w:ascii="Times New Roman" w:hAnsi="Times New Roman" w:cs="Times New Roman"/>
          <w:i/>
          <w:iCs/>
          <w:lang w:eastAsia="ko-KR"/>
        </w:rPr>
        <w:t>h</w:t>
      </w:r>
      <w:r w:rsidRPr="00EC69E9">
        <w:rPr>
          <w:rFonts w:ascii="Times New Roman" w:hAnsi="Times New Roman" w:cs="Times New Roman"/>
          <w:lang w:eastAsia="ko-KR"/>
        </w:rPr>
        <w:t xml:space="preserve">, and the point estimates of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oMath>
      <w:r w:rsidRPr="00EC69E9">
        <w:rPr>
          <w:rFonts w:ascii="Times New Roman" w:hAnsi="Times New Roman" w:cs="Times New Roman"/>
          <w:lang w:eastAsia="ko-KR"/>
        </w:rPr>
        <w:t xml:space="preserve"> indicate the ATE for each of three rate periods </w:t>
      </w:r>
      <w:r w:rsidRPr="00EC69E9">
        <w:rPr>
          <w:rFonts w:ascii="Times New Roman" w:hAnsi="Times New Roman" w:cs="Times New Roman"/>
          <w:i/>
          <w:iCs/>
          <w:lang w:eastAsia="ko-KR"/>
        </w:rPr>
        <w:t>p</w:t>
      </w:r>
      <w:r w:rsidRPr="00EC69E9">
        <w:rPr>
          <w:rFonts w:ascii="Times New Roman" w:hAnsi="Times New Roman" w:cs="Times New Roman"/>
          <w:lang w:eastAsia="ko-KR"/>
        </w:rPr>
        <w:t>. TABLE summarizes the regression results.</w:t>
      </w:r>
    </w:p>
    <w:p w14:paraId="3363E009" w14:textId="19967C2F" w:rsidR="00E7628C" w:rsidRPr="00E7628C" w:rsidRDefault="00E7628C" w:rsidP="00C723F5">
      <w:pPr>
        <w:wordWrap/>
        <w:spacing w:line="360" w:lineRule="auto"/>
        <w:rPr>
          <w:rFonts w:ascii="Times New Roman" w:hAnsi="Times New Roman" w:cs="Times New Roman"/>
          <w:u w:val="single"/>
          <w:lang w:eastAsia="ko-KR"/>
        </w:rPr>
      </w:pPr>
    </w:p>
    <w:p w14:paraId="7F797AFE" w14:textId="044DAFF4" w:rsidR="001A726E" w:rsidRPr="00EC69E9" w:rsidRDefault="001A726E" w:rsidP="00E7628C">
      <w:pPr>
        <w:wordWrap/>
        <w:spacing w:line="360" w:lineRule="auto"/>
        <w:ind w:firstLine="800"/>
        <w:rPr>
          <w:rFonts w:ascii="Times New Roman" w:hAnsi="Times New Roman" w:cs="Times New Roman"/>
          <w:lang w:eastAsia="ko-KR"/>
        </w:rPr>
      </w:pPr>
      <w:r w:rsidRPr="00EC69E9">
        <w:rPr>
          <w:rFonts w:ascii="Times New Roman" w:hAnsi="Times New Roman" w:cs="Times New Roman"/>
          <w:lang w:eastAsia="ko-KR"/>
        </w:rPr>
        <w:t>The results demonstrated in TABLE indicate that the measured ATEs generally follow the law of demand: in general, the reduction in household demand for electricity during the peak rate period grows with the size of the price jump. Importantly, the results imply that household electricity savings from temperature-control use or ones from non-temperature-control uses depend on the amount of the tariff change in the peak rate period. Motivated by this implication, the relative responsiveness of the two distinct drivers of energy savings to the time-varying prices introduced is quantified below.</w:t>
      </w:r>
    </w:p>
    <w:p w14:paraId="44A66104" w14:textId="3DE4A61A" w:rsidR="000D21DE" w:rsidRDefault="000D21DE" w:rsidP="00C723F5">
      <w:pPr>
        <w:wordWrap/>
        <w:spacing w:line="360" w:lineRule="auto"/>
        <w:rPr>
          <w:rFonts w:ascii="Times New Roman" w:hAnsi="Times New Roman" w:cs="Times New Roman"/>
          <w:lang w:eastAsia="ko-KR"/>
        </w:rPr>
      </w:pPr>
    </w:p>
    <w:p w14:paraId="07C51083" w14:textId="77777777" w:rsidR="000D21DE" w:rsidRPr="007529C1" w:rsidRDefault="000D21DE" w:rsidP="00C723F5">
      <w:pPr>
        <w:wordWrap/>
        <w:spacing w:line="360" w:lineRule="auto"/>
        <w:rPr>
          <w:rFonts w:ascii="Times New Roman" w:hAnsi="Times New Roman" w:cs="Times New Roman"/>
        </w:rPr>
      </w:pPr>
    </w:p>
    <w:p w14:paraId="487CAFC2" w14:textId="03E3DAD4" w:rsidR="000D21DE" w:rsidRDefault="000D21DE" w:rsidP="000D21DE">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sidR="004B2BB6">
        <w:rPr>
          <w:rFonts w:ascii="Times New Roman" w:hAnsi="Times New Roman" w:cs="Times New Roman"/>
          <w:b/>
          <w:bCs/>
        </w:rPr>
        <w:t>2</w:t>
      </w:r>
      <w:r w:rsidRPr="007529C1">
        <w:rPr>
          <w:rFonts w:ascii="Times New Roman" w:hAnsi="Times New Roman" w:cs="Times New Roman"/>
          <w:b/>
          <w:bCs/>
        </w:rPr>
        <w:t xml:space="preserve"> </w:t>
      </w:r>
      <w:r w:rsidR="00627695">
        <w:rPr>
          <w:rFonts w:ascii="Times New Roman" w:hAnsi="Times New Roman" w:cs="Times New Roman"/>
          <w:b/>
          <w:bCs/>
        </w:rPr>
        <w:t>Breakdown of Peak-Rate-Period Household Responses to Time-Of-Use Prices</w:t>
      </w:r>
    </w:p>
    <w:p w14:paraId="389F7C7C" w14:textId="00B8AC66" w:rsidR="00627695" w:rsidRDefault="00627695" w:rsidP="00627695">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sidR="004B2BB6">
        <w:rPr>
          <w:rFonts w:ascii="Times New Roman" w:hAnsi="Times New Roman" w:cs="Times New Roman"/>
          <w:b/>
          <w:bCs/>
        </w:rPr>
        <w:t>2</w:t>
      </w:r>
      <w:r>
        <w:rPr>
          <w:rFonts w:ascii="Times New Roman" w:hAnsi="Times New Roman" w:cs="Times New Roman"/>
          <w:b/>
          <w:bCs/>
        </w:rPr>
        <w:t>.1</w:t>
      </w:r>
      <w:r w:rsidRPr="007529C1">
        <w:rPr>
          <w:rFonts w:ascii="Times New Roman" w:hAnsi="Times New Roman" w:cs="Times New Roman"/>
          <w:b/>
          <w:bCs/>
        </w:rPr>
        <w:t xml:space="preserve"> </w:t>
      </w:r>
      <w:r>
        <w:rPr>
          <w:rFonts w:ascii="Times New Roman" w:hAnsi="Times New Roman" w:cs="Times New Roman"/>
          <w:b/>
          <w:bCs/>
        </w:rPr>
        <w:t>Breakdown of Household Responses in the Peak Rate Period</w:t>
      </w:r>
    </w:p>
    <w:p w14:paraId="0A53F6C7" w14:textId="65C34A26" w:rsidR="00912657" w:rsidRDefault="000509EE" w:rsidP="00912657">
      <w:pPr>
        <w:wordWrap/>
        <w:spacing w:line="360" w:lineRule="auto"/>
        <w:rPr>
          <w:rFonts w:ascii="Times New Roman" w:hAnsi="Times New Roman" w:cs="Times New Roman"/>
          <w:lang w:eastAsia="ko-KR"/>
        </w:rPr>
      </w:pPr>
      <w:r w:rsidRPr="000509EE">
        <w:rPr>
          <w:rFonts w:ascii="Times New Roman" w:hAnsi="Times New Roman" w:cs="Times New Roman"/>
          <w:lang w:eastAsia="ko-KR"/>
        </w:rPr>
        <w:lastRenderedPageBreak/>
        <w:t>I decompose the TOU-tariff-causing reductions in household electricity consumption during the peak rate period into two parts to determine the share of energy savings stemming from two different sources: savings from non-temperature-control and temperature-control uses. Here, the non-temperature-control-related electricity savings mean the stable savings that occur every day regardless of each day's heating degrees. That is, the savings associated with non-temperature-control electricity use do not vary across days. On the contrary, the latter savings strictly depend on HDDs, which fluctuate daily. Therefore, the temperature-control-related electricity savings are additional savings that appear on days with positive HDDs due to reductions in electricity consumption for heating. Isolating the impact of TOU prices on household electricity demand for temperature-control use from the total reductions in electricity demand enables us to know how differently the TOU tariff structures function from day to day, whose implications will be discussed in the next section.</w:t>
      </w:r>
    </w:p>
    <w:p w14:paraId="10007E0E" w14:textId="77777777" w:rsidR="000509EE" w:rsidRDefault="000509EE" w:rsidP="00912657">
      <w:pPr>
        <w:wordWrap/>
        <w:spacing w:line="360" w:lineRule="auto"/>
        <w:rPr>
          <w:rFonts w:ascii="Times New Roman" w:hAnsi="Times New Roman" w:cs="Times New Roman"/>
          <w:lang w:eastAsia="ko-KR"/>
        </w:rPr>
      </w:pPr>
    </w:p>
    <w:p w14:paraId="3CFE9A00" w14:textId="02FD5763" w:rsidR="00912657" w:rsidRDefault="00912657" w:rsidP="00912657">
      <w:pPr>
        <w:wordWrap/>
        <w:spacing w:line="360" w:lineRule="auto"/>
        <w:rPr>
          <w:rFonts w:ascii="Times New Roman" w:hAnsi="Times New Roman" w:cs="Times New Roman"/>
          <w:lang w:eastAsia="ko-KR"/>
        </w:rPr>
      </w:pPr>
      <w:r>
        <w:rPr>
          <w:rFonts w:ascii="Times New Roman" w:hAnsi="Times New Roman" w:cs="Times New Roman"/>
          <w:lang w:eastAsia="ko-KR"/>
        </w:rPr>
        <w:tab/>
      </w:r>
      <w:r w:rsidRPr="00912657">
        <w:rPr>
          <w:rFonts w:ascii="Times New Roman" w:hAnsi="Times New Roman" w:cs="Times New Roman"/>
          <w:lang w:eastAsia="ko-KR"/>
        </w:rPr>
        <w:t>To break down peak-hours household responses to TOU prices, I exploit the following econometric model inspired by the DID framework:</w:t>
      </w:r>
    </w:p>
    <w:p w14:paraId="4C0E2005" w14:textId="3C7EBEC7" w:rsidR="00912657" w:rsidRPr="00B95722" w:rsidRDefault="00CE34ED" w:rsidP="00912657">
      <w:pPr>
        <w:wordWrap/>
        <w:spacing w:line="360" w:lineRule="auto"/>
        <w:rPr>
          <w:rFonts w:ascii="Times New Roman" w:hAnsi="Times New Roman" w:cs="Times New Roman"/>
          <w:i/>
          <w:lang w:val="fr-FR" w:eastAsia="ko-KR"/>
        </w:rPr>
      </w:pPr>
      <m:oMathPara>
        <m:oMath>
          <m:sSub>
            <m:sSubPr>
              <m:ctrlPr>
                <w:rPr>
                  <w:rFonts w:ascii="Cambria Math" w:hAnsi="Cambria Math" w:cs="Times New Roman"/>
                  <w:i/>
                </w:rPr>
              </m:ctrlPr>
            </m:sSubPr>
            <m:e>
              <m:r>
                <w:rPr>
                  <w:rFonts w:ascii="Cambria Math" w:hAnsi="Cambria Math" w:cs="Times New Roman"/>
                </w:rPr>
                <m:t>kW</m:t>
              </m:r>
              <m:r>
                <w:rPr>
                  <w:rFonts w:ascii="Cambria Math" w:hAnsi="Cambria Math" w:cs="Times New Roman"/>
                  <w:lang w:val="fr-FR"/>
                </w:rPr>
                <m:t>h</m:t>
              </m:r>
            </m:e>
            <m:sub>
              <m:r>
                <w:rPr>
                  <w:rFonts w:ascii="Cambria Math" w:hAnsi="Cambria Math" w:cs="Times New Roman"/>
                </w:rPr>
                <m:t>it</m:t>
              </m:r>
              <m:r>
                <w:rPr>
                  <w:rFonts w:ascii="Cambria Math" w:hAnsi="Cambria Math" w:cs="Times New Roman"/>
                  <w:lang w:val="fr-FR"/>
                </w:rPr>
                <m:t>h</m:t>
              </m:r>
            </m:sub>
          </m:sSub>
          <m:r>
            <w:rPr>
              <w:rFonts w:ascii="Cambria Math" w:hAnsi="Cambria Math" w:cs="Times New Roman"/>
              <w:lang w:val="fr-FR"/>
            </w:rPr>
            <m:t xml:space="preserve"> = </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HDD</m:t>
              </m:r>
            </m:e>
            <m:sub>
              <m:r>
                <w:rPr>
                  <w:rFonts w:ascii="Cambria Math" w:hAnsi="Cambria Math" w:cs="Times New Roman"/>
                </w:rPr>
                <m:t>t</m:t>
              </m:r>
            </m:sub>
          </m:sSub>
          <m:r>
            <w:rPr>
              <w:rFonts w:ascii="Cambria Math" w:hAnsi="Cambria Math" w:cs="Times New Roman"/>
            </w:rPr>
            <m:t xml:space="preserve"> </m:t>
          </m:r>
          <m:r>
            <w:rPr>
              <w:rFonts w:ascii="Cambria Math" w:hAnsi="Cambria Math" w:cs="Times New Roman"/>
              <w:lang w:val="fr-FR"/>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m:t>
              </m:r>
            </m:e>
            <m:sub>
              <m:r>
                <w:rPr>
                  <w:rFonts w:ascii="Cambria Math" w:hAnsi="Cambria Math" w:cs="Times New Roman"/>
                </w:rPr>
                <m:t>i</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 xml:space="preserve"> &amp; </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it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HDD</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I</m:t>
              </m:r>
              <m:r>
                <w:rPr>
                  <w:rFonts w:ascii="Cambria Math" w:hAnsi="Cambria Math" w:cs="Times New Roman"/>
                  <w:lang w:val="fr-FR"/>
                </w:rPr>
                <m:t>[</m:t>
              </m:r>
              <m:r>
                <w:rPr>
                  <w:rFonts w:ascii="Cambria Math" w:hAnsi="Cambria Math" w:cs="Times New Roman"/>
                </w:rPr>
                <m:t>Treatment</m:t>
              </m:r>
              <m:r>
                <w:rPr>
                  <w:rFonts w:ascii="Cambria Math" w:hAnsi="Cambria Math" w:cs="Times New Roman"/>
                  <w:lang w:val="fr-FR"/>
                </w:rPr>
                <m:t xml:space="preserve"> &amp; </m:t>
              </m:r>
              <m:r>
                <w:rPr>
                  <w:rFonts w:ascii="Cambria Math" w:hAnsi="Cambria Math" w:cs="Times New Roman"/>
                </w:rPr>
                <m:t>Post</m:t>
              </m:r>
              <m:r>
                <w:rPr>
                  <w:rFonts w:ascii="Cambria Math" w:hAnsi="Cambria Math" w:cs="Times New Roman"/>
                  <w:lang w:val="fr-FR"/>
                </w:rPr>
                <m:t>]</m:t>
              </m:r>
            </m:e>
            <m:sub>
              <m:r>
                <w:rPr>
                  <w:rFonts w:ascii="Cambria Math" w:hAnsi="Cambria Math" w:cs="Times New Roman"/>
                </w:rPr>
                <m:t>it</m:t>
              </m:r>
            </m:sub>
          </m:sSub>
          <m:r>
            <w:rPr>
              <w:rFonts w:ascii="Cambria Math" w:hAnsi="Cambria Math" w:cs="Times New Roman"/>
              <w:lang w:val="fr-FR"/>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iw</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m:t>
              </m:r>
            </m:sub>
          </m:sSub>
          <m:r>
            <w:rPr>
              <w:rFonts w:ascii="Cambria Math" w:hAnsi="Cambria Math" w:cs="Times New Roman"/>
              <w:lang w:val="fr-FR"/>
            </w:rPr>
            <m:t xml:space="preserve">+ </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it</m:t>
              </m:r>
              <m:r>
                <w:rPr>
                  <w:rFonts w:ascii="Cambria Math" w:hAnsi="Cambria Math" w:cs="Times New Roman"/>
                  <w:lang w:val="fr-FR"/>
                </w:rPr>
                <m:t>h</m:t>
              </m:r>
            </m:sub>
          </m:sSub>
        </m:oMath>
      </m:oMathPara>
    </w:p>
    <w:p w14:paraId="78EB460C" w14:textId="01936F58" w:rsidR="00912657" w:rsidRDefault="00912657" w:rsidP="00B95722">
      <w:pPr>
        <w:wordWrap/>
        <w:spacing w:line="360" w:lineRule="auto"/>
        <w:rPr>
          <w:rFonts w:ascii="Times New Roman" w:hAnsi="Times New Roman" w:cs="Times New Roman"/>
          <w:lang w:eastAsia="ko-KR"/>
        </w:rPr>
      </w:pPr>
      <w:r w:rsidRPr="00912657">
        <w:rPr>
          <w:rFonts w:ascii="Times New Roman" w:hAnsi="Times New Roman" w:cs="Times New Roman"/>
          <w:lang w:eastAsia="ko-KR"/>
        </w:rPr>
        <w:t>Like</w:t>
      </w:r>
      <w:r w:rsidR="000E14C9">
        <w:rPr>
          <w:rFonts w:ascii="Times New Roman" w:hAnsi="Times New Roman" w:cs="Times New Roman"/>
          <w:lang w:eastAsia="ko-KR"/>
        </w:rPr>
        <w:t xml:space="preserve"> (MODEL-2</w:t>
      </w:r>
      <w:r w:rsidRPr="00912657">
        <w:rPr>
          <w:rFonts w:ascii="Times New Roman" w:hAnsi="Times New Roman" w:cs="Times New Roman"/>
          <w:lang w:eastAsia="ko-KR"/>
        </w:rPr>
        <w:t xml:space="preserve">), the dependent variable </w:t>
      </w:r>
      <m:oMath>
        <m:sSub>
          <m:sSubPr>
            <m:ctrlPr>
              <w:rPr>
                <w:rFonts w:ascii="Cambria Math" w:hAnsi="Cambria Math" w:cs="Times New Roman"/>
                <w:i/>
              </w:rPr>
            </m:ctrlPr>
          </m:sSubPr>
          <m:e>
            <m:r>
              <w:rPr>
                <w:rFonts w:ascii="Cambria Math" w:hAnsi="Cambria Math" w:cs="Times New Roman"/>
              </w:rPr>
              <m:t>kWh</m:t>
            </m:r>
          </m:e>
          <m:sub>
            <m:r>
              <w:rPr>
                <w:rFonts w:ascii="Cambria Math" w:hAnsi="Cambria Math" w:cs="Times New Roman"/>
              </w:rPr>
              <m:t>ith</m:t>
            </m:r>
          </m:sub>
        </m:sSub>
      </m:oMath>
      <w:r w:rsidRPr="00912657">
        <w:rPr>
          <w:rFonts w:ascii="Times New Roman" w:hAnsi="Times New Roman" w:cs="Times New Roman"/>
          <w:lang w:eastAsia="ko-KR"/>
        </w:rPr>
        <w:t xml:space="preserve"> is the electricity consumption by household </w:t>
      </w:r>
      <w:proofErr w:type="spellStart"/>
      <w:r w:rsidR="00E470D2" w:rsidRPr="00E470D2">
        <w:rPr>
          <w:rFonts w:ascii="Times New Roman" w:hAnsi="Times New Roman" w:cs="Times New Roman"/>
          <w:i/>
          <w:iCs/>
          <w:lang w:eastAsia="ko-KR"/>
        </w:rPr>
        <w:t>i</w:t>
      </w:r>
      <w:proofErr w:type="spellEnd"/>
      <w:r w:rsidRPr="00912657">
        <w:rPr>
          <w:rFonts w:ascii="Times New Roman" w:hAnsi="Times New Roman" w:cs="Times New Roman"/>
          <w:lang w:eastAsia="ko-KR"/>
        </w:rPr>
        <w:t xml:space="preserve"> on the day </w:t>
      </w:r>
      <w:r w:rsidR="00E470D2" w:rsidRPr="00E470D2">
        <w:rPr>
          <w:rFonts w:ascii="Times New Roman" w:hAnsi="Times New Roman" w:cs="Times New Roman"/>
          <w:i/>
          <w:iCs/>
          <w:lang w:eastAsia="ko-KR"/>
        </w:rPr>
        <w:t>t</w:t>
      </w:r>
      <w:r w:rsidRPr="00912657">
        <w:rPr>
          <w:rFonts w:ascii="Times New Roman" w:hAnsi="Times New Roman" w:cs="Times New Roman"/>
          <w:lang w:eastAsia="ko-KR"/>
        </w:rPr>
        <w:t xml:space="preserve"> during the hour of the day </w:t>
      </w:r>
      <w:r w:rsidR="00E470D2" w:rsidRPr="00E470D2">
        <w:rPr>
          <w:rFonts w:ascii="Times New Roman" w:hAnsi="Times New Roman" w:cs="Times New Roman"/>
          <w:i/>
          <w:iCs/>
          <w:lang w:eastAsia="ko-KR"/>
        </w:rPr>
        <w:t>h</w:t>
      </w:r>
      <w:r w:rsidRPr="00912657">
        <w:rPr>
          <w:rFonts w:ascii="Times New Roman" w:hAnsi="Times New Roman" w:cs="Times New Roman"/>
          <w:lang w:eastAsia="ko-KR"/>
        </w:rPr>
        <w:t xml:space="preserve">. There are three indicator variables in the model: the first indicator variable </w:t>
      </w:r>
      <m:oMath>
        <m:sSub>
          <m:sSubPr>
            <m:ctrlPr>
              <w:rPr>
                <w:rFonts w:ascii="Cambria Math" w:hAnsi="Cambria Math" w:cs="Times New Roman"/>
                <w:i/>
              </w:rPr>
            </m:ctrlPr>
          </m:sSubPr>
          <m:e>
            <m:r>
              <w:rPr>
                <w:rFonts w:ascii="Cambria Math" w:hAnsi="Cambria Math" w:cs="Times New Roman"/>
              </w:rPr>
              <m:t>I[Treatment]</m:t>
            </m:r>
          </m:e>
          <m:sub>
            <m:r>
              <w:rPr>
                <w:rFonts w:ascii="Cambria Math" w:hAnsi="Cambria Math" w:cs="Times New Roman"/>
              </w:rPr>
              <m:t>i</m:t>
            </m:r>
          </m:sub>
        </m:sSub>
        <m:r>
          <w:rPr>
            <w:rFonts w:ascii="Cambria Math" w:hAnsi="Cambria Math" w:cs="Times New Roman"/>
          </w:rPr>
          <m:t xml:space="preserve"> </m:t>
        </m:r>
      </m:oMath>
      <w:r w:rsidRPr="00912657">
        <w:rPr>
          <w:rFonts w:ascii="Times New Roman" w:hAnsi="Times New Roman" w:cs="Times New Roman"/>
          <w:lang w:eastAsia="ko-KR"/>
        </w:rPr>
        <w:t xml:space="preserve">has the value of 1 if household </w:t>
      </w:r>
      <w:r w:rsidR="00E470D2" w:rsidRPr="00E470D2">
        <w:rPr>
          <w:rFonts w:ascii="Times New Roman" w:hAnsi="Times New Roman" w:cs="Times New Roman"/>
          <w:i/>
          <w:iCs/>
          <w:lang w:eastAsia="ko-KR"/>
        </w:rPr>
        <w:t>i</w:t>
      </w:r>
      <w:r w:rsidRPr="00912657">
        <w:rPr>
          <w:rFonts w:ascii="Times New Roman" w:hAnsi="Times New Roman" w:cs="Times New Roman"/>
          <w:lang w:eastAsia="ko-KR"/>
        </w:rPr>
        <w:t xml:space="preserve"> is assigned to the treatment group; the second indicator variable </w:t>
      </w:r>
      <m:oMath>
        <m:sSub>
          <m:sSubPr>
            <m:ctrlPr>
              <w:rPr>
                <w:rFonts w:ascii="Cambria Math" w:hAnsi="Cambria Math" w:cs="Times New Roman"/>
                <w:i/>
              </w:rPr>
            </m:ctrlPr>
          </m:sSubPr>
          <m:e>
            <m:r>
              <w:rPr>
                <w:rFonts w:ascii="Cambria Math" w:hAnsi="Cambria Math" w:cs="Times New Roman"/>
              </w:rPr>
              <m:t>I[Post]</m:t>
            </m:r>
          </m:e>
          <m:sub>
            <m:r>
              <w:rPr>
                <w:rFonts w:ascii="Cambria Math" w:hAnsi="Cambria Math" w:cs="Times New Roman"/>
              </w:rPr>
              <m:t>t</m:t>
            </m:r>
          </m:sub>
        </m:sSub>
      </m:oMath>
      <w:r w:rsidRPr="00912657">
        <w:rPr>
          <w:rFonts w:ascii="Times New Roman" w:hAnsi="Times New Roman" w:cs="Times New Roman"/>
          <w:lang w:eastAsia="ko-KR"/>
        </w:rPr>
        <w:t xml:space="preserve">equals 1 when the day </w:t>
      </w:r>
      <w:r w:rsidR="00292602" w:rsidRPr="00292602">
        <w:rPr>
          <w:rFonts w:ascii="Times New Roman" w:hAnsi="Times New Roman" w:cs="Times New Roman"/>
          <w:i/>
          <w:iCs/>
          <w:lang w:eastAsia="ko-KR"/>
        </w:rPr>
        <w:t>t</w:t>
      </w:r>
      <w:r w:rsidRPr="00912657">
        <w:rPr>
          <w:rFonts w:ascii="Times New Roman" w:hAnsi="Times New Roman" w:cs="Times New Roman"/>
          <w:lang w:eastAsia="ko-KR"/>
        </w:rPr>
        <w:t xml:space="preserve"> is in the treatment period; the last indicator variable </w:t>
      </w:r>
      <m:oMath>
        <m:sSub>
          <m:sSubPr>
            <m:ctrlPr>
              <w:rPr>
                <w:rFonts w:ascii="Cambria Math" w:hAnsi="Cambria Math" w:cs="Times New Roman"/>
                <w:i/>
              </w:rPr>
            </m:ctrlPr>
          </m:sSubPr>
          <m:e>
            <m:r>
              <w:rPr>
                <w:rFonts w:ascii="Cambria Math" w:hAnsi="Cambria Math" w:cs="Times New Roman"/>
              </w:rPr>
              <m:t>I[Treatment &amp; Post]</m:t>
            </m:r>
          </m:e>
          <m:sub>
            <m:r>
              <w:rPr>
                <w:rFonts w:ascii="Cambria Math" w:hAnsi="Cambria Math" w:cs="Times New Roman"/>
              </w:rPr>
              <m:t>it</m:t>
            </m:r>
          </m:sub>
        </m:sSub>
      </m:oMath>
      <w:r w:rsidRPr="00912657">
        <w:rPr>
          <w:rFonts w:ascii="Times New Roman" w:hAnsi="Times New Roman" w:cs="Times New Roman"/>
          <w:lang w:eastAsia="ko-KR"/>
        </w:rPr>
        <w:t xml:space="preserve"> is equal to 1 only for treatment households during the treatment period. The model also includes interaction terms between daily HDDs and those indicator variables. The terms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dw</m:t>
            </m:r>
          </m:sub>
        </m:sSub>
      </m:oMath>
      <w:r w:rsidR="000509EE">
        <w:rPr>
          <w:rFonts w:ascii="Times New Roman" w:hAnsi="Times New Roman" w:cs="Times New Roman" w:hint="eastAsia"/>
          <w:lang w:eastAsia="ko-Kore-US"/>
        </w:rPr>
        <w:t>,</w:t>
      </w:r>
      <w:r w:rsidR="000509EE">
        <w:rPr>
          <w:rFonts w:ascii="Times New Roman" w:hAnsi="Times New Roman" w:cs="Times New Roman"/>
          <w:lang w:eastAsia="ko-Kore-US"/>
        </w:rPr>
        <w:t xml:space="preserve"> </w:t>
      </w:r>
      <m:oMath>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dw</m:t>
            </m:r>
          </m:sub>
        </m:sSub>
      </m:oMath>
      <w:r w:rsidRPr="00912657">
        <w:rPr>
          <w:rFonts w:ascii="Times New Roman" w:hAnsi="Times New Roman" w:cs="Times New Roman"/>
          <w:lang w:eastAsia="ko-KR"/>
        </w:rPr>
        <w:t xml:space="preserve"> and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mw</m:t>
            </m:r>
          </m:sub>
        </m:sSub>
        <m:r>
          <w:rPr>
            <w:rFonts w:ascii="Cambria Math" w:hAnsi="Cambria Math" w:cs="Times New Roman"/>
          </w:rPr>
          <m:t xml:space="preserve"> </m:t>
        </m:r>
      </m:oMath>
      <w:r w:rsidRPr="00912657">
        <w:rPr>
          <w:rFonts w:ascii="Times New Roman" w:hAnsi="Times New Roman" w:cs="Times New Roman"/>
          <w:lang w:eastAsia="ko-KR"/>
        </w:rPr>
        <w:t>are</w:t>
      </w:r>
      <w:r w:rsidR="000509EE">
        <w:rPr>
          <w:rFonts w:ascii="Times New Roman" w:hAnsi="Times New Roman" w:cs="Times New Roman"/>
          <w:lang w:eastAsia="ko-KR"/>
        </w:rPr>
        <w:t xml:space="preserve"> household-by-half-hourly-time-window,</w:t>
      </w:r>
      <w:r w:rsidRPr="00912657">
        <w:rPr>
          <w:rFonts w:ascii="Times New Roman" w:hAnsi="Times New Roman" w:cs="Times New Roman"/>
          <w:lang w:eastAsia="ko-KR"/>
        </w:rPr>
        <w:t xml:space="preserve"> day-of-week-by-half-hourly-time-</w:t>
      </w:r>
      <w:proofErr w:type="gramStart"/>
      <w:r w:rsidRPr="00912657">
        <w:rPr>
          <w:rFonts w:ascii="Times New Roman" w:hAnsi="Times New Roman" w:cs="Times New Roman"/>
          <w:lang w:eastAsia="ko-KR"/>
        </w:rPr>
        <w:t>window</w:t>
      </w:r>
      <w:proofErr w:type="gramEnd"/>
      <w:r w:rsidRPr="00912657">
        <w:rPr>
          <w:rFonts w:ascii="Times New Roman" w:hAnsi="Times New Roman" w:cs="Times New Roman"/>
          <w:lang w:eastAsia="ko-KR"/>
        </w:rPr>
        <w:t xml:space="preserve"> and month-of-year-by-half-hourly-time-window fixed effects, respectively.</w:t>
      </w:r>
    </w:p>
    <w:p w14:paraId="62B8AB07" w14:textId="618625F9" w:rsidR="00912657" w:rsidRDefault="00912657" w:rsidP="00912657">
      <w:pPr>
        <w:wordWrap/>
        <w:spacing w:line="360" w:lineRule="auto"/>
        <w:rPr>
          <w:rFonts w:ascii="Times New Roman" w:hAnsi="Times New Roman" w:cs="Times New Roman"/>
          <w:lang w:eastAsia="ko-KR"/>
        </w:rPr>
      </w:pPr>
    </w:p>
    <w:p w14:paraId="10199C57" w14:textId="47E4C8B5" w:rsidR="00A21347" w:rsidRDefault="00912657" w:rsidP="002C1152">
      <w:pPr>
        <w:wordWrap/>
        <w:spacing w:line="360" w:lineRule="auto"/>
        <w:ind w:firstLine="800"/>
        <w:rPr>
          <w:rFonts w:ascii="Times New Roman" w:hAnsi="Times New Roman" w:cs="Times New Roman"/>
          <w:lang w:eastAsia="ko-KR"/>
        </w:rPr>
      </w:pPr>
      <w:r w:rsidRPr="00912657">
        <w:rPr>
          <w:rFonts w:ascii="Times New Roman" w:hAnsi="Times New Roman" w:cs="Times New Roman"/>
          <w:lang w:eastAsia="ko-KR"/>
        </w:rPr>
        <w:t>The primary coefficients of interest in (</w:t>
      </w:r>
      <w:r w:rsidR="000E14C9">
        <w:rPr>
          <w:rFonts w:ascii="Times New Roman" w:hAnsi="Times New Roman" w:cs="Times New Roman"/>
          <w:lang w:eastAsia="ko-KR"/>
        </w:rPr>
        <w:t>MODEL-3</w:t>
      </w:r>
      <w:r w:rsidRPr="00912657">
        <w:rPr>
          <w:rFonts w:ascii="Times New Roman" w:hAnsi="Times New Roman" w:cs="Times New Roman"/>
          <w:lang w:eastAsia="ko-KR"/>
        </w:rPr>
        <w:t xml:space="preserve">) are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oMath>
      <w:r w:rsidRPr="00912657">
        <w:rPr>
          <w:rFonts w:ascii="Times New Roman" w:hAnsi="Times New Roman" w:cs="Times New Roman"/>
          <w:lang w:eastAsia="ko-KR"/>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oMath>
      <w:r w:rsidR="00D164F1">
        <w:rPr>
          <w:rFonts w:ascii="Times New Roman" w:hAnsi="Times New Roman" w:cs="Times New Roman" w:hint="eastAsia"/>
        </w:rPr>
        <w:t>.</w:t>
      </w:r>
      <w:r w:rsidR="00D164F1">
        <w:rPr>
          <w:rFonts w:ascii="Times New Roman" w:hAnsi="Times New Roman" w:cs="Times New Roman"/>
        </w:rPr>
        <w:t xml:space="preserve"> </w:t>
      </w:r>
      <w:r w:rsidRPr="00912657">
        <w:rPr>
          <w:rFonts w:ascii="Times New Roman" w:hAnsi="Times New Roman" w:cs="Times New Roman"/>
          <w:lang w:eastAsia="ko-KR"/>
        </w:rPr>
        <w:t xml:space="preserve">Both coefficients show how much electricity consumption households have reduced since the deployment of the TOU tariffs. To be specific,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 xml:space="preserve"> </m:t>
        </m:r>
      </m:oMath>
      <w:r w:rsidRPr="00912657">
        <w:rPr>
          <w:rFonts w:ascii="Times New Roman" w:hAnsi="Times New Roman" w:cs="Times New Roman"/>
          <w:lang w:eastAsia="ko-KR"/>
        </w:rPr>
        <w:t xml:space="preserve">is the decrease in household electricity consumption for non-temperature-control uses, while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oMath>
      <w:r w:rsidRPr="00912657">
        <w:rPr>
          <w:rFonts w:ascii="Times New Roman" w:hAnsi="Times New Roman" w:cs="Times New Roman"/>
          <w:lang w:eastAsia="ko-KR"/>
        </w:rPr>
        <w:t xml:space="preserve"> is associated with the reductions in electricity consumed to satisfy household heating needs for given HDDs.</w:t>
      </w:r>
    </w:p>
    <w:p w14:paraId="7CF9CF61" w14:textId="77777777" w:rsidR="00277C37" w:rsidRPr="000E14C9" w:rsidRDefault="00277C37" w:rsidP="00A21347">
      <w:pPr>
        <w:wordWrap/>
        <w:spacing w:line="360" w:lineRule="auto"/>
        <w:rPr>
          <w:rFonts w:ascii="Times New Roman" w:hAnsi="Times New Roman" w:cs="Times New Roman"/>
          <w:lang w:eastAsia="ko-KR"/>
        </w:rPr>
      </w:pPr>
    </w:p>
    <w:p w14:paraId="683FE888" w14:textId="752E866F" w:rsidR="00912657" w:rsidRDefault="00912657" w:rsidP="00912657">
      <w:pPr>
        <w:wordWrap/>
        <w:spacing w:line="360" w:lineRule="auto"/>
        <w:ind w:firstLine="800"/>
        <w:rPr>
          <w:rFonts w:ascii="Times New Roman" w:hAnsi="Times New Roman" w:cs="Times New Roman"/>
          <w:lang w:eastAsia="ko-KR"/>
        </w:rPr>
      </w:pPr>
      <w:r w:rsidRPr="00912657">
        <w:rPr>
          <w:rFonts w:ascii="Times New Roman" w:hAnsi="Times New Roman" w:cs="Times New Roman"/>
          <w:lang w:eastAsia="ko-KR"/>
        </w:rPr>
        <w:t>Using the points estimates of the two coefficients of interest presented in T</w:t>
      </w:r>
      <w:r w:rsidR="006F2B9E">
        <w:rPr>
          <w:rFonts w:ascii="Times New Roman" w:hAnsi="Times New Roman" w:cs="Times New Roman"/>
          <w:lang w:eastAsia="ko-KR"/>
        </w:rPr>
        <w:t>ABLE below</w:t>
      </w:r>
      <w:r w:rsidRPr="00912657">
        <w:rPr>
          <w:rFonts w:ascii="Times New Roman" w:hAnsi="Times New Roman" w:cs="Times New Roman"/>
          <w:lang w:eastAsia="ko-KR"/>
        </w:rPr>
        <w:t>, I show how the electricity savings caused by the TOU prices vary with daily HDDs in</w:t>
      </w:r>
      <w:r w:rsidR="00AB7D9F">
        <w:rPr>
          <w:rFonts w:ascii="Times New Roman" w:hAnsi="Times New Roman" w:cs="Times New Roman"/>
          <w:lang w:eastAsia="ko-KR"/>
        </w:rPr>
        <w:t xml:space="preserve"> FIGURE</w:t>
      </w:r>
      <w:r w:rsidRPr="00912657">
        <w:rPr>
          <w:rFonts w:ascii="Times New Roman" w:hAnsi="Times New Roman" w:cs="Times New Roman"/>
          <w:lang w:eastAsia="ko-KR"/>
        </w:rPr>
        <w:t>.</w:t>
      </w:r>
      <w:r w:rsidR="006F2B9E">
        <w:rPr>
          <w:rStyle w:val="a4"/>
          <w:rFonts w:ascii="Times New Roman" w:hAnsi="Times New Roman" w:cs="Times New Roman"/>
          <w:lang w:eastAsia="ko-KR"/>
        </w:rPr>
        <w:footnoteReference w:id="2"/>
      </w:r>
      <w:r w:rsidRPr="00912657">
        <w:rPr>
          <w:rFonts w:ascii="Times New Roman" w:hAnsi="Times New Roman" w:cs="Times New Roman"/>
          <w:lang w:eastAsia="ko-KR"/>
        </w:rPr>
        <w:t xml:space="preserve"> </w:t>
      </w:r>
      <w:r w:rsidR="002A77F6" w:rsidRPr="002A77F6">
        <w:rPr>
          <w:rFonts w:ascii="Times New Roman" w:hAnsi="Times New Roman" w:cs="Times New Roman"/>
          <w:lang w:eastAsia="ko-KR"/>
        </w:rPr>
        <w:t xml:space="preserve">The figure clearly demonstrates that the households assigned to the treatment group significantly reduced their electricity consumption when they were subject to the TOU prices. Specifically, they reduced their consumption by about 10\% on a day with zero HDD. In addition, it is evident from the figure that the share of temperature-control-use-related demand reductions grows as household electricity needs for heating become serious. For example, the </w:t>
      </w:r>
      <w:r w:rsidR="002A77F6" w:rsidRPr="002A77F6">
        <w:rPr>
          <w:rFonts w:ascii="Times New Roman" w:hAnsi="Times New Roman" w:cs="Times New Roman"/>
          <w:lang w:eastAsia="ko-KR"/>
        </w:rPr>
        <w:lastRenderedPageBreak/>
        <w:t>energy savings originating from electricity consumption for temperature-control use were close to half of the total TOU-pricing-inducing reductions in household electricity demand when Irish household needs for heating were at their peak (i.e., around daily HDDs of 35).</w:t>
      </w:r>
    </w:p>
    <w:p w14:paraId="1BFD098E" w14:textId="77777777" w:rsidR="002C1152" w:rsidRDefault="002C1152" w:rsidP="00912657">
      <w:pPr>
        <w:wordWrap/>
        <w:spacing w:line="360" w:lineRule="auto"/>
        <w:ind w:firstLine="800"/>
        <w:rPr>
          <w:rFonts w:ascii="Times New Roman" w:hAnsi="Times New Roman" w:cs="Times New Roman"/>
          <w:lang w:eastAsia="ko-KR"/>
        </w:rPr>
      </w:pPr>
    </w:p>
    <w:p w14:paraId="6E77109F" w14:textId="62B891F2" w:rsidR="00912657" w:rsidRDefault="004B2BB6" w:rsidP="00912657">
      <w:pPr>
        <w:wordWrap/>
        <w:spacing w:line="360" w:lineRule="auto"/>
        <w:rPr>
          <w:rFonts w:ascii="Times New Roman" w:hAnsi="Times New Roman" w:cs="Times New Roman"/>
          <w:lang w:eastAsia="ko-KR"/>
        </w:rPr>
      </w:pPr>
      <w:r>
        <w:rPr>
          <w:rFonts w:ascii="Times New Roman" w:hAnsi="Times New Roman" w:cs="Times New Roman"/>
          <w:noProof/>
          <w:lang w:eastAsia="ko-KR"/>
        </w:rPr>
        <w:drawing>
          <wp:inline distT="0" distB="0" distL="0" distR="0" wp14:anchorId="35E64362" wp14:editId="0A690702">
            <wp:extent cx="5731510" cy="4235450"/>
            <wp:effectExtent l="0" t="0" r="0" b="635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그림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35450"/>
                    </a:xfrm>
                    <a:prstGeom prst="rect">
                      <a:avLst/>
                    </a:prstGeom>
                  </pic:spPr>
                </pic:pic>
              </a:graphicData>
            </a:graphic>
          </wp:inline>
        </w:drawing>
      </w:r>
    </w:p>
    <w:p w14:paraId="5DC3EA5F" w14:textId="77777777" w:rsidR="002A77F6" w:rsidRDefault="002A77F6" w:rsidP="00912657">
      <w:pPr>
        <w:wordWrap/>
        <w:spacing w:line="360" w:lineRule="auto"/>
        <w:rPr>
          <w:rFonts w:ascii="Times New Roman" w:hAnsi="Times New Roman" w:cs="Times New Roman" w:hint="eastAsia"/>
          <w:lang w:eastAsia="ko-KR"/>
        </w:rPr>
      </w:pPr>
    </w:p>
    <w:p w14:paraId="1F3EB527" w14:textId="7BE86BC9" w:rsidR="002A77F6" w:rsidRDefault="002A77F6" w:rsidP="00912657">
      <w:pPr>
        <w:wordWrap/>
        <w:spacing w:line="360" w:lineRule="auto"/>
        <w:rPr>
          <w:rFonts w:ascii="Times New Roman" w:hAnsi="Times New Roman" w:cs="Times New Roman"/>
          <w:lang w:eastAsia="ko-KR"/>
        </w:rPr>
      </w:pPr>
      <w:r>
        <w:rPr>
          <w:rFonts w:ascii="Times New Roman" w:hAnsi="Times New Roman" w:cs="Times New Roman"/>
          <w:lang w:eastAsia="ko-KR"/>
        </w:rPr>
        <w:tab/>
      </w:r>
      <w:r w:rsidRPr="002A77F6">
        <w:rPr>
          <w:rFonts w:ascii="Times New Roman" w:hAnsi="Times New Roman" w:cs="Times New Roman"/>
          <w:lang w:eastAsia="ko-KR"/>
        </w:rPr>
        <w:t>The specification</w:t>
      </w:r>
      <w:r>
        <w:rPr>
          <w:rFonts w:ascii="Times New Roman" w:hAnsi="Times New Roman" w:cs="Times New Roman"/>
          <w:lang w:eastAsia="ko-KR"/>
        </w:rPr>
        <w:t xml:space="preserve"> </w:t>
      </w:r>
      <w:r w:rsidRPr="002A77F6">
        <w:rPr>
          <w:rFonts w:ascii="Times New Roman" w:hAnsi="Times New Roman" w:cs="Times New Roman"/>
          <w:lang w:eastAsia="ko-KR"/>
        </w:rPr>
        <w:t>is also utilized to examine the relationship between the degree of price increases and the electricity savings during the peak rate period. The point estimates of coefficients of interest, demonstrated in the last four columns of TABLE, are interesting in two points. First, the reduction in non-temperature-control electricity demand caused by introducing the TOU tariffs is positively proportional to the size of the change in price during peak hours. In other words, the electricity savings occurring on any day regardless of the average daily temperatures obviously follow the law of demand. Second, the savings associated with temperature-control electricity use are insensitive to the price jumps in the peak rate period.</w:t>
      </w:r>
    </w:p>
    <w:p w14:paraId="5450C945" w14:textId="6A24152F" w:rsidR="002A77F6" w:rsidRDefault="002A77F6" w:rsidP="00912657">
      <w:pPr>
        <w:wordWrap/>
        <w:spacing w:line="360" w:lineRule="auto"/>
        <w:rPr>
          <w:rFonts w:ascii="Times New Roman" w:hAnsi="Times New Roman" w:cs="Times New Roman"/>
          <w:lang w:eastAsia="ko-KR"/>
        </w:rPr>
      </w:pPr>
    </w:p>
    <w:p w14:paraId="054DA1CB" w14:textId="77301F23" w:rsidR="0035019C" w:rsidRDefault="0035019C" w:rsidP="00912657">
      <w:pPr>
        <w:wordWrap/>
        <w:spacing w:line="360" w:lineRule="auto"/>
        <w:rPr>
          <w:rFonts w:ascii="Times New Roman" w:hAnsi="Times New Roman" w:cs="Times New Roman" w:hint="eastAsia"/>
          <w:lang w:eastAsia="ko-KR"/>
        </w:rPr>
      </w:pPr>
      <w:r>
        <w:rPr>
          <w:rFonts w:ascii="Times New Roman" w:hAnsi="Times New Roman" w:cs="Times New Roman" w:hint="eastAsia"/>
          <w:noProof/>
          <w:lang w:eastAsia="ko-KR"/>
        </w:rPr>
        <w:lastRenderedPageBreak/>
        <w:drawing>
          <wp:inline distT="0" distB="0" distL="0" distR="0" wp14:anchorId="0C277DE0" wp14:editId="5B2089FC">
            <wp:extent cx="5731510" cy="4965700"/>
            <wp:effectExtent l="0" t="0" r="0" b="0"/>
            <wp:docPr id="2" name="그림 2"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descr="테이블이(가) 표시된 사진&#10;&#10;자동 생성된 설명"/>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965700"/>
                    </a:xfrm>
                    <a:prstGeom prst="rect">
                      <a:avLst/>
                    </a:prstGeom>
                  </pic:spPr>
                </pic:pic>
              </a:graphicData>
            </a:graphic>
          </wp:inline>
        </w:drawing>
      </w:r>
    </w:p>
    <w:p w14:paraId="318382FB" w14:textId="77777777" w:rsidR="002A77F6" w:rsidRDefault="002A77F6" w:rsidP="00912657">
      <w:pPr>
        <w:wordWrap/>
        <w:spacing w:line="360" w:lineRule="auto"/>
        <w:rPr>
          <w:rFonts w:ascii="Times New Roman" w:hAnsi="Times New Roman" w:cs="Times New Roman" w:hint="eastAsia"/>
          <w:lang w:eastAsia="ko-KR"/>
        </w:rPr>
      </w:pPr>
    </w:p>
    <w:p w14:paraId="59EB72C9" w14:textId="54A0EE41" w:rsidR="00627695" w:rsidRDefault="00627695" w:rsidP="00912657">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sidR="004B2BB6">
        <w:rPr>
          <w:rFonts w:ascii="Times New Roman" w:hAnsi="Times New Roman" w:cs="Times New Roman"/>
          <w:b/>
          <w:bCs/>
        </w:rPr>
        <w:t>2</w:t>
      </w:r>
      <w:r>
        <w:rPr>
          <w:rFonts w:ascii="Times New Roman" w:hAnsi="Times New Roman" w:cs="Times New Roman"/>
          <w:b/>
          <w:bCs/>
        </w:rPr>
        <w:t>.2</w:t>
      </w:r>
      <w:r w:rsidRPr="007529C1">
        <w:rPr>
          <w:rFonts w:ascii="Times New Roman" w:hAnsi="Times New Roman" w:cs="Times New Roman"/>
          <w:b/>
          <w:bCs/>
        </w:rPr>
        <w:t xml:space="preserve"> </w:t>
      </w:r>
      <w:r>
        <w:rPr>
          <w:rFonts w:ascii="Times New Roman" w:hAnsi="Times New Roman" w:cs="Times New Roman"/>
          <w:b/>
          <w:bCs/>
        </w:rPr>
        <w:t>Peak-Rate-Period Household Responses as a Linear Function of Price Changes</w:t>
      </w:r>
    </w:p>
    <w:p w14:paraId="726F6F47" w14:textId="2909546B" w:rsidR="000D21DE" w:rsidRDefault="000D21DE" w:rsidP="000D21DE">
      <w:pPr>
        <w:wordWrap/>
        <w:spacing w:line="360" w:lineRule="auto"/>
        <w:rPr>
          <w:rFonts w:ascii="Times New Roman" w:hAnsi="Times New Roman" w:cs="Times New Roman"/>
          <w:lang w:eastAsia="ko-KR"/>
        </w:rPr>
      </w:pPr>
      <w:r>
        <w:rPr>
          <w:rFonts w:ascii="Times New Roman" w:hAnsi="Times New Roman" w:cs="Times New Roman"/>
          <w:lang w:eastAsia="ko-KR"/>
        </w:rPr>
        <w:t>(…)</w:t>
      </w:r>
    </w:p>
    <w:p w14:paraId="65F8454A" w14:textId="00871F79" w:rsidR="00D51B98" w:rsidRDefault="00D51B98" w:rsidP="000D21DE">
      <w:pPr>
        <w:wordWrap/>
        <w:spacing w:line="360" w:lineRule="auto"/>
        <w:rPr>
          <w:rFonts w:ascii="Times New Roman" w:hAnsi="Times New Roman" w:cs="Times New Roman"/>
          <w:lang w:eastAsia="ko-KR"/>
        </w:rPr>
      </w:pPr>
    </w:p>
    <w:p w14:paraId="5553B2B9" w14:textId="79A4975A" w:rsidR="00D51B98" w:rsidRDefault="00D51B98" w:rsidP="00D51B98">
      <w:pPr>
        <w:wordWrap/>
        <w:spacing w:line="360" w:lineRule="auto"/>
        <w:rPr>
          <w:rFonts w:ascii="Times New Roman" w:hAnsi="Times New Roman" w:cs="Times New Roman"/>
          <w:b/>
          <w:bCs/>
        </w:rPr>
      </w:pPr>
      <w:r>
        <w:rPr>
          <w:rFonts w:ascii="Times New Roman" w:hAnsi="Times New Roman" w:cs="Times New Roman"/>
          <w:b/>
          <w:bCs/>
        </w:rPr>
        <w:t>3</w:t>
      </w:r>
      <w:r w:rsidRPr="007529C1">
        <w:rPr>
          <w:rFonts w:ascii="Times New Roman" w:hAnsi="Times New Roman" w:cs="Times New Roman"/>
          <w:b/>
          <w:bCs/>
        </w:rPr>
        <w:t>.</w:t>
      </w:r>
      <w:r>
        <w:rPr>
          <w:rFonts w:ascii="Times New Roman" w:hAnsi="Times New Roman" w:cs="Times New Roman"/>
          <w:b/>
          <w:bCs/>
        </w:rPr>
        <w:t>2.</w:t>
      </w:r>
      <w:r>
        <w:rPr>
          <w:rFonts w:ascii="Times New Roman" w:hAnsi="Times New Roman" w:cs="Times New Roman"/>
          <w:b/>
          <w:bCs/>
        </w:rPr>
        <w:t>3</w:t>
      </w:r>
      <w:r w:rsidRPr="007529C1">
        <w:rPr>
          <w:rFonts w:ascii="Times New Roman" w:hAnsi="Times New Roman" w:cs="Times New Roman"/>
          <w:b/>
          <w:bCs/>
        </w:rPr>
        <w:t xml:space="preserve"> </w:t>
      </w:r>
      <w:r>
        <w:rPr>
          <w:rFonts w:ascii="Times New Roman" w:hAnsi="Times New Roman" w:cs="Times New Roman"/>
          <w:b/>
          <w:bCs/>
        </w:rPr>
        <w:t xml:space="preserve">Heterogeneous </w:t>
      </w:r>
      <w:r>
        <w:rPr>
          <w:rFonts w:ascii="Times New Roman" w:hAnsi="Times New Roman" w:cs="Times New Roman"/>
          <w:b/>
          <w:bCs/>
        </w:rPr>
        <w:t xml:space="preserve">Peak-Rate-Period Household Responses </w:t>
      </w:r>
      <w:r>
        <w:rPr>
          <w:rFonts w:ascii="Times New Roman" w:hAnsi="Times New Roman" w:cs="Times New Roman"/>
          <w:b/>
          <w:bCs/>
        </w:rPr>
        <w:t>by Heating Type</w:t>
      </w:r>
    </w:p>
    <w:p w14:paraId="5ACF1489" w14:textId="06FC382E" w:rsidR="00D51B98" w:rsidRDefault="00D51B98" w:rsidP="00D51B98">
      <w:pPr>
        <w:wordWrap/>
        <w:spacing w:line="360" w:lineRule="auto"/>
        <w:rPr>
          <w:rFonts w:ascii="Times New Roman" w:hAnsi="Times New Roman" w:cs="Times New Roman" w:hint="eastAsia"/>
          <w:lang w:eastAsia="ko-KR"/>
        </w:rPr>
      </w:pPr>
      <w:r>
        <w:rPr>
          <w:rFonts w:ascii="Times New Roman" w:hAnsi="Times New Roman" w:cs="Times New Roman"/>
          <w:lang w:eastAsia="ko-KR"/>
        </w:rPr>
        <w:t>(…)</w:t>
      </w:r>
    </w:p>
    <w:p w14:paraId="18D5C792" w14:textId="77777777" w:rsidR="00627695" w:rsidRPr="007529C1" w:rsidRDefault="00627695" w:rsidP="000D21DE">
      <w:pPr>
        <w:wordWrap/>
        <w:spacing w:line="360" w:lineRule="auto"/>
        <w:rPr>
          <w:rFonts w:ascii="Times New Roman" w:hAnsi="Times New Roman" w:cs="Times New Roman"/>
        </w:rPr>
      </w:pPr>
    </w:p>
    <w:p w14:paraId="380CF3C6" w14:textId="77777777" w:rsidR="000D21DE" w:rsidRPr="00DD51EA" w:rsidRDefault="000D21DE" w:rsidP="000D21DE">
      <w:pPr>
        <w:wordWrap/>
        <w:spacing w:line="360" w:lineRule="auto"/>
        <w:rPr>
          <w:rFonts w:ascii="Times New Roman" w:hAnsi="Times New Roman" w:cs="Times New Roman"/>
        </w:rPr>
      </w:pPr>
    </w:p>
    <w:p w14:paraId="195F19C2" w14:textId="77777777" w:rsidR="00C723F5" w:rsidRPr="00DD51EA" w:rsidRDefault="00C723F5" w:rsidP="00C723F5">
      <w:pPr>
        <w:wordWrap/>
        <w:spacing w:line="360" w:lineRule="auto"/>
        <w:rPr>
          <w:rFonts w:ascii="Times New Roman" w:hAnsi="Times New Roman" w:cs="Times New Roman"/>
        </w:rPr>
      </w:pPr>
    </w:p>
    <w:sectPr w:rsidR="00C723F5" w:rsidRPr="00DD51E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B9197" w14:textId="77777777" w:rsidR="00CE34ED" w:rsidRDefault="00CE34ED" w:rsidP="00CC4DE0">
      <w:r>
        <w:separator/>
      </w:r>
    </w:p>
  </w:endnote>
  <w:endnote w:type="continuationSeparator" w:id="0">
    <w:p w14:paraId="557FCDA9" w14:textId="77777777" w:rsidR="00CE34ED" w:rsidRDefault="00CE34ED" w:rsidP="00CC4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imes New Roman(본문 CS)">
    <w:altName w:val="바탕"/>
    <w:panose1 w:val="00000500000000020000"/>
    <w:charset w:val="81"/>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E546E" w14:textId="77777777" w:rsidR="00CE34ED" w:rsidRDefault="00CE34ED" w:rsidP="00CC4DE0">
      <w:r>
        <w:separator/>
      </w:r>
    </w:p>
  </w:footnote>
  <w:footnote w:type="continuationSeparator" w:id="0">
    <w:p w14:paraId="7F1C5F0E" w14:textId="77777777" w:rsidR="00CE34ED" w:rsidRDefault="00CE34ED" w:rsidP="00CC4DE0">
      <w:r>
        <w:continuationSeparator/>
      </w:r>
    </w:p>
  </w:footnote>
  <w:footnote w:id="1">
    <w:p w14:paraId="4B9D0254" w14:textId="4815697C" w:rsidR="00622603" w:rsidRDefault="00622603">
      <w:pPr>
        <w:pStyle w:val="a3"/>
        <w:rPr>
          <w:lang w:eastAsia="ko-KR"/>
        </w:rPr>
      </w:pPr>
      <w:r>
        <w:rPr>
          <w:rStyle w:val="a4"/>
        </w:rPr>
        <w:footnoteRef/>
      </w:r>
      <w:r>
        <w:t xml:space="preserve"> </w:t>
      </w:r>
      <w:r w:rsidRPr="00622603">
        <w:t xml:space="preserve">In this paper, the effects of four different information stimuli on household electricity consumption are not of interest. </w:t>
      </w:r>
      <w:proofErr w:type="spellStart"/>
      <w:r w:rsidRPr="00622603">
        <w:t>Pon</w:t>
      </w:r>
      <w:proofErr w:type="spellEnd"/>
      <w:r w:rsidRPr="00622603">
        <w:t xml:space="preserve"> (2017) studied the effects in detail using the same datasets.</w:t>
      </w:r>
    </w:p>
  </w:footnote>
  <w:footnote w:id="2">
    <w:p w14:paraId="71519B34" w14:textId="6ED4435A" w:rsidR="006F2B9E" w:rsidRDefault="006F2B9E">
      <w:pPr>
        <w:pStyle w:val="a3"/>
      </w:pPr>
      <w:r>
        <w:rPr>
          <w:rStyle w:val="a4"/>
        </w:rPr>
        <w:footnoteRef/>
      </w:r>
      <w:r>
        <w:t xml:space="preserve"> </w:t>
      </w:r>
      <w:r w:rsidR="004C759A" w:rsidRPr="004C759A">
        <w:t xml:space="preserve">In TABLE, the second column demonstrates the estimates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oMath>
      <w:r w:rsidR="00C611CD">
        <w:rPr>
          <w:rFonts w:hint="eastAsia"/>
          <w:lang w:eastAsia="ko-Kore-US"/>
        </w:rPr>
        <w:t xml:space="preserve"> </w:t>
      </w:r>
      <w:r w:rsidR="004C759A" w:rsidRPr="004C759A">
        <w:t xml:space="preserve">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oMath>
      <w:r w:rsidR="00C611CD">
        <w:rPr>
          <w:rFonts w:hint="eastAsia"/>
          <w:lang w:eastAsia="ko-Kore-US"/>
        </w:rPr>
        <w:t xml:space="preserve"> </w:t>
      </w:r>
      <w:r w:rsidR="004C759A" w:rsidRPr="004C759A">
        <w:t>obtained from the econometric model. The first and the third columns are for robustness checks. As shown in the first column, adding household-level FEs instead of the indicator variable for assignment to the treatment group leads to the almost same regression result. The third column indicates that excluding covariates associated with the indicator variable for the treatment period results in very minimal changes in point estimates</w:t>
      </w:r>
      <w:r w:rsidR="002A77F6">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4"/>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9C1"/>
    <w:rsid w:val="000027C0"/>
    <w:rsid w:val="0001377E"/>
    <w:rsid w:val="00035842"/>
    <w:rsid w:val="000509EE"/>
    <w:rsid w:val="00053194"/>
    <w:rsid w:val="000547A6"/>
    <w:rsid w:val="00074DF0"/>
    <w:rsid w:val="00095A86"/>
    <w:rsid w:val="000A521E"/>
    <w:rsid w:val="000B2898"/>
    <w:rsid w:val="000D21DE"/>
    <w:rsid w:val="000D6296"/>
    <w:rsid w:val="000E14C9"/>
    <w:rsid w:val="000E48E9"/>
    <w:rsid w:val="000F1338"/>
    <w:rsid w:val="001143E6"/>
    <w:rsid w:val="00120D40"/>
    <w:rsid w:val="00141D74"/>
    <w:rsid w:val="00142B29"/>
    <w:rsid w:val="00156A1A"/>
    <w:rsid w:val="0016429C"/>
    <w:rsid w:val="0016789F"/>
    <w:rsid w:val="00176945"/>
    <w:rsid w:val="001A2381"/>
    <w:rsid w:val="001A726E"/>
    <w:rsid w:val="001C65EC"/>
    <w:rsid w:val="001D3582"/>
    <w:rsid w:val="001E5FFC"/>
    <w:rsid w:val="001F052F"/>
    <w:rsid w:val="001F2E05"/>
    <w:rsid w:val="001F37FA"/>
    <w:rsid w:val="001F5F62"/>
    <w:rsid w:val="002174F5"/>
    <w:rsid w:val="002249EE"/>
    <w:rsid w:val="00227BA9"/>
    <w:rsid w:val="002374BE"/>
    <w:rsid w:val="00252EAF"/>
    <w:rsid w:val="002669C3"/>
    <w:rsid w:val="0026703D"/>
    <w:rsid w:val="002724C3"/>
    <w:rsid w:val="00277C37"/>
    <w:rsid w:val="00290FB7"/>
    <w:rsid w:val="00292602"/>
    <w:rsid w:val="00296123"/>
    <w:rsid w:val="002A635C"/>
    <w:rsid w:val="002A77F6"/>
    <w:rsid w:val="002C1152"/>
    <w:rsid w:val="002D0C43"/>
    <w:rsid w:val="002E79AE"/>
    <w:rsid w:val="00303B6D"/>
    <w:rsid w:val="003223CD"/>
    <w:rsid w:val="00332224"/>
    <w:rsid w:val="0034675B"/>
    <w:rsid w:val="0035019C"/>
    <w:rsid w:val="003543DE"/>
    <w:rsid w:val="003851E4"/>
    <w:rsid w:val="0039464B"/>
    <w:rsid w:val="00394F2F"/>
    <w:rsid w:val="003C7AE7"/>
    <w:rsid w:val="003D5590"/>
    <w:rsid w:val="003F05E9"/>
    <w:rsid w:val="003F1A2F"/>
    <w:rsid w:val="003F367A"/>
    <w:rsid w:val="00404E51"/>
    <w:rsid w:val="00406E17"/>
    <w:rsid w:val="004077AC"/>
    <w:rsid w:val="00412EB0"/>
    <w:rsid w:val="00414CC4"/>
    <w:rsid w:val="004A0B67"/>
    <w:rsid w:val="004A0F97"/>
    <w:rsid w:val="004A2E7B"/>
    <w:rsid w:val="004B2BB6"/>
    <w:rsid w:val="004B5785"/>
    <w:rsid w:val="004C6E48"/>
    <w:rsid w:val="004C73E0"/>
    <w:rsid w:val="004C759A"/>
    <w:rsid w:val="004D03DB"/>
    <w:rsid w:val="004D3222"/>
    <w:rsid w:val="004E17E9"/>
    <w:rsid w:val="004E56BF"/>
    <w:rsid w:val="004E58E5"/>
    <w:rsid w:val="004E7D7A"/>
    <w:rsid w:val="004F1490"/>
    <w:rsid w:val="0050196E"/>
    <w:rsid w:val="00502840"/>
    <w:rsid w:val="00517202"/>
    <w:rsid w:val="00522A8B"/>
    <w:rsid w:val="0052779A"/>
    <w:rsid w:val="005333BB"/>
    <w:rsid w:val="005400A4"/>
    <w:rsid w:val="00542561"/>
    <w:rsid w:val="00597321"/>
    <w:rsid w:val="005A4DA4"/>
    <w:rsid w:val="005B7598"/>
    <w:rsid w:val="005E0B54"/>
    <w:rsid w:val="005F4D69"/>
    <w:rsid w:val="006148D5"/>
    <w:rsid w:val="00622603"/>
    <w:rsid w:val="00627695"/>
    <w:rsid w:val="00634B28"/>
    <w:rsid w:val="00641233"/>
    <w:rsid w:val="006616B5"/>
    <w:rsid w:val="006733A1"/>
    <w:rsid w:val="0069340B"/>
    <w:rsid w:val="006962BE"/>
    <w:rsid w:val="00697524"/>
    <w:rsid w:val="006A0DC6"/>
    <w:rsid w:val="006D2D60"/>
    <w:rsid w:val="006D6981"/>
    <w:rsid w:val="006D7D51"/>
    <w:rsid w:val="006F2B9E"/>
    <w:rsid w:val="006F3268"/>
    <w:rsid w:val="00701F0E"/>
    <w:rsid w:val="00706FB3"/>
    <w:rsid w:val="007177FE"/>
    <w:rsid w:val="007315A9"/>
    <w:rsid w:val="00731CBF"/>
    <w:rsid w:val="007529C1"/>
    <w:rsid w:val="00753E99"/>
    <w:rsid w:val="00755112"/>
    <w:rsid w:val="00756225"/>
    <w:rsid w:val="007742FC"/>
    <w:rsid w:val="00780AA3"/>
    <w:rsid w:val="00787BDF"/>
    <w:rsid w:val="007919A7"/>
    <w:rsid w:val="00791D19"/>
    <w:rsid w:val="00794B41"/>
    <w:rsid w:val="00797C0F"/>
    <w:rsid w:val="007A185C"/>
    <w:rsid w:val="007A60DD"/>
    <w:rsid w:val="007A7D10"/>
    <w:rsid w:val="007B7C8B"/>
    <w:rsid w:val="007D6E94"/>
    <w:rsid w:val="00805580"/>
    <w:rsid w:val="00836C76"/>
    <w:rsid w:val="00837F1E"/>
    <w:rsid w:val="008455DA"/>
    <w:rsid w:val="00882524"/>
    <w:rsid w:val="008930E8"/>
    <w:rsid w:val="008976CA"/>
    <w:rsid w:val="008A0C4A"/>
    <w:rsid w:val="008B4FE3"/>
    <w:rsid w:val="008C6AB3"/>
    <w:rsid w:val="008C7AB5"/>
    <w:rsid w:val="008D48F5"/>
    <w:rsid w:val="008E137E"/>
    <w:rsid w:val="008E21FC"/>
    <w:rsid w:val="008F2383"/>
    <w:rsid w:val="00903326"/>
    <w:rsid w:val="00906136"/>
    <w:rsid w:val="00912657"/>
    <w:rsid w:val="009178DD"/>
    <w:rsid w:val="00920711"/>
    <w:rsid w:val="00927080"/>
    <w:rsid w:val="00933835"/>
    <w:rsid w:val="00943F06"/>
    <w:rsid w:val="00960320"/>
    <w:rsid w:val="00960696"/>
    <w:rsid w:val="00961B42"/>
    <w:rsid w:val="00964FFC"/>
    <w:rsid w:val="00967F83"/>
    <w:rsid w:val="009B297C"/>
    <w:rsid w:val="009D45D6"/>
    <w:rsid w:val="009F11AD"/>
    <w:rsid w:val="00A03D01"/>
    <w:rsid w:val="00A21347"/>
    <w:rsid w:val="00A317FB"/>
    <w:rsid w:val="00A345DD"/>
    <w:rsid w:val="00A405E9"/>
    <w:rsid w:val="00A42B88"/>
    <w:rsid w:val="00A5065C"/>
    <w:rsid w:val="00A9504B"/>
    <w:rsid w:val="00A9674C"/>
    <w:rsid w:val="00AB7D9F"/>
    <w:rsid w:val="00AE6D5C"/>
    <w:rsid w:val="00B103D1"/>
    <w:rsid w:val="00B1362A"/>
    <w:rsid w:val="00B23045"/>
    <w:rsid w:val="00B24876"/>
    <w:rsid w:val="00B36ED8"/>
    <w:rsid w:val="00B42244"/>
    <w:rsid w:val="00B46BCD"/>
    <w:rsid w:val="00B478C4"/>
    <w:rsid w:val="00B53A0E"/>
    <w:rsid w:val="00B66F87"/>
    <w:rsid w:val="00B74663"/>
    <w:rsid w:val="00B95722"/>
    <w:rsid w:val="00BD3909"/>
    <w:rsid w:val="00BF62C3"/>
    <w:rsid w:val="00C05C76"/>
    <w:rsid w:val="00C06061"/>
    <w:rsid w:val="00C065CE"/>
    <w:rsid w:val="00C1348E"/>
    <w:rsid w:val="00C14648"/>
    <w:rsid w:val="00C57433"/>
    <w:rsid w:val="00C611CD"/>
    <w:rsid w:val="00C62378"/>
    <w:rsid w:val="00C723F5"/>
    <w:rsid w:val="00C7414B"/>
    <w:rsid w:val="00C741B0"/>
    <w:rsid w:val="00C82BEB"/>
    <w:rsid w:val="00C8332C"/>
    <w:rsid w:val="00CA1A5B"/>
    <w:rsid w:val="00CA26A1"/>
    <w:rsid w:val="00CB0102"/>
    <w:rsid w:val="00CB66B1"/>
    <w:rsid w:val="00CC4DE0"/>
    <w:rsid w:val="00CD0D19"/>
    <w:rsid w:val="00CE34ED"/>
    <w:rsid w:val="00CF4734"/>
    <w:rsid w:val="00CF63EA"/>
    <w:rsid w:val="00D030EF"/>
    <w:rsid w:val="00D130F5"/>
    <w:rsid w:val="00D164F1"/>
    <w:rsid w:val="00D258F9"/>
    <w:rsid w:val="00D302DE"/>
    <w:rsid w:val="00D46DEC"/>
    <w:rsid w:val="00D51B98"/>
    <w:rsid w:val="00D54290"/>
    <w:rsid w:val="00D67751"/>
    <w:rsid w:val="00D70365"/>
    <w:rsid w:val="00D74DED"/>
    <w:rsid w:val="00D93782"/>
    <w:rsid w:val="00D93EB3"/>
    <w:rsid w:val="00DC2019"/>
    <w:rsid w:val="00DC2DEC"/>
    <w:rsid w:val="00DC7AC2"/>
    <w:rsid w:val="00DD51EA"/>
    <w:rsid w:val="00DD5416"/>
    <w:rsid w:val="00DD5746"/>
    <w:rsid w:val="00DE1AE1"/>
    <w:rsid w:val="00DE4B98"/>
    <w:rsid w:val="00DE4F29"/>
    <w:rsid w:val="00E00A4C"/>
    <w:rsid w:val="00E03C59"/>
    <w:rsid w:val="00E0516D"/>
    <w:rsid w:val="00E06C29"/>
    <w:rsid w:val="00E21CB4"/>
    <w:rsid w:val="00E4123A"/>
    <w:rsid w:val="00E470D2"/>
    <w:rsid w:val="00E64203"/>
    <w:rsid w:val="00E66309"/>
    <w:rsid w:val="00E67589"/>
    <w:rsid w:val="00E749B4"/>
    <w:rsid w:val="00E7628C"/>
    <w:rsid w:val="00E77C28"/>
    <w:rsid w:val="00E908B8"/>
    <w:rsid w:val="00E95865"/>
    <w:rsid w:val="00EA1378"/>
    <w:rsid w:val="00EA5ECE"/>
    <w:rsid w:val="00EA71AB"/>
    <w:rsid w:val="00EC3DAD"/>
    <w:rsid w:val="00EC69E9"/>
    <w:rsid w:val="00ED3FA0"/>
    <w:rsid w:val="00EF18E7"/>
    <w:rsid w:val="00F41C5D"/>
    <w:rsid w:val="00FA31F6"/>
    <w:rsid w:val="00FA3CE1"/>
    <w:rsid w:val="00FA3E36"/>
    <w:rsid w:val="00FB0486"/>
    <w:rsid w:val="00FC3B61"/>
    <w:rsid w:val="00FC7264"/>
    <w:rsid w:val="00FF530D"/>
    <w:rsid w:val="00FF67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458E"/>
  <w15:chartTrackingRefBased/>
  <w15:docId w15:val="{3DCF7931-AD61-1140-A926-2DF24A3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unhideWhenUsed/>
    <w:rsid w:val="00AE6D5C"/>
    <w:pPr>
      <w:wordWrap/>
      <w:snapToGrid w:val="0"/>
      <w:jc w:val="left"/>
    </w:pPr>
    <w:rPr>
      <w:rFonts w:ascii="Times New Roman" w:eastAsia="Times New Roman" w:hAnsi="Times New Roman" w:cs="Times New Roman(본문 CS)"/>
    </w:rPr>
  </w:style>
  <w:style w:type="character" w:customStyle="1" w:styleId="Char">
    <w:name w:val="각주 텍스트 Char"/>
    <w:basedOn w:val="a0"/>
    <w:link w:val="a3"/>
    <w:uiPriority w:val="99"/>
    <w:semiHidden/>
    <w:rsid w:val="00AE6D5C"/>
    <w:rPr>
      <w:rFonts w:ascii="Times New Roman" w:eastAsia="Times New Roman" w:hAnsi="Times New Roman" w:cs="Times New Roman(본문 CS)"/>
    </w:rPr>
  </w:style>
  <w:style w:type="character" w:styleId="a4">
    <w:name w:val="footnote reference"/>
    <w:basedOn w:val="a0"/>
    <w:uiPriority w:val="99"/>
    <w:semiHidden/>
    <w:unhideWhenUsed/>
    <w:rsid w:val="00CC4DE0"/>
    <w:rPr>
      <w:vertAlign w:val="superscript"/>
    </w:rPr>
  </w:style>
  <w:style w:type="character" w:styleId="a5">
    <w:name w:val="Placeholder Text"/>
    <w:basedOn w:val="a0"/>
    <w:uiPriority w:val="99"/>
    <w:semiHidden/>
    <w:rsid w:val="00FB04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EA6F-7D30-BA42-86A5-E22D4FE28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1165</Words>
  <Characters>6641</Characters>
  <Application>Microsoft Office Word</Application>
  <DocSecurity>0</DocSecurity>
  <Lines>55</Lines>
  <Paragraphs>15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Jinmahn Jo</dc:creator>
  <cp:keywords/>
  <dc:description/>
  <cp:lastModifiedBy>Jinmahn Jo</cp:lastModifiedBy>
  <cp:revision>68</cp:revision>
  <dcterms:created xsi:type="dcterms:W3CDTF">2022-03-15T20:17:00Z</dcterms:created>
  <dcterms:modified xsi:type="dcterms:W3CDTF">2022-04-19T08:15:00Z</dcterms:modified>
</cp:coreProperties>
</file>