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75184831" w14:textId="6D62A615" w:rsidR="00290FB7" w:rsidRDefault="00290FB7" w:rsidP="000D21DE">
      <w:pPr>
        <w:wordWrap/>
        <w:spacing w:line="360" w:lineRule="auto"/>
        <w:jc w:val="center"/>
        <w:rPr>
          <w:rFonts w:ascii="Times New Roman" w:hAnsi="Times New Roman" w:cs="Times New Roman"/>
          <w:lang w:eastAsia="ko-KR"/>
        </w:rPr>
      </w:pPr>
      <w:r>
        <w:rPr>
          <w:rFonts w:ascii="Times New Roman" w:hAnsi="Times New Roman" w:cs="Times New Roman" w:hint="eastAsia"/>
          <w:noProof/>
          <w:lang w:eastAsia="en-US"/>
        </w:rPr>
        <w:drawing>
          <wp:inline distT="0" distB="0" distL="0" distR="0" wp14:anchorId="198CAD96" wp14:editId="01B506FC">
            <wp:extent cx="5731510" cy="3820795"/>
            <wp:effectExtent l="0" t="0" r="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7C8A56D5" w14:textId="77777777" w:rsidR="000D21DE" w:rsidRDefault="000D21DE" w:rsidP="000D21DE">
      <w:pPr>
        <w:wordWrap/>
        <w:spacing w:line="360" w:lineRule="auto"/>
        <w:jc w:val="center"/>
        <w:rPr>
          <w:rFonts w:ascii="Times New Roman" w:hAnsi="Times New Roman" w:cs="Times New Roman"/>
          <w:lang w:eastAsia="ko-KR"/>
        </w:rPr>
      </w:pPr>
    </w:p>
    <w:p w14:paraId="7EDD18F4" w14:textId="4E6B2EB5" w:rsidR="006D6981" w:rsidRPr="008930E8" w:rsidRDefault="00697524" w:rsidP="00706FB3">
      <w:pPr>
        <w:wordWrap/>
        <w:spacing w:line="360" w:lineRule="auto"/>
        <w:rPr>
          <w:rFonts w:ascii="Times New Roman" w:hAnsi="Times New Roman" w:cs="Times New Roman"/>
          <w:lang w:eastAsia="ko-KR"/>
        </w:rPr>
      </w:pPr>
      <w:r w:rsidRPr="00697524">
        <w:rPr>
          <w:rFonts w:ascii="Times New Roman" w:hAnsi="Times New Roman" w:cs="Times New Roman"/>
          <w:lang w:eastAsia="ko-KR"/>
        </w:rPr>
        <w:t xml:space="preserve">FIGURE, </w:t>
      </w:r>
      <w:r w:rsidR="00A345DD" w:rsidRPr="00A345DD">
        <w:rPr>
          <w:rFonts w:ascii="Times New Roman" w:hAnsi="Times New Roman" w:cs="Times New Roman"/>
          <w:lang w:eastAsia="ko-KR"/>
        </w:rPr>
        <w:t xml:space="preserve">which shows household average daily electricity consumption over temperature and </w:t>
      </w:r>
      <w:r w:rsidR="006962BE" w:rsidRPr="006962BE">
        <w:rPr>
          <w:rFonts w:ascii="Times New Roman" w:hAnsi="Times New Roman" w:cs="Times New Roman"/>
          <w:lang w:eastAsia="ko-KR"/>
        </w:rPr>
        <w:t>the pre and post differences in the consumption</w:t>
      </w:r>
      <w:r w:rsidRPr="00697524">
        <w:rPr>
          <w:rFonts w:ascii="Times New Roman" w:hAnsi="Times New Roman" w:cs="Times New Roman"/>
          <w:lang w:eastAsia="ko-KR"/>
        </w:rPr>
        <w:t>, clearly demonstrates the motivation of this research project.</w:t>
      </w:r>
      <w:r>
        <w:rPr>
          <w:rStyle w:val="FootnoteReference"/>
          <w:rFonts w:ascii="Times New Roman" w:hAnsi="Times New Roman" w:cs="Times New Roman"/>
          <w:lang w:eastAsia="ko-KR"/>
        </w:rPr>
        <w:footnoteReference w:id="1"/>
      </w:r>
      <w:r w:rsidRPr="00697524">
        <w:rPr>
          <w:rFonts w:ascii="Times New Roman" w:hAnsi="Times New Roman" w:cs="Times New Roman"/>
          <w:lang w:eastAsia="ko-KR"/>
        </w:rPr>
        <w:t xml:space="preserve"> </w:t>
      </w:r>
      <w:r w:rsidR="00C06061" w:rsidRPr="00C06061">
        <w:rPr>
          <w:rFonts w:ascii="Times New Roman" w:hAnsi="Times New Roman" w:cs="Times New Roman"/>
          <w:lang w:eastAsia="ko-KR"/>
        </w:rPr>
        <w:t xml:space="preserve">As illustrated in Panel A of the figure, household demand for electricity grew as the temperature decreased. </w:t>
      </w:r>
      <w:r w:rsidR="00C06061" w:rsidRPr="008930E8">
        <w:rPr>
          <w:rFonts w:ascii="Times New Roman" w:hAnsi="Times New Roman" w:cs="Times New Roman"/>
          <w:lang w:eastAsia="ko-KR"/>
        </w:rPr>
        <w:t xml:space="preserve">In other words, in addition to temperature-insensitive electricity demand (i.e., for non-temperature-control uses), there was a sizeable demand for electricity for heating (i.e., for temperature-control use) in Irish households, which </w:t>
      </w:r>
      <w:r w:rsidR="003223CD" w:rsidRPr="008930E8">
        <w:rPr>
          <w:rFonts w:ascii="Times New Roman" w:hAnsi="Times New Roman" w:cs="Times New Roman"/>
          <w:lang w:eastAsia="ko-KR"/>
        </w:rPr>
        <w:t>seems to be</w:t>
      </w:r>
      <w:r w:rsidR="00C06061" w:rsidRPr="008930E8">
        <w:rPr>
          <w:rFonts w:ascii="Times New Roman" w:hAnsi="Times New Roman" w:cs="Times New Roman"/>
          <w:lang w:eastAsia="ko-KR"/>
        </w:rPr>
        <w:t xml:space="preserve"> highly responsive to temperature variations. </w:t>
      </w:r>
      <w:r w:rsidR="006D6981" w:rsidRPr="008930E8">
        <w:rPr>
          <w:rFonts w:ascii="Times New Roman" w:hAnsi="Times New Roman" w:cs="Times New Roman"/>
          <w:lang w:eastAsia="ko-KR"/>
        </w:rPr>
        <w:t>In this research, I determine not only how much consumption changes, on average, in response to the time-varying tariffs but also how their impact varies across days with different temperatures. In other words, the dynamic-pricing-causing effects on temperature- and non-temperature-control electricity uses are separately estimated to figure out the primary source of energy savings.</w:t>
      </w:r>
      <w:r w:rsidR="003223CD" w:rsidRPr="008930E8">
        <w:rPr>
          <w:rFonts w:ascii="Times New Roman" w:hAnsi="Times New Roman" w:cs="Times New Roman"/>
          <w:lang w:eastAsia="ko-KR"/>
        </w:rPr>
        <w:t xml:space="preserve"> As shown in the figure, </w:t>
      </w:r>
      <w:r w:rsidR="003C7AE7" w:rsidRPr="008930E8">
        <w:rPr>
          <w:rFonts w:ascii="Times New Roman" w:hAnsi="Times New Roman" w:cs="Times New Roman"/>
          <w:lang w:eastAsia="ko-KR"/>
        </w:rPr>
        <w:t>households in the control group also consumed less electricity during the treatment period, especially on days with low temperatures, although their percentage reduction is smaller than that of the treated households.</w:t>
      </w:r>
      <w:r w:rsidR="003C7AE7" w:rsidRPr="008930E8">
        <w:rPr>
          <w:rStyle w:val="FootnoteReference"/>
          <w:rFonts w:ascii="Times New Roman" w:hAnsi="Times New Roman" w:cs="Times New Roman"/>
          <w:lang w:eastAsia="ko-KR"/>
        </w:rPr>
        <w:footnoteReference w:id="2"/>
      </w:r>
      <w:r w:rsidR="003C7AE7" w:rsidRPr="008930E8">
        <w:rPr>
          <w:rFonts w:ascii="Times New Roman" w:hAnsi="Times New Roman" w:cs="Times New Roman"/>
          <w:lang w:eastAsia="ko-KR"/>
        </w:rPr>
        <w:t xml:space="preserve"> This suggests the necessity of employing an identification strategy that deals with the before and after differences in electricity consumption of households remained in the traditional tariff structure (i.e., a flat price of 14.1 cents for all hours).</w:t>
      </w:r>
    </w:p>
    <w:p w14:paraId="492FD6AF" w14:textId="77777777" w:rsidR="00697524" w:rsidRPr="00706FB3" w:rsidRDefault="00697524" w:rsidP="00706FB3">
      <w:pPr>
        <w:wordWrap/>
        <w:spacing w:line="360" w:lineRule="auto"/>
        <w:rPr>
          <w:rFonts w:ascii="Times New Roman" w:hAnsi="Times New Roman" w:cs="Times New Roman"/>
          <w:lang w:eastAsia="ko-KR"/>
        </w:rPr>
      </w:pPr>
    </w:p>
    <w:p w14:paraId="6858FF88" w14:textId="3C891A51" w:rsidR="00CA1A5B" w:rsidRDefault="00EA1378" w:rsidP="00CA1A5B">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lastRenderedPageBreak/>
        <w:t xml:space="preserve">Because the CER experiment dataset primarily utilized in the following empirical analysis was generated from a carefully developed randomized controlled trial (RCT), in principle, the effect of the TOU tariffs on household electricity consumption can be measured simply through the difference in average usage between the two groups during the </w:t>
      </w:r>
      <w:r w:rsidR="00B66F87">
        <w:rPr>
          <w:rFonts w:ascii="Times New Roman" w:hAnsi="Times New Roman" w:cs="Times New Roman"/>
          <w:lang w:eastAsia="ko-KR"/>
        </w:rPr>
        <w:t>treatment</w:t>
      </w:r>
      <w:r w:rsidRPr="00EA1378">
        <w:rPr>
          <w:rFonts w:ascii="Times New Roman" w:hAnsi="Times New Roman" w:cs="Times New Roman"/>
          <w:lang w:eastAsia="ko-KR"/>
        </w:rPr>
        <w:t xml:space="preserve"> period.</w:t>
      </w:r>
      <w:r>
        <w:rPr>
          <w:rStyle w:val="FootnoteReference"/>
          <w:rFonts w:ascii="Times New Roman" w:hAnsi="Times New Roman" w:cs="Times New Roman"/>
          <w:lang w:eastAsia="ko-KR"/>
        </w:rPr>
        <w:footnoteReference w:id="3"/>
      </w:r>
      <w:r w:rsidRPr="00EA1378">
        <w:rPr>
          <w:rFonts w:ascii="Times New Roman" w:hAnsi="Times New Roman" w:cs="Times New Roman"/>
          <w:lang w:eastAsia="ko-KR"/>
        </w:rPr>
        <w:t xml:space="preserve"> However, due to the non-trivial difference in electricity demand between the control and treatment groups during the baseline period</w:t>
      </w:r>
      <w:r w:rsidR="00DC2019">
        <w:rPr>
          <w:rFonts w:ascii="Times New Roman" w:hAnsi="Times New Roman" w:cs="Times New Roman"/>
          <w:lang w:eastAsia="ko-KR"/>
        </w:rPr>
        <w:t>, I follow the previous studies utilizing the same experiment and employ a DID approach to estimate the electricity savings caused by the TOU pricing program</w:t>
      </w:r>
      <w:r w:rsidR="005E0B54">
        <w:rPr>
          <w:rFonts w:ascii="Times New Roman" w:hAnsi="Times New Roman" w:cs="Times New Roman"/>
          <w:lang w:eastAsia="ko-KR"/>
        </w:rPr>
        <w:t>.</w:t>
      </w:r>
    </w:p>
    <w:p w14:paraId="317E528F" w14:textId="77777777" w:rsidR="00B66F87" w:rsidRDefault="00B66F87" w:rsidP="00CA1A5B">
      <w:pPr>
        <w:wordWrap/>
        <w:spacing w:line="360" w:lineRule="auto"/>
        <w:ind w:firstLine="800"/>
        <w:rPr>
          <w:rFonts w:ascii="Times New Roman" w:hAnsi="Times New Roman" w:cs="Times New Roman"/>
          <w:lang w:eastAsia="ko-KR"/>
        </w:rPr>
      </w:pPr>
    </w:p>
    <w:p w14:paraId="5C6ED709" w14:textId="329EFB1C" w:rsidR="00EA5ECE" w:rsidRDefault="00EA1378" w:rsidP="00EA1378">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t>I include the temperature as an explanatory variable directly in my econometric model</w:t>
      </w:r>
      <w:r w:rsidR="00B66F87">
        <w:rPr>
          <w:rFonts w:ascii="Times New Roman" w:hAnsi="Times New Roman" w:cs="Times New Roman"/>
          <w:lang w:eastAsia="ko-KR"/>
        </w:rPr>
        <w:t>s</w:t>
      </w:r>
      <w:r w:rsidRPr="00EA1378">
        <w:rPr>
          <w:rFonts w:ascii="Times New Roman" w:hAnsi="Times New Roman" w:cs="Times New Roman"/>
          <w:lang w:eastAsia="ko-KR"/>
        </w:rPr>
        <w:t>. In the previous papers using the identical dataset, fixed-effects (FEs) were utilized to control for time-varying factors that influence</w:t>
      </w:r>
      <w:r w:rsidR="00E749B4">
        <w:rPr>
          <w:rFonts w:ascii="Times New Roman" w:hAnsi="Times New Roman" w:cs="Times New Roman"/>
          <w:lang w:eastAsia="ko-KR"/>
        </w:rPr>
        <w:t>d</w:t>
      </w:r>
      <w:r w:rsidRPr="00EA1378">
        <w:rPr>
          <w:rFonts w:ascii="Times New Roman" w:hAnsi="Times New Roman" w:cs="Times New Roman"/>
          <w:lang w:eastAsia="ko-KR"/>
        </w:rPr>
        <w:t xml:space="preserve"> household electricity consumption. Since those studies focused on quantifying how households responded, on average, to the TOU price regimes newly introduced, adding such FEs to their models served their research purpose. </w:t>
      </w:r>
      <w:r w:rsidR="00C8332C" w:rsidRPr="00C8332C">
        <w:rPr>
          <w:rFonts w:ascii="Times New Roman" w:hAnsi="Times New Roman" w:cs="Times New Roman"/>
          <w:lang w:eastAsia="ko-KR"/>
        </w:rPr>
        <w:t>In other words, they did not need to explicitly model the relationship between temperature and household electricity consumption to estimate the average treatment effects (ATEs)</w:t>
      </w:r>
      <w:r w:rsidRPr="00EA1378">
        <w:rPr>
          <w:rFonts w:ascii="Times New Roman" w:hAnsi="Times New Roman" w:cs="Times New Roman"/>
          <w:lang w:eastAsia="ko-KR"/>
        </w:rPr>
        <w:t xml:space="preserve">. However, a primary interest of this research is to understand how electricity savings vary with the temperature after shifting to TOU prices. Therefore, </w:t>
      </w:r>
      <w:commentRangeStart w:id="0"/>
      <w:r w:rsidRPr="00EA1378">
        <w:rPr>
          <w:rFonts w:ascii="Times New Roman" w:hAnsi="Times New Roman" w:cs="Times New Roman"/>
          <w:lang w:eastAsia="ko-KR"/>
        </w:rPr>
        <w:t>more flexible controls rather than FEs, not sweeping out temperature variations across days</w:t>
      </w:r>
      <w:commentRangeEnd w:id="0"/>
      <w:r w:rsidR="00780EBD">
        <w:rPr>
          <w:rStyle w:val="CommentReference"/>
        </w:rPr>
        <w:commentReference w:id="0"/>
      </w:r>
      <w:r w:rsidRPr="00EA1378">
        <w:rPr>
          <w:rFonts w:ascii="Times New Roman" w:hAnsi="Times New Roman" w:cs="Times New Roman"/>
          <w:lang w:eastAsia="ko-KR"/>
        </w:rPr>
        <w:t xml:space="preserve">, are required in my empirical analysis. For that reason, I extend the typical </w:t>
      </w:r>
      <w:r w:rsidR="000D6296">
        <w:rPr>
          <w:rFonts w:ascii="Times New Roman" w:hAnsi="Times New Roman" w:cs="Times New Roman"/>
          <w:lang w:eastAsia="ko-KR"/>
        </w:rPr>
        <w:t xml:space="preserve">panel </w:t>
      </w:r>
      <w:r w:rsidRPr="00EA1378">
        <w:rPr>
          <w:rFonts w:ascii="Times New Roman" w:hAnsi="Times New Roman" w:cs="Times New Roman"/>
          <w:lang w:eastAsia="ko-KR"/>
        </w:rPr>
        <w:t>DID specification</w:t>
      </w:r>
      <w:r w:rsidR="00927080">
        <w:rPr>
          <w:rFonts w:ascii="Times New Roman" w:hAnsi="Times New Roman" w:cs="Times New Roman"/>
          <w:lang w:eastAsia="ko-KR"/>
        </w:rPr>
        <w:t xml:space="preserve"> and allow the treatment effect to vary as a function of the daily average temperature</w:t>
      </w:r>
      <w:r w:rsidRPr="00EA1378">
        <w:rPr>
          <w:rFonts w:ascii="Times New Roman" w:hAnsi="Times New Roman" w:cs="Times New Roman"/>
          <w:lang w:eastAsia="ko-KR"/>
        </w:rPr>
        <w:t>.</w:t>
      </w:r>
      <w:r>
        <w:rPr>
          <w:rStyle w:val="FootnoteReference"/>
          <w:rFonts w:ascii="Times New Roman" w:hAnsi="Times New Roman" w:cs="Times New Roman"/>
          <w:lang w:eastAsia="ko-KR"/>
        </w:rPr>
        <w:footnoteReference w:id="4"/>
      </w:r>
      <w:r>
        <w:rPr>
          <w:rFonts w:ascii="Times New Roman" w:hAnsi="Times New Roman" w:cs="Times New Roman"/>
          <w:lang w:eastAsia="ko-KR"/>
        </w:rPr>
        <w:t xml:space="preserve"> </w:t>
      </w:r>
      <w:r w:rsidRPr="00EA1378">
        <w:rPr>
          <w:rFonts w:ascii="Times New Roman" w:hAnsi="Times New Roman" w:cs="Times New Roman"/>
          <w:lang w:eastAsia="ko-KR"/>
        </w:rPr>
        <w:t>That is, I estimate the ATEs of the dynamic prices on household electricity demand by exploiting the within-household electricity consumption changes across not only periods but temperatures.</w:t>
      </w:r>
      <w:r>
        <w:rPr>
          <w:rStyle w:val="FootnoteReference"/>
          <w:rFonts w:ascii="Times New Roman" w:hAnsi="Times New Roman" w:cs="Times New Roman"/>
          <w:lang w:eastAsia="ko-KR"/>
        </w:rPr>
        <w:footnoteReference w:id="5"/>
      </w:r>
    </w:p>
    <w:p w14:paraId="253001E2" w14:textId="10AABC37" w:rsidR="00E4123A" w:rsidRDefault="00E4123A" w:rsidP="007529C1">
      <w:pPr>
        <w:wordWrap/>
        <w:spacing w:line="360" w:lineRule="auto"/>
        <w:rPr>
          <w:rFonts w:ascii="Times New Roman" w:hAnsi="Times New Roman" w:cs="Times New Roman"/>
          <w:lang w:eastAsia="ko-KR"/>
        </w:rPr>
      </w:pPr>
    </w:p>
    <w:p w14:paraId="01034374" w14:textId="77777777" w:rsidR="00634B28" w:rsidRPr="007529C1" w:rsidRDefault="00634B28" w:rsidP="007529C1">
      <w:pPr>
        <w:wordWrap/>
        <w:spacing w:line="360" w:lineRule="auto"/>
        <w:rPr>
          <w:rFonts w:ascii="Times New Roman" w:hAnsi="Times New Roman" w:cs="Times New Roman"/>
          <w:lang w:eastAsia="ko-KR"/>
        </w:rPr>
      </w:pPr>
    </w:p>
    <w:p w14:paraId="25239E58" w14:textId="0E341801" w:rsidR="00DD51EA"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 xml:space="preserve">.2 </w:t>
      </w:r>
      <w:r w:rsidR="00DD51EA">
        <w:rPr>
          <w:rFonts w:ascii="Times New Roman" w:hAnsi="Times New Roman" w:cs="Times New Roman"/>
          <w:b/>
          <w:bCs/>
        </w:rPr>
        <w:t>Average Responses to Time-of-Use Prices</w:t>
      </w:r>
    </w:p>
    <w:p w14:paraId="3E91F030" w14:textId="0BAAB92D" w:rsidR="00FB0486" w:rsidRPr="007529C1" w:rsidRDefault="00FB0486" w:rsidP="00FB0486">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.2</w:t>
      </w:r>
      <w:r>
        <w:rPr>
          <w:rFonts w:ascii="Times New Roman" w:hAnsi="Times New Roman" w:cs="Times New Roman"/>
          <w:b/>
          <w:bCs/>
        </w:rPr>
        <w:t>.1</w:t>
      </w:r>
      <w:r w:rsidRPr="007529C1">
        <w:rPr>
          <w:rFonts w:ascii="Times New Roman" w:hAnsi="Times New Roman" w:cs="Times New Roman"/>
          <w:b/>
          <w:bCs/>
        </w:rPr>
        <w:t xml:space="preserve"> </w:t>
      </w:r>
      <w:r>
        <w:rPr>
          <w:rFonts w:ascii="Times New Roman" w:hAnsi="Times New Roman" w:cs="Times New Roman"/>
          <w:b/>
          <w:bCs/>
          <w:lang w:eastAsia="ko-KR"/>
        </w:rPr>
        <w:t>Half-Hourly Average Treatment Effects</w:t>
      </w:r>
    </w:p>
    <w:p w14:paraId="63EA9A44" w14:textId="77777777"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Utilizing a panel DID identification strategy, I first measure the impact of the TOU prices on 30-minute-interval household electricity consumption. To obtain the ATE for each half-hour interval, I estimate the following specification:</w:t>
      </w:r>
    </w:p>
    <w:p w14:paraId="3A2D1C03" w14:textId="67744F10" w:rsidR="00FB0486" w:rsidRPr="00C82BEB" w:rsidRDefault="005F3AA7" w:rsidP="00FB0486">
      <w:pPr>
        <w:wordWrap/>
        <w:spacing w:line="360" w:lineRule="auto"/>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itw</m:t>
              </m:r>
            </m:sub>
          </m:sSub>
        </m:oMath>
      </m:oMathPara>
    </w:p>
    <w:p w14:paraId="6F987BD9" w14:textId="740A1185"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 xml:space="preserve">The term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oMath>
      <w:r w:rsidRPr="00FB0486">
        <w:rPr>
          <w:rFonts w:ascii="Times New Roman" w:hAnsi="Times New Roman" w:cs="Times New Roman"/>
        </w:rPr>
        <w:t xml:space="preserve"> is the electricity consumption by household </w:t>
      </w:r>
      <w:proofErr w:type="spellStart"/>
      <w:r w:rsidR="00964FFC" w:rsidRPr="00964FFC">
        <w:rPr>
          <w:rFonts w:ascii="Times New Roman" w:hAnsi="Times New Roman" w:cs="Times New Roman"/>
          <w:i/>
          <w:iCs/>
        </w:rPr>
        <w:t>i</w:t>
      </w:r>
      <w:proofErr w:type="spellEnd"/>
      <w:r w:rsidRPr="00FB0486">
        <w:rPr>
          <w:rFonts w:ascii="Times New Roman" w:hAnsi="Times New Roman" w:cs="Times New Roman"/>
        </w:rPr>
        <w:t xml:space="preserve"> on the day </w:t>
      </w:r>
      <w:r w:rsidR="00964FFC" w:rsidRPr="00964FFC">
        <w:rPr>
          <w:rFonts w:ascii="Times New Roman" w:hAnsi="Times New Roman" w:cs="Times New Roman"/>
          <w:i/>
          <w:iCs/>
        </w:rPr>
        <w:t>t</w:t>
      </w:r>
      <w:r w:rsidRPr="00FB0486">
        <w:rPr>
          <w:rFonts w:ascii="Times New Roman" w:hAnsi="Times New Roman" w:cs="Times New Roman"/>
        </w:rPr>
        <w:t xml:space="preserve"> during the half-hourly time window </w:t>
      </w:r>
      <w:r w:rsidR="00964FFC" w:rsidRPr="00964FFC">
        <w:rPr>
          <w:rFonts w:ascii="Times New Roman" w:hAnsi="Times New Roman" w:cs="Times New Roman"/>
          <w:i/>
          <w:iCs/>
        </w:rPr>
        <w:t>w</w:t>
      </w:r>
      <w:r w:rsidRPr="00FB0486">
        <w:rPr>
          <w:rFonts w:ascii="Times New Roman" w:hAnsi="Times New Roman" w:cs="Times New Roman"/>
        </w:rPr>
        <w:t>. The indicator variable</w:t>
      </w:r>
      <w:r w:rsidR="00964F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oMath>
      <w:r w:rsidRPr="00FB0486">
        <w:rPr>
          <w:rFonts w:ascii="Times New Roman" w:hAnsi="Times New Roman" w:cs="Times New Roman"/>
        </w:rPr>
        <w:t xml:space="preserve"> is equal to one only if household </w:t>
      </w:r>
      <w:proofErr w:type="spellStart"/>
      <w:r w:rsidRPr="00964FFC">
        <w:rPr>
          <w:rFonts w:ascii="Times New Roman" w:hAnsi="Times New Roman" w:cs="Times New Roman"/>
          <w:i/>
          <w:iCs/>
        </w:rPr>
        <w:t>i</w:t>
      </w:r>
      <w:proofErr w:type="spellEnd"/>
      <w:r w:rsidRPr="00FB0486">
        <w:rPr>
          <w:rFonts w:ascii="Times New Roman" w:hAnsi="Times New Roman" w:cs="Times New Roman"/>
        </w:rPr>
        <w:t xml:space="preserve"> is in the treatment group and the day </w:t>
      </w:r>
      <w:r w:rsidR="00964FFC" w:rsidRPr="00964FFC">
        <w:rPr>
          <w:rFonts w:ascii="Times New Roman" w:hAnsi="Times New Roman" w:cs="Times New Roman"/>
          <w:i/>
          <w:iCs/>
        </w:rPr>
        <w:t>t</w:t>
      </w:r>
      <w:r w:rsidRPr="00FB0486">
        <w:rPr>
          <w:rFonts w:ascii="Times New Roman" w:hAnsi="Times New Roman" w:cs="Times New Roman"/>
        </w:rPr>
        <w:t xml:space="preserve"> is in the treatment period. The terms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oMath>
      <w:r w:rsidRPr="00FB04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oMath>
      <w:r w:rsidRPr="00FB048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oMath>
      <w:r w:rsidRPr="00FB0486">
        <w:rPr>
          <w:rFonts w:ascii="Times New Roman" w:hAnsi="Times New Roman" w:cs="Times New Roman"/>
        </w:rPr>
        <w:t xml:space="preserve"> are household-by-half-hourly-interval, day-of-week-by-half-hourly-time-window, and month-of-year fixed effects, respectively. In the specification, the point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oMath>
      <w:r w:rsidRPr="00FB0486">
        <w:rPr>
          <w:rFonts w:ascii="Times New Roman" w:hAnsi="Times New Roman" w:cs="Times New Roman"/>
        </w:rPr>
        <w:t xml:space="preserve"> representing the ATE for each 30-minute interval </w:t>
      </w:r>
      <w:r w:rsidRPr="00D258F9">
        <w:rPr>
          <w:rFonts w:ascii="Times New Roman" w:hAnsi="Times New Roman" w:cs="Times New Roman"/>
          <w:i/>
          <w:iCs/>
        </w:rPr>
        <w:t>w</w:t>
      </w:r>
      <w:r w:rsidRPr="00FB0486">
        <w:rPr>
          <w:rFonts w:ascii="Times New Roman" w:hAnsi="Times New Roman" w:cs="Times New Roman"/>
        </w:rPr>
        <w:t xml:space="preserve"> are the parameters of interest. I cluster the standard errors at the household and the day of experiment levels to correct for serial correlation. </w:t>
      </w:r>
    </w:p>
    <w:p w14:paraId="47D42F17" w14:textId="77777777" w:rsidR="00FB0486" w:rsidRPr="00FB0486" w:rsidRDefault="00FB0486" w:rsidP="00FB0486">
      <w:pPr>
        <w:wordWrap/>
        <w:spacing w:line="360" w:lineRule="auto"/>
        <w:rPr>
          <w:rFonts w:ascii="Times New Roman" w:hAnsi="Times New Roman" w:cs="Times New Roman"/>
        </w:rPr>
      </w:pPr>
    </w:p>
    <w:p w14:paraId="21EB0393" w14:textId="321F578E" w:rsidR="00E64203" w:rsidRPr="00FB0486" w:rsidRDefault="00FB0486" w:rsidP="00517202">
      <w:pPr>
        <w:wordWrap/>
        <w:spacing w:line="360" w:lineRule="auto"/>
        <w:ind w:firstLine="800"/>
        <w:rPr>
          <w:rFonts w:ascii="Times New Roman" w:hAnsi="Times New Roman" w:cs="Times New Roman"/>
        </w:rPr>
      </w:pPr>
      <w:r w:rsidRPr="00FB0486">
        <w:rPr>
          <w:rFonts w:ascii="Times New Roman" w:hAnsi="Times New Roman" w:cs="Times New Roman"/>
        </w:rPr>
        <w:t xml:space="preserve">FIGURE summarizes the estimated ATEs in the form of a time profile. As also demonstrated in </w:t>
      </w:r>
      <w:proofErr w:type="spellStart"/>
      <w:r w:rsidRPr="00FB0486">
        <w:rPr>
          <w:rFonts w:ascii="Times New Roman" w:hAnsi="Times New Roman" w:cs="Times New Roman"/>
        </w:rPr>
        <w:t>Prest</w:t>
      </w:r>
      <w:proofErr w:type="spellEnd"/>
      <w:r w:rsidRPr="00FB0486">
        <w:rPr>
          <w:rFonts w:ascii="Times New Roman" w:hAnsi="Times New Roman" w:cs="Times New Roman"/>
        </w:rPr>
        <w:t xml:space="preserve"> (2019), the time profile shows dominant electricity savings during peak hours (i.e., from 5:00 p.m. to 7:00 p.m.). </w:t>
      </w:r>
      <w:commentRangeStart w:id="1"/>
      <w:r w:rsidRPr="00FB0486">
        <w:rPr>
          <w:rFonts w:ascii="Times New Roman" w:hAnsi="Times New Roman" w:cs="Times New Roman"/>
        </w:rPr>
        <w:t>The result indicates that the TOU tariffs served their purpose to resolve the peak demand problem</w:t>
      </w:r>
      <w:commentRangeEnd w:id="1"/>
      <w:r w:rsidR="00780EBD">
        <w:rPr>
          <w:rStyle w:val="CommentReference"/>
        </w:rPr>
        <w:commentReference w:id="1"/>
      </w:r>
      <w:r w:rsidRPr="00FB0486">
        <w:rPr>
          <w:rFonts w:ascii="Times New Roman" w:hAnsi="Times New Roman" w:cs="Times New Roman"/>
        </w:rPr>
        <w:t>. In the following empirical analysis, I continually focus on household electricity demand responses to the time-varying prices during the peak rate period.</w:t>
      </w:r>
    </w:p>
    <w:p w14:paraId="71D1976A" w14:textId="77777777" w:rsidR="00634B28" w:rsidRDefault="00634B28" w:rsidP="00E4123A">
      <w:pPr>
        <w:wordWrap/>
        <w:spacing w:line="360" w:lineRule="auto"/>
        <w:rPr>
          <w:rFonts w:ascii="Times New Roman" w:hAnsi="Times New Roman" w:cs="Times New Roman"/>
        </w:rPr>
      </w:pPr>
    </w:p>
    <w:p w14:paraId="5E8C95AB" w14:textId="1598DDAA" w:rsidR="00DD51EA" w:rsidRDefault="00DD51EA" w:rsidP="00E4123A">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w:t>
      </w:r>
      <w:r w:rsidR="001A726E">
        <w:rPr>
          <w:rFonts w:ascii="Times New Roman" w:hAnsi="Times New Roman" w:cs="Times New Roman"/>
          <w:b/>
          <w:bCs/>
        </w:rPr>
        <w:t>2.2</w:t>
      </w:r>
      <w:r w:rsidRPr="007529C1">
        <w:rPr>
          <w:rFonts w:ascii="Times New Roman" w:hAnsi="Times New Roman" w:cs="Times New Roman"/>
          <w:b/>
          <w:bCs/>
        </w:rPr>
        <w:t xml:space="preserve"> </w:t>
      </w:r>
      <w:r w:rsidR="000D21DE">
        <w:rPr>
          <w:rFonts w:ascii="Times New Roman" w:hAnsi="Times New Roman" w:cs="Times New Roman"/>
          <w:b/>
          <w:bCs/>
        </w:rPr>
        <w:t>Average Treatment Effects in the Peak Rate Period</w:t>
      </w:r>
    </w:p>
    <w:p w14:paraId="706BD8A0" w14:textId="67CA0133" w:rsidR="00C723F5" w:rsidRPr="00EC69E9" w:rsidRDefault="000D21DE" w:rsidP="00C723F5">
      <w:pPr>
        <w:wordWrap/>
        <w:spacing w:line="360" w:lineRule="auto"/>
        <w:rPr>
          <w:rFonts w:ascii="Times New Roman" w:hAnsi="Times New Roman" w:cs="Times New Roman"/>
          <w:lang w:eastAsia="ko-KR"/>
        </w:rPr>
      </w:pPr>
      <w:commentRangeStart w:id="2"/>
      <w:r w:rsidRPr="00EC69E9">
        <w:rPr>
          <w:rFonts w:ascii="Times New Roman" w:hAnsi="Times New Roman" w:cs="Times New Roman"/>
          <w:lang w:eastAsia="ko-KR"/>
        </w:rPr>
        <w:t>It is worth estimating peak-rate-period ATEs relative to the control group to comprehend how the responsiveness of Irish households to TOU electricity pricing varied with the magnitude of price changes</w:t>
      </w:r>
      <w:commentRangeEnd w:id="2"/>
      <w:r w:rsidR="00B23DCD">
        <w:rPr>
          <w:rStyle w:val="CommentReference"/>
        </w:rPr>
        <w:commentReference w:id="2"/>
      </w:r>
      <w:r w:rsidRPr="00EC69E9">
        <w:rPr>
          <w:rFonts w:ascii="Times New Roman" w:hAnsi="Times New Roman" w:cs="Times New Roman"/>
          <w:lang w:eastAsia="ko-KR"/>
        </w:rPr>
        <w:t>.</w:t>
      </w:r>
      <w:r w:rsidR="00622603" w:rsidRPr="00EC69E9">
        <w:rPr>
          <w:rStyle w:val="FootnoteReference"/>
          <w:rFonts w:ascii="Times New Roman" w:hAnsi="Times New Roman" w:cs="Times New Roman"/>
          <w:lang w:eastAsia="ko-KR"/>
        </w:rPr>
        <w:footnoteReference w:id="6"/>
      </w:r>
      <w:r w:rsidRPr="00EC69E9">
        <w:rPr>
          <w:rFonts w:ascii="Times New Roman" w:hAnsi="Times New Roman" w:cs="Times New Roman"/>
          <w:lang w:eastAsia="ko-KR"/>
        </w:rPr>
        <w:t xml:space="preserve"> To do so, I run the following regression for each of the four tariff groups:</w:t>
      </w:r>
    </w:p>
    <w:p w14:paraId="1AAD78B8" w14:textId="3096BC8F" w:rsidR="001A726E" w:rsidRPr="00E7628C" w:rsidRDefault="005F3AA7" w:rsidP="00C723F5">
      <w:pPr>
        <w:wordWrap/>
        <w:spacing w:line="360" w:lineRule="auto"/>
        <w:rPr>
          <w:rFonts w:ascii="Times New Roman" w:hAnsi="Times New Roman" w:cs="Times New Roman"/>
          <w:i/>
          <w:lang w:eastAsia="ko-KR"/>
        </w:rPr>
      </w:pPr>
      <m:oMathPara>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ith</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itw</m:t>
              </m:r>
            </m:sub>
          </m:sSub>
        </m:oMath>
      </m:oMathPara>
    </w:p>
    <w:p w14:paraId="3D26D26B" w14:textId="2F20D4D6" w:rsidR="00E7628C" w:rsidRPr="00EC69E9" w:rsidRDefault="00E7628C" w:rsidP="00E7628C">
      <w:pPr>
        <w:wordWrap/>
        <w:spacing w:line="360" w:lineRule="auto"/>
        <w:rPr>
          <w:rFonts w:ascii="Times New Roman" w:hAnsi="Times New Roman" w:cs="Times New Roman"/>
          <w:lang w:eastAsia="ko-KR"/>
        </w:rPr>
      </w:pPr>
      <w:r w:rsidRPr="00EC69E9">
        <w:rPr>
          <w:rFonts w:ascii="Times New Roman" w:hAnsi="Times New Roman" w:cs="Times New Roman"/>
          <w:lang w:eastAsia="ko-KR"/>
        </w:rPr>
        <w:t xml:space="preserve">Excepting the dependent variable and the parameters of interest, the econometric model above is the same as (MODEL1). Specifically, the response variable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ith</m:t>
            </m:r>
          </m:sub>
        </m:sSub>
      </m:oMath>
      <w:r w:rsidRPr="00EC69E9">
        <w:rPr>
          <w:rFonts w:ascii="Times New Roman" w:hAnsi="Times New Roman" w:cs="Times New Roman"/>
          <w:lang w:eastAsia="ko-KR"/>
        </w:rPr>
        <w:t xml:space="preserve"> means the electricity consumption by household </w:t>
      </w:r>
      <w:proofErr w:type="spellStart"/>
      <w:r w:rsidRPr="00EC69E9">
        <w:rPr>
          <w:rFonts w:ascii="Times New Roman" w:hAnsi="Times New Roman" w:cs="Times New Roman"/>
          <w:i/>
          <w:iCs/>
          <w:lang w:eastAsia="ko-KR"/>
        </w:rPr>
        <w:t>i</w:t>
      </w:r>
      <w:proofErr w:type="spellEnd"/>
      <w:r w:rsidRPr="00EC69E9">
        <w:rPr>
          <w:rFonts w:ascii="Times New Roman" w:hAnsi="Times New Roman" w:cs="Times New Roman"/>
          <w:lang w:eastAsia="ko-KR"/>
        </w:rPr>
        <w:t xml:space="preserve"> on the day </w:t>
      </w:r>
      <w:r w:rsidRPr="00EC69E9">
        <w:rPr>
          <w:rFonts w:ascii="Times New Roman" w:hAnsi="Times New Roman" w:cs="Times New Roman"/>
          <w:i/>
          <w:iCs/>
          <w:lang w:eastAsia="ko-KR"/>
        </w:rPr>
        <w:t>t</w:t>
      </w:r>
      <w:r w:rsidRPr="00EC69E9">
        <w:rPr>
          <w:rFonts w:ascii="Times New Roman" w:hAnsi="Times New Roman" w:cs="Times New Roman"/>
          <w:lang w:eastAsia="ko-KR"/>
        </w:rPr>
        <w:t xml:space="preserve"> during the hour of the day </w:t>
      </w:r>
      <w:r w:rsidRPr="00EC69E9">
        <w:rPr>
          <w:rFonts w:ascii="Times New Roman" w:hAnsi="Times New Roman" w:cs="Times New Roman"/>
          <w:i/>
          <w:iCs/>
          <w:lang w:eastAsia="ko-KR"/>
        </w:rPr>
        <w:t>h</w:t>
      </w:r>
      <w:r w:rsidRPr="00EC69E9">
        <w:rPr>
          <w:rFonts w:ascii="Times New Roman" w:hAnsi="Times New Roman" w:cs="Times New Roman"/>
          <w:lang w:eastAsia="ko-KR"/>
        </w:rPr>
        <w:t xml:space="preserve">, and the point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oMath>
      <w:r w:rsidRPr="00EC69E9">
        <w:rPr>
          <w:rFonts w:ascii="Times New Roman" w:hAnsi="Times New Roman" w:cs="Times New Roman"/>
          <w:lang w:eastAsia="ko-KR"/>
        </w:rPr>
        <w:t xml:space="preserve"> indicate the ATE for each of three rate periods </w:t>
      </w:r>
      <w:r w:rsidRPr="00EC69E9">
        <w:rPr>
          <w:rFonts w:ascii="Times New Roman" w:hAnsi="Times New Roman" w:cs="Times New Roman"/>
          <w:i/>
          <w:iCs/>
          <w:lang w:eastAsia="ko-KR"/>
        </w:rPr>
        <w:t>p</w:t>
      </w:r>
      <w:r w:rsidRPr="00EC69E9">
        <w:rPr>
          <w:rFonts w:ascii="Times New Roman" w:hAnsi="Times New Roman" w:cs="Times New Roman"/>
          <w:lang w:eastAsia="ko-KR"/>
        </w:rPr>
        <w:t>. TABLE summarizes the regression results.</w:t>
      </w:r>
    </w:p>
    <w:p w14:paraId="3363E009" w14:textId="19967C2F" w:rsidR="00E7628C" w:rsidRPr="00E7628C" w:rsidRDefault="00E7628C" w:rsidP="00C723F5">
      <w:pPr>
        <w:wordWrap/>
        <w:spacing w:line="360" w:lineRule="auto"/>
        <w:rPr>
          <w:rFonts w:ascii="Times New Roman" w:hAnsi="Times New Roman" w:cs="Times New Roman"/>
          <w:u w:val="single"/>
          <w:lang w:eastAsia="ko-KR"/>
        </w:rPr>
      </w:pPr>
    </w:p>
    <w:p w14:paraId="7F797AFE" w14:textId="044DAFF4" w:rsidR="001A726E" w:rsidRPr="00EC69E9" w:rsidRDefault="001A726E" w:rsidP="00E7628C">
      <w:pPr>
        <w:wordWrap/>
        <w:spacing w:line="360" w:lineRule="auto"/>
        <w:ind w:firstLine="800"/>
        <w:rPr>
          <w:rFonts w:ascii="Times New Roman" w:hAnsi="Times New Roman" w:cs="Times New Roman"/>
          <w:lang w:eastAsia="ko-KR"/>
        </w:rPr>
      </w:pPr>
      <w:r w:rsidRPr="00EC69E9">
        <w:rPr>
          <w:rFonts w:ascii="Times New Roman" w:hAnsi="Times New Roman" w:cs="Times New Roman"/>
          <w:lang w:eastAsia="ko-KR"/>
        </w:rPr>
        <w:t>The results demonstrated in TABLE indicate that the measured ATEs generally follow the law of demand: in general, the reduction in household demand for electricity during the peak rate period grows with the size of the price jump. Importantly, the results imply that household electricity savings from temperature-control use or ones from non-temperature-control uses depend on the amount of the tariff change in the peak rate period. Motivated by this implication, the relative responsiveness of the two distinct drivers of energy savings to the time-varying prices introduced is quantified below.</w:t>
      </w:r>
    </w:p>
    <w:p w14:paraId="44A66104" w14:textId="3DE4A61A" w:rsidR="000D21DE" w:rsidRDefault="000D21DE" w:rsidP="00C723F5">
      <w:pPr>
        <w:wordWrap/>
        <w:spacing w:line="360" w:lineRule="auto"/>
        <w:rPr>
          <w:rFonts w:ascii="Times New Roman" w:hAnsi="Times New Roman" w:cs="Times New Roman"/>
          <w:lang w:eastAsia="ko-KR"/>
        </w:rPr>
      </w:pPr>
    </w:p>
    <w:p w14:paraId="07C51083" w14:textId="77777777" w:rsidR="000D21DE" w:rsidRPr="007529C1" w:rsidRDefault="000D21DE" w:rsidP="00C723F5">
      <w:pPr>
        <w:wordWrap/>
        <w:spacing w:line="360" w:lineRule="auto"/>
        <w:rPr>
          <w:rFonts w:ascii="Times New Roman" w:hAnsi="Times New Roman" w:cs="Times New Roman"/>
        </w:rPr>
      </w:pPr>
    </w:p>
    <w:p w14:paraId="487CAFC2" w14:textId="3A3C1330" w:rsidR="000D21DE" w:rsidRDefault="000D21DE" w:rsidP="000D21DE">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3</w:t>
      </w:r>
      <w:r w:rsidRPr="007529C1">
        <w:rPr>
          <w:rFonts w:ascii="Times New Roman" w:hAnsi="Times New Roman" w:cs="Times New Roman"/>
          <w:b/>
          <w:bCs/>
        </w:rPr>
        <w:t xml:space="preserve"> </w:t>
      </w:r>
      <w:r w:rsidR="00627695">
        <w:rPr>
          <w:rFonts w:ascii="Times New Roman" w:hAnsi="Times New Roman" w:cs="Times New Roman"/>
          <w:b/>
          <w:bCs/>
        </w:rPr>
        <w:t>Breakdown of Peak-Rate-Period Household Responses to Time-Of-Use Prices</w:t>
      </w:r>
    </w:p>
    <w:p w14:paraId="389F7C7C" w14:textId="58421AA3" w:rsidR="00627695" w:rsidRDefault="00627695" w:rsidP="00627695">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3.1</w:t>
      </w:r>
      <w:r w:rsidRPr="007529C1">
        <w:rPr>
          <w:rFonts w:ascii="Times New Roman" w:hAnsi="Times New Roman" w:cs="Times New Roman"/>
          <w:b/>
          <w:bCs/>
        </w:rPr>
        <w:t xml:space="preserve"> </w:t>
      </w:r>
      <w:r>
        <w:rPr>
          <w:rFonts w:ascii="Times New Roman" w:hAnsi="Times New Roman" w:cs="Times New Roman"/>
          <w:b/>
          <w:bCs/>
        </w:rPr>
        <w:t>Breakdown of Household Responses in the Peak Rate Period</w:t>
      </w:r>
    </w:p>
    <w:p w14:paraId="00A6E112" w14:textId="2C99025E" w:rsidR="00912657" w:rsidRDefault="00912657" w:rsidP="00912657">
      <w:pPr>
        <w:wordWrap/>
        <w:spacing w:line="360" w:lineRule="auto"/>
        <w:rPr>
          <w:rFonts w:ascii="Times New Roman" w:hAnsi="Times New Roman" w:cs="Times New Roman"/>
          <w:lang w:eastAsia="ko-KR"/>
        </w:rPr>
      </w:pPr>
      <w:r w:rsidRPr="00912657">
        <w:rPr>
          <w:rFonts w:ascii="Times New Roman" w:hAnsi="Times New Roman" w:cs="Times New Roman"/>
          <w:lang w:eastAsia="ko-KR"/>
        </w:rPr>
        <w:t>I decompose the TOU-tariff-causing reductions in electricity consumption during the peak rate period into two parts to determine the share of energy savings stemming from two different sources: savings from temperature-control and non-temperature-control uses</w:t>
      </w:r>
      <w:r w:rsidRPr="005276B8">
        <w:rPr>
          <w:rFonts w:ascii="Times New Roman" w:hAnsi="Times New Roman" w:cs="Times New Roman"/>
          <w:highlight w:val="yellow"/>
          <w:lang w:eastAsia="ko-KR"/>
        </w:rPr>
        <w:t>.</w:t>
      </w:r>
      <w:commentRangeStart w:id="3"/>
      <w:r w:rsidRPr="005276B8">
        <w:rPr>
          <w:rFonts w:ascii="Times New Roman" w:hAnsi="Times New Roman" w:cs="Times New Roman"/>
          <w:highlight w:val="yellow"/>
          <w:lang w:eastAsia="ko-KR"/>
        </w:rPr>
        <w:t xml:space="preserve"> </w:t>
      </w:r>
      <w:commentRangeEnd w:id="3"/>
      <w:r w:rsidR="005276B8" w:rsidRPr="005276B8">
        <w:rPr>
          <w:rStyle w:val="CommentReference"/>
          <w:highlight w:val="yellow"/>
        </w:rPr>
        <w:commentReference w:id="3"/>
      </w:r>
      <w:r w:rsidRPr="005276B8">
        <w:rPr>
          <w:rFonts w:ascii="Times New Roman" w:hAnsi="Times New Roman" w:cs="Times New Roman"/>
          <w:highlight w:val="yellow"/>
          <w:lang w:eastAsia="ko-KR"/>
        </w:rPr>
        <w:t xml:space="preserve">Isolating the impact of TOU prices on household electricity demand for temperature-control use from the total reductions in electricity demand enables us to know how differently the TOU tariff structures function from day to day. Generally, retail electricity rates under a TOU price scheme only have by-time-of-day variations. </w:t>
      </w:r>
      <w:r w:rsidR="00156A1A" w:rsidRPr="005276B8">
        <w:rPr>
          <w:rFonts w:ascii="Times New Roman" w:hAnsi="Times New Roman" w:cs="Times New Roman"/>
          <w:highlight w:val="yellow"/>
          <w:lang w:eastAsia="ko-KR"/>
        </w:rPr>
        <w:t>So,</w:t>
      </w:r>
      <w:r w:rsidRPr="005276B8">
        <w:rPr>
          <w:rFonts w:ascii="Times New Roman" w:hAnsi="Times New Roman" w:cs="Times New Roman"/>
          <w:highlight w:val="yellow"/>
          <w:lang w:eastAsia="ko-KR"/>
        </w:rPr>
        <w:t xml:space="preserve"> each day has the same within-day evolution of electricity prices. The effectiveness of the TOU pricing, however, can alter across days if its impact on temperature-sensitive energy use is not negligible because temperatures highly fluctuate every day. In other words, the time-varying pricing, whose primary purpose is to address the peak demand problem, works well, especially on days having a more significant gap between retail electricity prices and the marginal cost of supplying electricity under a flat rate electricity plan (e.g., days with extreme temperatures), if the responsiveness of the temperature-control electricity use to the dynamic price is large </w:t>
      </w:r>
      <w:commentRangeStart w:id="4"/>
      <w:r w:rsidRPr="005276B8">
        <w:rPr>
          <w:rFonts w:ascii="Times New Roman" w:hAnsi="Times New Roman" w:cs="Times New Roman"/>
          <w:highlight w:val="yellow"/>
          <w:lang w:eastAsia="ko-KR"/>
        </w:rPr>
        <w:t>enough</w:t>
      </w:r>
      <w:commentRangeEnd w:id="4"/>
      <w:r w:rsidR="005276B8">
        <w:rPr>
          <w:rStyle w:val="CommentReference"/>
        </w:rPr>
        <w:commentReference w:id="4"/>
      </w:r>
      <w:r w:rsidRPr="005276B8">
        <w:rPr>
          <w:rFonts w:ascii="Times New Roman" w:hAnsi="Times New Roman" w:cs="Times New Roman"/>
          <w:highlight w:val="yellow"/>
          <w:lang w:eastAsia="ko-KR"/>
        </w:rPr>
        <w:t>.</w:t>
      </w:r>
    </w:p>
    <w:p w14:paraId="0A53F6C7" w14:textId="56F62BE3" w:rsidR="00912657" w:rsidRDefault="00912657" w:rsidP="00912657">
      <w:pPr>
        <w:wordWrap/>
        <w:spacing w:line="360" w:lineRule="auto"/>
        <w:rPr>
          <w:rFonts w:ascii="Times New Roman" w:hAnsi="Times New Roman" w:cs="Times New Roman"/>
          <w:lang w:eastAsia="ko-KR"/>
        </w:rPr>
      </w:pPr>
    </w:p>
    <w:p w14:paraId="3CFE9A00" w14:textId="02FD5763" w:rsidR="00912657" w:rsidRDefault="00912657" w:rsidP="00912657">
      <w:pPr>
        <w:wordWrap/>
        <w:spacing w:line="360" w:lineRule="auto"/>
        <w:rPr>
          <w:rFonts w:ascii="Times New Roman" w:hAnsi="Times New Roman" w:cs="Times New Roman"/>
          <w:lang w:eastAsia="ko-KR"/>
        </w:rPr>
      </w:pPr>
      <w:r>
        <w:rPr>
          <w:rFonts w:ascii="Times New Roman" w:hAnsi="Times New Roman" w:cs="Times New Roman"/>
          <w:lang w:eastAsia="ko-KR"/>
        </w:rPr>
        <w:tab/>
      </w:r>
      <w:r w:rsidRPr="00912657">
        <w:rPr>
          <w:rFonts w:ascii="Times New Roman" w:hAnsi="Times New Roman" w:cs="Times New Roman"/>
          <w:lang w:eastAsia="ko-KR"/>
        </w:rPr>
        <w:t>To break down peak-hours household responses to TOU prices, I exploit the following econometric model inspired by the DID framework:</w:t>
      </w:r>
    </w:p>
    <w:p w14:paraId="4C0E2005" w14:textId="77B8340F" w:rsidR="00912657" w:rsidRPr="00B95722" w:rsidRDefault="005F3AA7" w:rsidP="00912657">
      <w:pPr>
        <w:wordWrap/>
        <w:spacing w:line="360" w:lineRule="auto"/>
        <w:rPr>
          <w:rFonts w:ascii="Times New Roman" w:hAnsi="Times New Roman" w:cs="Times New Roman"/>
          <w:i/>
          <w:lang w:val="fr-FR" w:eastAsia="ko-KR"/>
        </w:rPr>
      </w:pPr>
      <m:oMathPara>
        <m:oMath>
          <m:sSub>
            <m:sSubPr>
              <m:ctrlPr>
                <w:rPr>
                  <w:rFonts w:ascii="Cambria Math" w:hAnsi="Cambria Math" w:cs="Times New Roman"/>
                  <w:i/>
                </w:rPr>
              </m:ctrlPr>
            </m:sSubPr>
            <m:e>
              <m:r>
                <w:rPr>
                  <w:rFonts w:ascii="Cambria Math" w:hAnsi="Cambria Math" w:cs="Times New Roman"/>
                </w:rPr>
                <m:t>kW</m:t>
              </m:r>
              <m:r>
                <w:rPr>
                  <w:rFonts w:ascii="Cambria Math" w:hAnsi="Cambria Math" w:cs="Times New Roman"/>
                  <w:lang w:val="fr-FR"/>
                </w:rPr>
                <m:t>h</m:t>
              </m:r>
            </m:e>
            <m:sub>
              <m:r>
                <w:rPr>
                  <w:rFonts w:ascii="Cambria Math" w:hAnsi="Cambria Math" w:cs="Times New Roman"/>
                </w:rPr>
                <m:t>it</m:t>
              </m:r>
              <m:r>
                <w:rPr>
                  <w:rFonts w:ascii="Cambria Math" w:hAnsi="Cambria Math" w:cs="Times New Roman"/>
                  <w:lang w:val="fr-FR"/>
                </w:rPr>
                <m:t>h</m:t>
              </m:r>
            </m:sub>
          </m:sSub>
          <m:r>
            <w:rPr>
              <w:rFonts w:ascii="Cambria Math" w:hAnsi="Cambria Math" w:cs="Times New Roman"/>
              <w:lang w:val="fr-FR"/>
            </w:rPr>
            <m:t xml:space="preserve"> =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HDD</m:t>
              </m:r>
            </m:e>
            <m:sub>
              <m:r>
                <w:rPr>
                  <w:rFonts w:ascii="Cambria Math" w:hAnsi="Cambria Math" w:cs="Times New Roman"/>
                </w:rPr>
                <m:t>t</m:t>
              </m:r>
            </m:sub>
          </m:sSub>
          <m:r>
            <w:rPr>
              <w:rFonts w:ascii="Cambria Math" w:hAnsi="Cambria Math" w:cs="Times New Roman"/>
            </w:rPr>
            <m:t xml:space="preserve"> + </m:t>
          </m:r>
          <w:bookmarkStart w:id="5" w:name="_GoBack"/>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m:t>
              </m:r>
            </m:e>
            <m:sub>
              <m:r>
                <w:rPr>
                  <w:rFonts w:ascii="Cambria Math" w:hAnsi="Cambria Math" w:cs="Times New Roman"/>
                </w:rPr>
                <m:t>i</m:t>
              </m:r>
            </m:sub>
          </m:sSub>
          <w:bookmarkEnd w:id="5"/>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HDD</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m:t>
              </m:r>
            </m:e>
            <m:sub>
              <m:r>
                <w:rPr>
                  <w:rFonts w:ascii="Cambria Math" w:hAnsi="Cambria Math" w:cs="Times New Roman"/>
                </w:rPr>
                <m:t>i</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HDD</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 xml:space="preserve"> &amp; </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it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HDD</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 xml:space="preserve"> &amp; </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it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lang w:val="fr-FR"/>
                </w:rPr>
                <m:t>d</m:t>
              </m:r>
              <m:r>
                <w:rPr>
                  <w:rFonts w:ascii="Cambria Math" w:hAnsi="Cambria Math" w:cs="Times New Roman"/>
                </w:rPr>
                <m:t>w</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lang w:val="fr-FR"/>
                </w:rPr>
                <m:t>m</m:t>
              </m:r>
              <m:r>
                <w:rPr>
                  <w:rFonts w:ascii="Cambria Math" w:hAnsi="Cambria Math" w:cs="Times New Roman"/>
                </w:rPr>
                <m:t>w</m:t>
              </m:r>
            </m:sub>
          </m:sSub>
          <m:r>
            <w:rPr>
              <w:rFonts w:ascii="Cambria Math" w:hAnsi="Cambria Math" w:cs="Times New Roman"/>
              <w:lang w:val="fr-FR"/>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r>
                <w:rPr>
                  <w:rFonts w:ascii="Cambria Math" w:hAnsi="Cambria Math" w:cs="Times New Roman"/>
                  <w:lang w:val="fr-FR"/>
                </w:rPr>
                <m:t>h</m:t>
              </m:r>
            </m:sub>
          </m:sSub>
        </m:oMath>
      </m:oMathPara>
    </w:p>
    <w:p w14:paraId="78EB460C" w14:textId="171B9640" w:rsidR="00912657" w:rsidRDefault="00912657" w:rsidP="00B95722">
      <w:pPr>
        <w:wordWrap/>
        <w:spacing w:line="360" w:lineRule="auto"/>
        <w:rPr>
          <w:rFonts w:ascii="Times New Roman" w:hAnsi="Times New Roman" w:cs="Times New Roman"/>
          <w:lang w:eastAsia="ko-KR"/>
        </w:rPr>
      </w:pPr>
      <w:r w:rsidRPr="00912657">
        <w:rPr>
          <w:rFonts w:ascii="Times New Roman" w:hAnsi="Times New Roman" w:cs="Times New Roman"/>
          <w:lang w:eastAsia="ko-KR"/>
        </w:rPr>
        <w:t>Like</w:t>
      </w:r>
      <w:r w:rsidR="000E14C9">
        <w:rPr>
          <w:rFonts w:ascii="Times New Roman" w:hAnsi="Times New Roman" w:cs="Times New Roman"/>
          <w:lang w:eastAsia="ko-KR"/>
        </w:rPr>
        <w:t xml:space="preserve"> (MODEL-2</w:t>
      </w:r>
      <w:r w:rsidRPr="00912657">
        <w:rPr>
          <w:rFonts w:ascii="Times New Roman" w:hAnsi="Times New Roman" w:cs="Times New Roman"/>
          <w:lang w:eastAsia="ko-KR"/>
        </w:rPr>
        <w:t xml:space="preserve">), the dependent variable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ith</m:t>
            </m:r>
          </m:sub>
        </m:sSub>
      </m:oMath>
      <w:r w:rsidRPr="00912657">
        <w:rPr>
          <w:rFonts w:ascii="Times New Roman" w:hAnsi="Times New Roman" w:cs="Times New Roman"/>
          <w:lang w:eastAsia="ko-KR"/>
        </w:rPr>
        <w:t xml:space="preserve"> is the electricity consumption by household </w:t>
      </w:r>
      <w:proofErr w:type="spellStart"/>
      <w:r w:rsidR="00E470D2" w:rsidRPr="00E470D2">
        <w:rPr>
          <w:rFonts w:ascii="Times New Roman" w:hAnsi="Times New Roman" w:cs="Times New Roman"/>
          <w:i/>
          <w:iCs/>
          <w:lang w:eastAsia="ko-KR"/>
        </w:rPr>
        <w:t>i</w:t>
      </w:r>
      <w:proofErr w:type="spellEnd"/>
      <w:r w:rsidRPr="00912657">
        <w:rPr>
          <w:rFonts w:ascii="Times New Roman" w:hAnsi="Times New Roman" w:cs="Times New Roman"/>
          <w:lang w:eastAsia="ko-KR"/>
        </w:rPr>
        <w:t xml:space="preserve"> on the day </w:t>
      </w:r>
      <w:r w:rsidR="00E470D2" w:rsidRPr="00E470D2">
        <w:rPr>
          <w:rFonts w:ascii="Times New Roman" w:hAnsi="Times New Roman" w:cs="Times New Roman"/>
          <w:i/>
          <w:iCs/>
          <w:lang w:eastAsia="ko-KR"/>
        </w:rPr>
        <w:t>t</w:t>
      </w:r>
      <w:r w:rsidRPr="00912657">
        <w:rPr>
          <w:rFonts w:ascii="Times New Roman" w:hAnsi="Times New Roman" w:cs="Times New Roman"/>
          <w:lang w:eastAsia="ko-KR"/>
        </w:rPr>
        <w:t xml:space="preserve"> during the hour of the day </w:t>
      </w:r>
      <w:r w:rsidR="00E470D2" w:rsidRPr="00E470D2">
        <w:rPr>
          <w:rFonts w:ascii="Times New Roman" w:hAnsi="Times New Roman" w:cs="Times New Roman"/>
          <w:i/>
          <w:iCs/>
          <w:lang w:eastAsia="ko-KR"/>
        </w:rPr>
        <w:t>h</w:t>
      </w:r>
      <w:r w:rsidRPr="00912657">
        <w:rPr>
          <w:rFonts w:ascii="Times New Roman" w:hAnsi="Times New Roman" w:cs="Times New Roman"/>
          <w:lang w:eastAsia="ko-KR"/>
        </w:rPr>
        <w:t xml:space="preserve">. There are three indicator variables in the model: the first indicator variable </w:t>
      </w:r>
      <m:oMath>
        <m:sSub>
          <m:sSubPr>
            <m:ctrlPr>
              <w:rPr>
                <w:rFonts w:ascii="Cambria Math" w:hAnsi="Cambria Math" w:cs="Times New Roman"/>
                <w:i/>
              </w:rPr>
            </m:ctrlPr>
          </m:sSubPr>
          <m:e>
            <m:r>
              <w:rPr>
                <w:rFonts w:ascii="Cambria Math" w:hAnsi="Cambria Math" w:cs="Times New Roman"/>
              </w:rPr>
              <m:t>I[Treatment]</m:t>
            </m:r>
          </m:e>
          <m:sub>
            <m:r>
              <w:rPr>
                <w:rFonts w:ascii="Cambria Math" w:hAnsi="Cambria Math" w:cs="Times New Roman"/>
              </w:rPr>
              <m:t>i</m:t>
            </m:r>
          </m:sub>
        </m:sSub>
        <m:r>
          <w:rPr>
            <w:rFonts w:ascii="Cambria Math" w:hAnsi="Cambria Math" w:cs="Times New Roman"/>
          </w:rPr>
          <m:t xml:space="preserve"> </m:t>
        </m:r>
      </m:oMath>
      <w:r w:rsidRPr="00912657">
        <w:rPr>
          <w:rFonts w:ascii="Times New Roman" w:hAnsi="Times New Roman" w:cs="Times New Roman"/>
          <w:lang w:eastAsia="ko-KR"/>
        </w:rPr>
        <w:t xml:space="preserve">has the value of 1 if household </w:t>
      </w:r>
      <w:r w:rsidR="00E470D2" w:rsidRPr="00E470D2">
        <w:rPr>
          <w:rFonts w:ascii="Times New Roman" w:hAnsi="Times New Roman" w:cs="Times New Roman"/>
          <w:i/>
          <w:iCs/>
          <w:lang w:eastAsia="ko-KR"/>
        </w:rPr>
        <w:t>i</w:t>
      </w:r>
      <w:r w:rsidRPr="00912657">
        <w:rPr>
          <w:rFonts w:ascii="Times New Roman" w:hAnsi="Times New Roman" w:cs="Times New Roman"/>
          <w:lang w:eastAsia="ko-KR"/>
        </w:rPr>
        <w:t xml:space="preserve"> is assigned to the treatment group; the second indicator variable </w:t>
      </w:r>
      <m:oMath>
        <m:sSub>
          <m:sSubPr>
            <m:ctrlPr>
              <w:rPr>
                <w:rFonts w:ascii="Cambria Math" w:hAnsi="Cambria Math" w:cs="Times New Roman"/>
                <w:i/>
              </w:rPr>
            </m:ctrlPr>
          </m:sSubPr>
          <m:e>
            <m:r>
              <w:rPr>
                <w:rFonts w:ascii="Cambria Math" w:hAnsi="Cambria Math" w:cs="Times New Roman"/>
              </w:rPr>
              <m:t>I[Post]</m:t>
            </m:r>
          </m:e>
          <m:sub>
            <m:r>
              <w:rPr>
                <w:rFonts w:ascii="Cambria Math" w:hAnsi="Cambria Math" w:cs="Times New Roman"/>
              </w:rPr>
              <m:t>t</m:t>
            </m:r>
          </m:sub>
        </m:sSub>
      </m:oMath>
      <w:r w:rsidRPr="00912657">
        <w:rPr>
          <w:rFonts w:ascii="Times New Roman" w:hAnsi="Times New Roman" w:cs="Times New Roman"/>
          <w:lang w:eastAsia="ko-KR"/>
        </w:rPr>
        <w:t xml:space="preserve">equals 1 when the day </w:t>
      </w:r>
      <w:r w:rsidR="00292602" w:rsidRPr="00292602">
        <w:rPr>
          <w:rFonts w:ascii="Times New Roman" w:hAnsi="Times New Roman" w:cs="Times New Roman"/>
          <w:i/>
          <w:iCs/>
          <w:lang w:eastAsia="ko-KR"/>
        </w:rPr>
        <w:t>t</w:t>
      </w:r>
      <w:r w:rsidRPr="00912657">
        <w:rPr>
          <w:rFonts w:ascii="Times New Roman" w:hAnsi="Times New Roman" w:cs="Times New Roman"/>
          <w:lang w:eastAsia="ko-KR"/>
        </w:rPr>
        <w:t xml:space="preserve"> is in the treatment period; the last indicator variable </w:t>
      </w:r>
      <m:oMath>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oMath>
      <w:r w:rsidRPr="00912657">
        <w:rPr>
          <w:rFonts w:ascii="Times New Roman" w:hAnsi="Times New Roman" w:cs="Times New Roman"/>
          <w:lang w:eastAsia="ko-KR"/>
        </w:rPr>
        <w:t xml:space="preserve"> is equal to 1 only for treatment households during the treatment period. The model also includes interaction terms between daily HDDs and those indicator variables. The terms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dw</m:t>
            </m:r>
          </m:sub>
        </m:sSub>
      </m:oMath>
      <w:r w:rsidRPr="00912657">
        <w:rPr>
          <w:rFonts w:ascii="Times New Roman" w:hAnsi="Times New Roman" w:cs="Times New Roman"/>
          <w:lang w:eastAsia="ko-KR"/>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mw</m:t>
            </m:r>
          </m:sub>
        </m:sSub>
        <m:r>
          <w:rPr>
            <w:rFonts w:ascii="Cambria Math" w:hAnsi="Cambria Math" w:cs="Times New Roman"/>
          </w:rPr>
          <m:t xml:space="preserve"> </m:t>
        </m:r>
      </m:oMath>
      <w:r w:rsidRPr="00912657">
        <w:rPr>
          <w:rFonts w:ascii="Times New Roman" w:hAnsi="Times New Roman" w:cs="Times New Roman"/>
          <w:lang w:eastAsia="ko-KR"/>
        </w:rPr>
        <w:t>are day-of-week-by-half-hourly-time-window and month-of-year-by-half-hourly-time-window fixed effects, respectively.</w:t>
      </w:r>
    </w:p>
    <w:p w14:paraId="62B8AB07" w14:textId="618625F9" w:rsidR="00912657" w:rsidRDefault="00912657" w:rsidP="00912657">
      <w:pPr>
        <w:wordWrap/>
        <w:spacing w:line="360" w:lineRule="auto"/>
        <w:rPr>
          <w:rFonts w:ascii="Times New Roman" w:hAnsi="Times New Roman" w:cs="Times New Roman"/>
          <w:lang w:eastAsia="ko-KR"/>
        </w:rPr>
      </w:pPr>
    </w:p>
    <w:p w14:paraId="10199C57" w14:textId="5F873E76" w:rsidR="00A21347" w:rsidRDefault="00912657" w:rsidP="002C1152">
      <w:pPr>
        <w:wordWrap/>
        <w:spacing w:line="360" w:lineRule="auto"/>
        <w:ind w:firstLine="800"/>
        <w:rPr>
          <w:rFonts w:ascii="Times New Roman" w:hAnsi="Times New Roman" w:cs="Times New Roman"/>
          <w:lang w:eastAsia="ko-KR"/>
        </w:rPr>
      </w:pPr>
      <w:r w:rsidRPr="00912657">
        <w:rPr>
          <w:rFonts w:ascii="Times New Roman" w:hAnsi="Times New Roman" w:cs="Times New Roman"/>
          <w:lang w:eastAsia="ko-KR"/>
        </w:rPr>
        <w:t>The primary coefficients of interest in (</w:t>
      </w:r>
      <w:r w:rsidR="000E14C9">
        <w:rPr>
          <w:rFonts w:ascii="Times New Roman" w:hAnsi="Times New Roman" w:cs="Times New Roman"/>
          <w:lang w:eastAsia="ko-KR"/>
        </w:rPr>
        <w:t>MODEL-3</w:t>
      </w:r>
      <w:r w:rsidRPr="00912657">
        <w:rPr>
          <w:rFonts w:ascii="Times New Roman" w:hAnsi="Times New Roman" w:cs="Times New Roman"/>
          <w:lang w:eastAsia="ko-KR"/>
        </w:rPr>
        <w:t xml:space="preserve">) are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oMath>
      <w:r w:rsidRPr="00912657">
        <w:rPr>
          <w:rFonts w:ascii="Times New Roman" w:hAnsi="Times New Roman" w:cs="Times New Roman"/>
          <w:lang w:eastAsia="ko-KR"/>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oMath>
      <w:r w:rsidR="00D164F1">
        <w:rPr>
          <w:rFonts w:ascii="Times New Roman" w:hAnsi="Times New Roman" w:cs="Times New Roman" w:hint="eastAsia"/>
        </w:rPr>
        <w:t>.</w:t>
      </w:r>
      <w:r w:rsidR="00D164F1">
        <w:rPr>
          <w:rFonts w:ascii="Times New Roman" w:hAnsi="Times New Roman" w:cs="Times New Roman"/>
        </w:rPr>
        <w:t xml:space="preserve"> </w:t>
      </w:r>
      <w:r w:rsidRPr="00912657">
        <w:rPr>
          <w:rFonts w:ascii="Times New Roman" w:hAnsi="Times New Roman" w:cs="Times New Roman"/>
          <w:lang w:eastAsia="ko-KR"/>
        </w:rPr>
        <w:t xml:space="preserve">Both coefficients show how much electricity consumption households have reduced since the deployment of the TOU tariffs. To be specific,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 </m:t>
        </m:r>
      </m:oMath>
      <w:r w:rsidRPr="00912657">
        <w:rPr>
          <w:rFonts w:ascii="Times New Roman" w:hAnsi="Times New Roman" w:cs="Times New Roman"/>
          <w:lang w:eastAsia="ko-KR"/>
        </w:rPr>
        <w:t xml:space="preserve">is the decrease in household electricity consumption for non-temperature-control uses, while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oMath>
      <w:r w:rsidRPr="00912657">
        <w:rPr>
          <w:rFonts w:ascii="Times New Roman" w:hAnsi="Times New Roman" w:cs="Times New Roman"/>
          <w:lang w:eastAsia="ko-KR"/>
        </w:rPr>
        <w:t xml:space="preserve"> is associated with the reductions in electricity consumed to satisfy household heating needs for given HDDs.</w:t>
      </w:r>
    </w:p>
    <w:p w14:paraId="7CF9CF61" w14:textId="77777777" w:rsidR="00277C37" w:rsidRPr="000E14C9" w:rsidRDefault="00277C37" w:rsidP="00A21347">
      <w:pPr>
        <w:wordWrap/>
        <w:spacing w:line="360" w:lineRule="auto"/>
        <w:rPr>
          <w:rFonts w:ascii="Times New Roman" w:hAnsi="Times New Roman" w:cs="Times New Roman"/>
          <w:lang w:eastAsia="ko-KR"/>
        </w:rPr>
      </w:pPr>
    </w:p>
    <w:p w14:paraId="683FE888" w14:textId="62742003" w:rsidR="00912657" w:rsidRDefault="00912657" w:rsidP="00912657">
      <w:pPr>
        <w:wordWrap/>
        <w:spacing w:line="360" w:lineRule="auto"/>
        <w:ind w:firstLine="800"/>
        <w:rPr>
          <w:rFonts w:ascii="Times New Roman" w:hAnsi="Times New Roman" w:cs="Times New Roman"/>
          <w:lang w:eastAsia="ko-KR"/>
        </w:rPr>
      </w:pPr>
      <w:r w:rsidRPr="00912657">
        <w:rPr>
          <w:rFonts w:ascii="Times New Roman" w:hAnsi="Times New Roman" w:cs="Times New Roman"/>
          <w:lang w:eastAsia="ko-KR"/>
        </w:rPr>
        <w:t>Using the points estimates of the two coefficients of interest presented in T</w:t>
      </w:r>
      <w:r w:rsidR="006F2B9E">
        <w:rPr>
          <w:rFonts w:ascii="Times New Roman" w:hAnsi="Times New Roman" w:cs="Times New Roman"/>
          <w:lang w:eastAsia="ko-KR"/>
        </w:rPr>
        <w:t>ABLE below</w:t>
      </w:r>
      <w:r w:rsidRPr="00912657">
        <w:rPr>
          <w:rFonts w:ascii="Times New Roman" w:hAnsi="Times New Roman" w:cs="Times New Roman"/>
          <w:lang w:eastAsia="ko-KR"/>
        </w:rPr>
        <w:t>, I show how the electricity savings caused by the TOU prices vary with daily HDDs in</w:t>
      </w:r>
      <w:r w:rsidR="00AB7D9F">
        <w:rPr>
          <w:rFonts w:ascii="Times New Roman" w:hAnsi="Times New Roman" w:cs="Times New Roman"/>
          <w:lang w:eastAsia="ko-KR"/>
        </w:rPr>
        <w:t xml:space="preserve"> FIGURE</w:t>
      </w:r>
      <w:r w:rsidRPr="00912657">
        <w:rPr>
          <w:rFonts w:ascii="Times New Roman" w:hAnsi="Times New Roman" w:cs="Times New Roman"/>
          <w:lang w:eastAsia="ko-KR"/>
        </w:rPr>
        <w:t>.</w:t>
      </w:r>
      <w:r w:rsidR="006F2B9E">
        <w:rPr>
          <w:rStyle w:val="FootnoteReference"/>
          <w:rFonts w:ascii="Times New Roman" w:hAnsi="Times New Roman" w:cs="Times New Roman"/>
          <w:lang w:eastAsia="ko-KR"/>
        </w:rPr>
        <w:footnoteReference w:id="7"/>
      </w:r>
      <w:r w:rsidRPr="00912657">
        <w:rPr>
          <w:rFonts w:ascii="Times New Roman" w:hAnsi="Times New Roman" w:cs="Times New Roman"/>
          <w:lang w:eastAsia="ko-KR"/>
        </w:rPr>
        <w:t xml:space="preserve"> As clearly illustrated, the households assigned to the treatment group significantly reduced their electricity consumption when they were subject to the TOU prices. In addition, it is evident from the figure that the share of temperature-control-use-</w:t>
      </w:r>
      <w:r w:rsidRPr="00912657">
        <w:rPr>
          <w:rFonts w:ascii="Times New Roman" w:hAnsi="Times New Roman" w:cs="Times New Roman"/>
          <w:lang w:eastAsia="ko-KR"/>
        </w:rPr>
        <w:lastRenderedPageBreak/>
        <w:t>related demand reductions grows as household electricity needs for heating become serious. For example, the energy savings originating from electricity consumption for temperature-control use are close to half of the TOU-pricing-inducing reductions in household electricity demand when Irish household needs for heating are at their peak (i.e., around daily HDDs of 30).</w:t>
      </w:r>
    </w:p>
    <w:p w14:paraId="1BFD098E" w14:textId="77777777" w:rsidR="002C1152" w:rsidRDefault="002C1152" w:rsidP="00912657">
      <w:pPr>
        <w:wordWrap/>
        <w:spacing w:line="360" w:lineRule="auto"/>
        <w:ind w:firstLine="800"/>
        <w:rPr>
          <w:rFonts w:ascii="Times New Roman" w:hAnsi="Times New Roman" w:cs="Times New Roman"/>
          <w:lang w:eastAsia="ko-KR"/>
        </w:rPr>
      </w:pPr>
    </w:p>
    <w:p w14:paraId="6CDC301E" w14:textId="65C09B97" w:rsidR="00912657" w:rsidRDefault="002C1152" w:rsidP="00912657">
      <w:pPr>
        <w:wordWrap/>
        <w:spacing w:line="360" w:lineRule="auto"/>
        <w:rPr>
          <w:rFonts w:ascii="Times New Roman" w:hAnsi="Times New Roman" w:cs="Times New Roman"/>
          <w:lang w:eastAsia="ko-KR"/>
        </w:rPr>
      </w:pPr>
      <w:r>
        <w:rPr>
          <w:rFonts w:ascii="Times New Roman" w:hAnsi="Times New Roman" w:cs="Times New Roman"/>
          <w:noProof/>
          <w:lang w:eastAsia="en-US"/>
        </w:rPr>
        <w:drawing>
          <wp:inline distT="0" distB="0" distL="0" distR="0" wp14:anchorId="291DE39F" wp14:editId="62728C8F">
            <wp:extent cx="5731510" cy="3237865"/>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60F6916F" w14:textId="2FE715A5" w:rsidR="00912657" w:rsidRDefault="00912657" w:rsidP="00912657">
      <w:pPr>
        <w:wordWrap/>
        <w:spacing w:line="360" w:lineRule="auto"/>
        <w:rPr>
          <w:rFonts w:ascii="Times New Roman" w:hAnsi="Times New Roman" w:cs="Times New Roman"/>
          <w:lang w:eastAsia="ko-KR"/>
        </w:rPr>
      </w:pPr>
      <w:r>
        <w:rPr>
          <w:rFonts w:ascii="Times New Roman" w:hAnsi="Times New Roman" w:cs="Times New Roman" w:hint="eastAsia"/>
          <w:noProof/>
          <w:lang w:eastAsia="en-US"/>
        </w:rPr>
        <w:lastRenderedPageBreak/>
        <w:drawing>
          <wp:inline distT="0" distB="0" distL="0" distR="0" wp14:anchorId="4F362C8A" wp14:editId="7B963C36">
            <wp:extent cx="5731510" cy="5143500"/>
            <wp:effectExtent l="0" t="0" r="0" b="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143500"/>
                    </a:xfrm>
                    <a:prstGeom prst="rect">
                      <a:avLst/>
                    </a:prstGeom>
                  </pic:spPr>
                </pic:pic>
              </a:graphicData>
            </a:graphic>
          </wp:inline>
        </w:drawing>
      </w:r>
    </w:p>
    <w:p w14:paraId="6E77109F" w14:textId="77777777" w:rsidR="00912657" w:rsidRDefault="00912657" w:rsidP="00912657">
      <w:pPr>
        <w:wordWrap/>
        <w:spacing w:line="360" w:lineRule="auto"/>
        <w:rPr>
          <w:rFonts w:ascii="Times New Roman" w:hAnsi="Times New Roman" w:cs="Times New Roman"/>
          <w:lang w:eastAsia="ko-KR"/>
        </w:rPr>
      </w:pPr>
    </w:p>
    <w:p w14:paraId="59EB72C9" w14:textId="1D151681" w:rsidR="00627695" w:rsidRDefault="00627695" w:rsidP="00912657">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3.2</w:t>
      </w:r>
      <w:r w:rsidRPr="007529C1">
        <w:rPr>
          <w:rFonts w:ascii="Times New Roman" w:hAnsi="Times New Roman" w:cs="Times New Roman"/>
          <w:b/>
          <w:bCs/>
        </w:rPr>
        <w:t xml:space="preserve"> </w:t>
      </w:r>
      <w:r>
        <w:rPr>
          <w:rFonts w:ascii="Times New Roman" w:hAnsi="Times New Roman" w:cs="Times New Roman"/>
          <w:b/>
          <w:bCs/>
        </w:rPr>
        <w:t>Peak-Rate-Period Household Responses as a Linear Function of Price Changes</w:t>
      </w:r>
    </w:p>
    <w:p w14:paraId="726F6F47" w14:textId="47AD3844" w:rsidR="000D21DE" w:rsidRDefault="000D21DE" w:rsidP="000D21DE">
      <w:pPr>
        <w:wordWrap/>
        <w:spacing w:line="360" w:lineRule="auto"/>
        <w:rPr>
          <w:rFonts w:ascii="Times New Roman" w:hAnsi="Times New Roman" w:cs="Times New Roman"/>
          <w:lang w:eastAsia="ko-KR"/>
        </w:rPr>
      </w:pPr>
      <w:r>
        <w:rPr>
          <w:rFonts w:ascii="Times New Roman" w:hAnsi="Times New Roman" w:cs="Times New Roman"/>
          <w:lang w:eastAsia="ko-KR"/>
        </w:rPr>
        <w:t>(…)</w:t>
      </w:r>
    </w:p>
    <w:p w14:paraId="5B545474" w14:textId="64A085CE" w:rsidR="00627695" w:rsidRDefault="00627695" w:rsidP="000D21DE">
      <w:pPr>
        <w:wordWrap/>
        <w:spacing w:line="360" w:lineRule="auto"/>
        <w:rPr>
          <w:rFonts w:ascii="Times New Roman" w:hAnsi="Times New Roman" w:cs="Times New Roman"/>
          <w:lang w:eastAsia="ko-KR"/>
        </w:rPr>
      </w:pPr>
    </w:p>
    <w:p w14:paraId="3A1B7AC8" w14:textId="72E07DDB" w:rsidR="00627695" w:rsidRDefault="00627695" w:rsidP="00627695">
      <w:pPr>
        <w:wordWrap/>
        <w:spacing w:line="360" w:lineRule="auto"/>
        <w:rPr>
          <w:rFonts w:ascii="Times New Roman" w:hAnsi="Times New Roman" w:cs="Times New Roman"/>
          <w:b/>
          <w:bCs/>
        </w:rPr>
      </w:pPr>
      <w:r>
        <w:rPr>
          <w:rFonts w:ascii="Times New Roman" w:hAnsi="Times New Roman" w:cs="Times New Roman"/>
          <w:b/>
          <w:bCs/>
        </w:rPr>
        <w:t>4</w:t>
      </w:r>
      <w:r w:rsidRPr="007529C1">
        <w:rPr>
          <w:rFonts w:ascii="Times New Roman" w:hAnsi="Times New Roman" w:cs="Times New Roman"/>
          <w:b/>
          <w:bCs/>
        </w:rPr>
        <w:t xml:space="preserve"> </w:t>
      </w:r>
      <w:r>
        <w:rPr>
          <w:rFonts w:ascii="Times New Roman" w:hAnsi="Times New Roman" w:cs="Times New Roman"/>
          <w:b/>
          <w:bCs/>
        </w:rPr>
        <w:t>(…)</w:t>
      </w:r>
    </w:p>
    <w:p w14:paraId="7D3A2146" w14:textId="77777777" w:rsidR="00627695" w:rsidRDefault="00627695" w:rsidP="000D21DE">
      <w:pPr>
        <w:wordWrap/>
        <w:spacing w:line="360" w:lineRule="auto"/>
        <w:rPr>
          <w:rFonts w:ascii="Times New Roman" w:hAnsi="Times New Roman" w:cs="Times New Roman"/>
          <w:lang w:eastAsia="ko-KR"/>
        </w:rPr>
      </w:pPr>
    </w:p>
    <w:p w14:paraId="18D5C792" w14:textId="77777777" w:rsidR="00627695" w:rsidRPr="007529C1" w:rsidRDefault="00627695" w:rsidP="000D21DE">
      <w:pPr>
        <w:wordWrap/>
        <w:spacing w:line="360" w:lineRule="auto"/>
        <w:rPr>
          <w:rFonts w:ascii="Times New Roman" w:hAnsi="Times New Roman" w:cs="Times New Roman"/>
        </w:rPr>
      </w:pPr>
    </w:p>
    <w:p w14:paraId="380CF3C6" w14:textId="77777777" w:rsidR="000D21DE" w:rsidRPr="00DD51EA" w:rsidRDefault="000D21DE" w:rsidP="000D21DE">
      <w:pPr>
        <w:wordWrap/>
        <w:spacing w:line="360" w:lineRule="auto"/>
        <w:rPr>
          <w:rFonts w:ascii="Times New Roman" w:hAnsi="Times New Roman" w:cs="Times New Roman"/>
        </w:rPr>
      </w:pPr>
    </w:p>
    <w:p w14:paraId="195F19C2" w14:textId="77777777" w:rsidR="00C723F5" w:rsidRPr="00DD51EA" w:rsidRDefault="00C723F5" w:rsidP="00C723F5">
      <w:pPr>
        <w:wordWrap/>
        <w:spacing w:line="360" w:lineRule="auto"/>
        <w:rPr>
          <w:rFonts w:ascii="Times New Roman" w:hAnsi="Times New Roman" w:cs="Times New Roman"/>
        </w:rPr>
      </w:pPr>
    </w:p>
    <w:sectPr w:rsidR="00C723F5" w:rsidRPr="00DD51EA">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vin as Admin" w:date="2022-04-05T10:52:00Z" w:initials="KaA">
    <w:p w14:paraId="5F355341" w14:textId="48B4F029" w:rsidR="00780EBD" w:rsidRDefault="00780EBD">
      <w:pPr>
        <w:pStyle w:val="CommentText"/>
      </w:pPr>
      <w:r>
        <w:rPr>
          <w:rStyle w:val="CommentReference"/>
        </w:rPr>
        <w:annotationRef/>
      </w:r>
      <w:r>
        <w:t>It isn’t that adding temperature as a control is more flexible – it is actually less flexible. Rather, you want to be able to model how the ATE varies by temperature, so you must model that interaction (between treatment and temperature) directly.</w:t>
      </w:r>
    </w:p>
  </w:comment>
  <w:comment w:id="1" w:author="Kevin as Admin" w:date="2022-04-05T10:54:00Z" w:initials="KaA">
    <w:p w14:paraId="606E3374" w14:textId="0A027AD1" w:rsidR="00780EBD" w:rsidRDefault="00780EBD">
      <w:pPr>
        <w:pStyle w:val="CommentText"/>
      </w:pPr>
      <w:r>
        <w:rPr>
          <w:rStyle w:val="CommentReference"/>
        </w:rPr>
        <w:annotationRef/>
      </w:r>
      <w:r>
        <w:t>I don’t think this is quite the point you want to stress. I would drop this sentence because it is a bit distracting. By showing the effect is largely during the peak hours of the day, that doesn’t really show that the savings occur on peak demand DAYS (i.e. the days with the coldest temperatures and highest cooling demand). Your upcoming analysis shows whether the savings are really concentrated in the period when demand peaks (which is during the peak hours of the peak days).</w:t>
      </w:r>
    </w:p>
  </w:comment>
  <w:comment w:id="2" w:author="Kevin as Admin" w:date="2022-04-05T10:58:00Z" w:initials="KaA">
    <w:p w14:paraId="2A58E422" w14:textId="6387849C" w:rsidR="00B23DCD" w:rsidRDefault="00B23DCD">
      <w:pPr>
        <w:pStyle w:val="CommentText"/>
      </w:pPr>
      <w:r>
        <w:rPr>
          <w:rStyle w:val="CommentReference"/>
        </w:rPr>
        <w:annotationRef/>
      </w:r>
      <w:r>
        <w:t>Why? Why is it worth estimating. I think you need a better lead in sentence or two.</w:t>
      </w:r>
    </w:p>
  </w:comment>
  <w:comment w:id="3" w:author="Kevin as Admin" w:date="2022-04-05T11:25:00Z" w:initials="KaA">
    <w:p w14:paraId="4D954C13" w14:textId="2183A922" w:rsidR="005276B8" w:rsidRDefault="005276B8">
      <w:pPr>
        <w:pStyle w:val="CommentText"/>
      </w:pPr>
      <w:r>
        <w:rPr>
          <w:rStyle w:val="CommentReference"/>
        </w:rPr>
        <w:annotationRef/>
      </w:r>
      <w:r>
        <w:t xml:space="preserve">Intuitively, the savings that occur on a day with zero heating degrees will capture the non-temperature-control-driven savings. I assume that this savings would occur (on average) on any day, regardless of the temperature. Additional savings that occur on cooler days (with positive HDD values) will be assumed to capture reductions in electricity used for heating. </w:t>
      </w:r>
    </w:p>
  </w:comment>
  <w:comment w:id="4" w:author="Kevin as Admin" w:date="2022-04-05T11:35:00Z" w:initials="KaA">
    <w:p w14:paraId="3140174D" w14:textId="34393725" w:rsidR="005276B8" w:rsidRDefault="005276B8">
      <w:pPr>
        <w:pStyle w:val="CommentText"/>
      </w:pPr>
      <w:r>
        <w:rPr>
          <w:rStyle w:val="CommentReference"/>
        </w:rPr>
        <w:annotationRef/>
      </w:r>
      <w:r>
        <w:t>Move this discussion to intro of Section 4 (the simulation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55341" w15:done="0"/>
  <w15:commentEx w15:paraId="606E3374" w15:done="0"/>
  <w15:commentEx w15:paraId="2A58E422" w15:done="0"/>
  <w15:commentEx w15:paraId="4D954C13" w15:done="0"/>
  <w15:commentEx w15:paraId="3140174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616CD" w14:textId="77777777" w:rsidR="005F3AA7" w:rsidRDefault="005F3AA7" w:rsidP="00CC4DE0">
      <w:r>
        <w:separator/>
      </w:r>
    </w:p>
  </w:endnote>
  <w:endnote w:type="continuationSeparator" w:id="0">
    <w:p w14:paraId="70FB135A" w14:textId="77777777" w:rsidR="005F3AA7" w:rsidRDefault="005F3AA7"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charset w:val="81"/>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A0E4C" w14:textId="77777777" w:rsidR="005F3AA7" w:rsidRDefault="005F3AA7" w:rsidP="00CC4DE0">
      <w:r>
        <w:separator/>
      </w:r>
    </w:p>
  </w:footnote>
  <w:footnote w:type="continuationSeparator" w:id="0">
    <w:p w14:paraId="77F475DA" w14:textId="77777777" w:rsidR="005F3AA7" w:rsidRDefault="005F3AA7" w:rsidP="00CC4DE0">
      <w:r>
        <w:continuationSeparator/>
      </w:r>
    </w:p>
  </w:footnote>
  <w:footnote w:id="1">
    <w:p w14:paraId="3F05BA7A" w14:textId="79E20546" w:rsidR="00697524" w:rsidRPr="00697524" w:rsidRDefault="00697524">
      <w:pPr>
        <w:pStyle w:val="FootnoteText"/>
        <w:rPr>
          <w:lang w:eastAsia="ko-KR"/>
        </w:rPr>
      </w:pPr>
      <w:r>
        <w:rPr>
          <w:rStyle w:val="FootnoteReference"/>
        </w:rPr>
        <w:footnoteRef/>
      </w:r>
      <w:r>
        <w:t xml:space="preserve"> </w:t>
      </w:r>
      <w:r w:rsidRPr="00697524">
        <w:t>An important feature also stands out from the figure: the minimum household electricity consumption occurs around 60</w:t>
      </w:r>
      <w:r w:rsidR="002D0C43">
        <w:t xml:space="preserve"> degrees of Fahrenheit</w:t>
      </w:r>
      <w:r w:rsidRPr="00697524">
        <w:t>. This phenomenon supports the setting of the reference temperature for calculating daily HDDs at the very level.</w:t>
      </w:r>
    </w:p>
  </w:footnote>
  <w:footnote w:id="2">
    <w:p w14:paraId="7FD9DDB7" w14:textId="555E6046" w:rsidR="003C7AE7" w:rsidRDefault="003C7AE7">
      <w:pPr>
        <w:pStyle w:val="FootnoteText"/>
      </w:pPr>
      <w:r>
        <w:rPr>
          <w:rStyle w:val="FootnoteReference"/>
        </w:rPr>
        <w:footnoteRef/>
      </w:r>
      <w:r>
        <w:t xml:space="preserve"> </w:t>
      </w:r>
      <w:r w:rsidRPr="003C7AE7">
        <w:t>In Panel A, non-treated households consumed more electricity during the baseline period, especially on days with higher heating needs. The fact that the total HDDs during the baseline period were generally greater than those during the treatment period for a given temperature bin could explain the phenomenon.</w:t>
      </w:r>
    </w:p>
  </w:footnote>
  <w:footnote w:id="3">
    <w:p w14:paraId="4337483E" w14:textId="32B219CA" w:rsidR="00EA1378" w:rsidRDefault="00EA1378">
      <w:pPr>
        <w:pStyle w:val="FootnoteText"/>
        <w:rPr>
          <w:lang w:eastAsia="ko-KR"/>
        </w:rPr>
      </w:pPr>
      <w:r>
        <w:rPr>
          <w:rStyle w:val="FootnoteReference"/>
        </w:rPr>
        <w:footnoteRef/>
      </w:r>
      <w:r>
        <w:t xml:space="preserve"> </w:t>
      </w:r>
      <w:r w:rsidRPr="00EA1378">
        <w:t>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w:t>
      </w:r>
    </w:p>
  </w:footnote>
  <w:footnote w:id="4">
    <w:p w14:paraId="584A4E4D" w14:textId="77777777" w:rsidR="00EA1378" w:rsidRDefault="00EA1378" w:rsidP="00EA1378">
      <w:pPr>
        <w:pStyle w:val="FootnoteText"/>
      </w:pPr>
      <w:r>
        <w:rPr>
          <w:rStyle w:val="FootnoteReference"/>
        </w:rPr>
        <w:footnoteRef/>
      </w:r>
      <w:r>
        <w:t xml:space="preserve"> 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14:paraId="35AACA4C" w14:textId="77777777" w:rsidR="00EA1378" w:rsidRDefault="00EA1378" w:rsidP="00EA1378">
      <w:pPr>
        <w:pStyle w:val="FootnoteText"/>
        <w:ind w:firstLine="800"/>
      </w:pPr>
      <w:r>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14:paraId="0E498B75" w14:textId="741F95C8" w:rsidR="00EA1378" w:rsidRDefault="00EA1378" w:rsidP="00EA1378">
      <w:pPr>
        <w:pStyle w:val="FootnoteText"/>
        <w:ind w:firstLine="800"/>
        <w:rPr>
          <w:lang w:eastAsia="ko-KR"/>
        </w:rPr>
      </w:pPr>
      <w:r>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w:t>
      </w:r>
    </w:p>
  </w:footnote>
  <w:footnote w:id="5">
    <w:p w14:paraId="1524F076" w14:textId="4BA33A92" w:rsidR="00EA1378" w:rsidRDefault="00EA1378">
      <w:pPr>
        <w:pStyle w:val="FootnoteText"/>
        <w:rPr>
          <w:lang w:eastAsia="ko-KR"/>
        </w:rPr>
      </w:pPr>
      <w:r>
        <w:rPr>
          <w:rStyle w:val="FootnoteReference"/>
        </w:rPr>
        <w:footnoteRef/>
      </w:r>
      <w:r>
        <w:t xml:space="preserve"> </w:t>
      </w:r>
      <w:r w:rsidRPr="00EA1378">
        <w:t>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footnote>
  <w:footnote w:id="6">
    <w:p w14:paraId="4B9D0254" w14:textId="4815697C" w:rsidR="00622603" w:rsidRDefault="00622603">
      <w:pPr>
        <w:pStyle w:val="FootnoteText"/>
        <w:rPr>
          <w:lang w:eastAsia="ko-KR"/>
        </w:rPr>
      </w:pPr>
      <w:r>
        <w:rPr>
          <w:rStyle w:val="FootnoteReference"/>
        </w:rPr>
        <w:footnoteRef/>
      </w:r>
      <w:r>
        <w:t xml:space="preserve"> </w:t>
      </w:r>
      <w:r w:rsidRPr="00622603">
        <w:t xml:space="preserve">In this paper, the effects of four different information stimuli on household electricity consumption are not of interest. </w:t>
      </w:r>
      <w:proofErr w:type="spellStart"/>
      <w:r w:rsidRPr="00622603">
        <w:t>Pon</w:t>
      </w:r>
      <w:proofErr w:type="spellEnd"/>
      <w:r w:rsidRPr="00622603">
        <w:t xml:space="preserve"> (2017) studied the effects in detail using the same datasets.</w:t>
      </w:r>
    </w:p>
  </w:footnote>
  <w:footnote w:id="7">
    <w:p w14:paraId="71519B34" w14:textId="021CABF9" w:rsidR="006F2B9E" w:rsidRDefault="006F2B9E">
      <w:pPr>
        <w:pStyle w:val="FootnoteText"/>
      </w:pPr>
      <w:r>
        <w:rPr>
          <w:rStyle w:val="FootnoteReference"/>
        </w:rPr>
        <w:footnoteRef/>
      </w:r>
      <w:r>
        <w:t xml:space="preserve"> </w:t>
      </w:r>
      <w:r w:rsidRPr="006F2B9E">
        <w:t>The first column in TABLE shows the result from the regression above.</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as Admin">
    <w15:presenceInfo w15:providerId="None" w15:userId="Kevin as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C1"/>
    <w:rsid w:val="000027C0"/>
    <w:rsid w:val="0001377E"/>
    <w:rsid w:val="00035842"/>
    <w:rsid w:val="00053194"/>
    <w:rsid w:val="000547A6"/>
    <w:rsid w:val="00074DF0"/>
    <w:rsid w:val="00095A86"/>
    <w:rsid w:val="000A521E"/>
    <w:rsid w:val="000B2898"/>
    <w:rsid w:val="000D21DE"/>
    <w:rsid w:val="000D6296"/>
    <w:rsid w:val="000E14C9"/>
    <w:rsid w:val="000E48E9"/>
    <w:rsid w:val="000F1338"/>
    <w:rsid w:val="001143E6"/>
    <w:rsid w:val="00120D40"/>
    <w:rsid w:val="00141D74"/>
    <w:rsid w:val="00142B29"/>
    <w:rsid w:val="00156A1A"/>
    <w:rsid w:val="0016429C"/>
    <w:rsid w:val="0016789F"/>
    <w:rsid w:val="00176945"/>
    <w:rsid w:val="001A2381"/>
    <w:rsid w:val="001A726E"/>
    <w:rsid w:val="001B7B6E"/>
    <w:rsid w:val="001C65EC"/>
    <w:rsid w:val="001D3582"/>
    <w:rsid w:val="001E5FFC"/>
    <w:rsid w:val="001F052F"/>
    <w:rsid w:val="001F2E05"/>
    <w:rsid w:val="001F37FA"/>
    <w:rsid w:val="001F5F62"/>
    <w:rsid w:val="002174F5"/>
    <w:rsid w:val="002249EE"/>
    <w:rsid w:val="00227BA9"/>
    <w:rsid w:val="002374BE"/>
    <w:rsid w:val="00252EAF"/>
    <w:rsid w:val="002669C3"/>
    <w:rsid w:val="0026703D"/>
    <w:rsid w:val="002724C3"/>
    <w:rsid w:val="00277C37"/>
    <w:rsid w:val="00290FB7"/>
    <w:rsid w:val="00292602"/>
    <w:rsid w:val="00296123"/>
    <w:rsid w:val="002A635C"/>
    <w:rsid w:val="002C1152"/>
    <w:rsid w:val="002D0C43"/>
    <w:rsid w:val="002E79AE"/>
    <w:rsid w:val="00303B6D"/>
    <w:rsid w:val="003223CD"/>
    <w:rsid w:val="00332224"/>
    <w:rsid w:val="0034675B"/>
    <w:rsid w:val="003543DE"/>
    <w:rsid w:val="003851E4"/>
    <w:rsid w:val="0039464B"/>
    <w:rsid w:val="00394F2F"/>
    <w:rsid w:val="003C7AE7"/>
    <w:rsid w:val="003D5590"/>
    <w:rsid w:val="003F05E9"/>
    <w:rsid w:val="003F1A2F"/>
    <w:rsid w:val="003F367A"/>
    <w:rsid w:val="00404E51"/>
    <w:rsid w:val="00406E17"/>
    <w:rsid w:val="004077AC"/>
    <w:rsid w:val="00412EB0"/>
    <w:rsid w:val="00414CC4"/>
    <w:rsid w:val="004A0B67"/>
    <w:rsid w:val="004A0F97"/>
    <w:rsid w:val="004A2E7B"/>
    <w:rsid w:val="004B5785"/>
    <w:rsid w:val="004C6E48"/>
    <w:rsid w:val="004C73E0"/>
    <w:rsid w:val="004D03DB"/>
    <w:rsid w:val="004D3222"/>
    <w:rsid w:val="004E17E9"/>
    <w:rsid w:val="004E56BF"/>
    <w:rsid w:val="004E58E5"/>
    <w:rsid w:val="004E7D7A"/>
    <w:rsid w:val="004F1490"/>
    <w:rsid w:val="0050196E"/>
    <w:rsid w:val="00502840"/>
    <w:rsid w:val="00517202"/>
    <w:rsid w:val="00522A8B"/>
    <w:rsid w:val="005276B8"/>
    <w:rsid w:val="0052779A"/>
    <w:rsid w:val="005333BB"/>
    <w:rsid w:val="005400A4"/>
    <w:rsid w:val="00542561"/>
    <w:rsid w:val="00597321"/>
    <w:rsid w:val="005A4DA4"/>
    <w:rsid w:val="005B7598"/>
    <w:rsid w:val="005E0B54"/>
    <w:rsid w:val="005F3AA7"/>
    <w:rsid w:val="005F4D69"/>
    <w:rsid w:val="006148D5"/>
    <w:rsid w:val="00622603"/>
    <w:rsid w:val="00627695"/>
    <w:rsid w:val="00634B28"/>
    <w:rsid w:val="00641233"/>
    <w:rsid w:val="006616B5"/>
    <w:rsid w:val="006733A1"/>
    <w:rsid w:val="0069340B"/>
    <w:rsid w:val="006962BE"/>
    <w:rsid w:val="00697524"/>
    <w:rsid w:val="006A0DC6"/>
    <w:rsid w:val="006D2D60"/>
    <w:rsid w:val="006D6981"/>
    <w:rsid w:val="006D7D51"/>
    <w:rsid w:val="006F2B9E"/>
    <w:rsid w:val="006F3268"/>
    <w:rsid w:val="00701F0E"/>
    <w:rsid w:val="00706FB3"/>
    <w:rsid w:val="007177FE"/>
    <w:rsid w:val="007315A9"/>
    <w:rsid w:val="00731CBF"/>
    <w:rsid w:val="007529C1"/>
    <w:rsid w:val="00753E99"/>
    <w:rsid w:val="00755112"/>
    <w:rsid w:val="00756225"/>
    <w:rsid w:val="007742FC"/>
    <w:rsid w:val="00780AA3"/>
    <w:rsid w:val="00780EBD"/>
    <w:rsid w:val="00787BDF"/>
    <w:rsid w:val="007919A7"/>
    <w:rsid w:val="00791D19"/>
    <w:rsid w:val="00794B41"/>
    <w:rsid w:val="00797C0F"/>
    <w:rsid w:val="007A185C"/>
    <w:rsid w:val="007A60DD"/>
    <w:rsid w:val="007A7D10"/>
    <w:rsid w:val="007B7C8B"/>
    <w:rsid w:val="007D6E94"/>
    <w:rsid w:val="00805580"/>
    <w:rsid w:val="00836C76"/>
    <w:rsid w:val="00837F1E"/>
    <w:rsid w:val="008455DA"/>
    <w:rsid w:val="00882524"/>
    <w:rsid w:val="008930E8"/>
    <w:rsid w:val="008976CA"/>
    <w:rsid w:val="008A0C4A"/>
    <w:rsid w:val="008B4FE3"/>
    <w:rsid w:val="008C7AB5"/>
    <w:rsid w:val="008D48F5"/>
    <w:rsid w:val="008E137E"/>
    <w:rsid w:val="008E21FC"/>
    <w:rsid w:val="008F2383"/>
    <w:rsid w:val="00903326"/>
    <w:rsid w:val="00906136"/>
    <w:rsid w:val="00912657"/>
    <w:rsid w:val="009178DD"/>
    <w:rsid w:val="00920711"/>
    <w:rsid w:val="00927080"/>
    <w:rsid w:val="00933835"/>
    <w:rsid w:val="00943F06"/>
    <w:rsid w:val="00960320"/>
    <w:rsid w:val="00960696"/>
    <w:rsid w:val="00961B42"/>
    <w:rsid w:val="00964FFC"/>
    <w:rsid w:val="00967F83"/>
    <w:rsid w:val="009B297C"/>
    <w:rsid w:val="009D45D6"/>
    <w:rsid w:val="009F11AD"/>
    <w:rsid w:val="00A03D01"/>
    <w:rsid w:val="00A21347"/>
    <w:rsid w:val="00A317FB"/>
    <w:rsid w:val="00A345DD"/>
    <w:rsid w:val="00A405E9"/>
    <w:rsid w:val="00A42B88"/>
    <w:rsid w:val="00A5065C"/>
    <w:rsid w:val="00A9504B"/>
    <w:rsid w:val="00A9674C"/>
    <w:rsid w:val="00AB7D9F"/>
    <w:rsid w:val="00AE6D5C"/>
    <w:rsid w:val="00B103D1"/>
    <w:rsid w:val="00B1362A"/>
    <w:rsid w:val="00B23045"/>
    <w:rsid w:val="00B23DCD"/>
    <w:rsid w:val="00B24876"/>
    <w:rsid w:val="00B36ED8"/>
    <w:rsid w:val="00B42244"/>
    <w:rsid w:val="00B46BCD"/>
    <w:rsid w:val="00B478C4"/>
    <w:rsid w:val="00B53A0E"/>
    <w:rsid w:val="00B66F87"/>
    <w:rsid w:val="00B74663"/>
    <w:rsid w:val="00B95722"/>
    <w:rsid w:val="00BD3909"/>
    <w:rsid w:val="00BF62C3"/>
    <w:rsid w:val="00C05C76"/>
    <w:rsid w:val="00C06061"/>
    <w:rsid w:val="00C065CE"/>
    <w:rsid w:val="00C1348E"/>
    <w:rsid w:val="00C14648"/>
    <w:rsid w:val="00C57433"/>
    <w:rsid w:val="00C62378"/>
    <w:rsid w:val="00C723F5"/>
    <w:rsid w:val="00C7414B"/>
    <w:rsid w:val="00C741B0"/>
    <w:rsid w:val="00C82BEB"/>
    <w:rsid w:val="00C8332C"/>
    <w:rsid w:val="00CA1A5B"/>
    <w:rsid w:val="00CA26A1"/>
    <w:rsid w:val="00CB0102"/>
    <w:rsid w:val="00CB66B1"/>
    <w:rsid w:val="00CC4DE0"/>
    <w:rsid w:val="00CD0D19"/>
    <w:rsid w:val="00CF4734"/>
    <w:rsid w:val="00CF63EA"/>
    <w:rsid w:val="00D030EF"/>
    <w:rsid w:val="00D130F5"/>
    <w:rsid w:val="00D164F1"/>
    <w:rsid w:val="00D258F9"/>
    <w:rsid w:val="00D302DE"/>
    <w:rsid w:val="00D46DEC"/>
    <w:rsid w:val="00D54290"/>
    <w:rsid w:val="00D67751"/>
    <w:rsid w:val="00D70365"/>
    <w:rsid w:val="00D74DED"/>
    <w:rsid w:val="00D93782"/>
    <w:rsid w:val="00D93EB3"/>
    <w:rsid w:val="00DC2019"/>
    <w:rsid w:val="00DC7AC2"/>
    <w:rsid w:val="00DD51EA"/>
    <w:rsid w:val="00DD5416"/>
    <w:rsid w:val="00DD5746"/>
    <w:rsid w:val="00DE1AE1"/>
    <w:rsid w:val="00DE4B98"/>
    <w:rsid w:val="00DE4F29"/>
    <w:rsid w:val="00E00A4C"/>
    <w:rsid w:val="00E0516D"/>
    <w:rsid w:val="00E06C29"/>
    <w:rsid w:val="00E21CB4"/>
    <w:rsid w:val="00E4123A"/>
    <w:rsid w:val="00E470D2"/>
    <w:rsid w:val="00E64203"/>
    <w:rsid w:val="00E66309"/>
    <w:rsid w:val="00E67589"/>
    <w:rsid w:val="00E749B4"/>
    <w:rsid w:val="00E7628C"/>
    <w:rsid w:val="00E77C28"/>
    <w:rsid w:val="00E908B8"/>
    <w:rsid w:val="00E95865"/>
    <w:rsid w:val="00EA1378"/>
    <w:rsid w:val="00EA5ECE"/>
    <w:rsid w:val="00EA71AB"/>
    <w:rsid w:val="00EC3DAD"/>
    <w:rsid w:val="00EC69E9"/>
    <w:rsid w:val="00ED3FA0"/>
    <w:rsid w:val="00EF18E7"/>
    <w:rsid w:val="00F41C5D"/>
    <w:rsid w:val="00FA31F6"/>
    <w:rsid w:val="00FA3CE1"/>
    <w:rsid w:val="00FA3E36"/>
    <w:rsid w:val="00FB048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FootnoteTextChar">
    <w:name w:val="Footnote Text Char"/>
    <w:basedOn w:val="DefaultParagraphFont"/>
    <w:link w:val="FootnoteText"/>
    <w:uiPriority w:val="99"/>
    <w:semiHidden/>
    <w:rsid w:val="00AE6D5C"/>
    <w:rPr>
      <w:rFonts w:ascii="Times New Roman" w:eastAsia="Times New Roman" w:hAnsi="Times New Roman" w:cs="Times New Roman(본문 CS)"/>
    </w:rPr>
  </w:style>
  <w:style w:type="character" w:styleId="FootnoteReference">
    <w:name w:val="footnote reference"/>
    <w:basedOn w:val="DefaultParagraphFont"/>
    <w:uiPriority w:val="99"/>
    <w:semiHidden/>
    <w:unhideWhenUsed/>
    <w:rsid w:val="00CC4DE0"/>
    <w:rPr>
      <w:vertAlign w:val="superscript"/>
    </w:rPr>
  </w:style>
  <w:style w:type="character" w:styleId="PlaceholderText">
    <w:name w:val="Placeholder Text"/>
    <w:basedOn w:val="DefaultParagraphFont"/>
    <w:uiPriority w:val="99"/>
    <w:semiHidden/>
    <w:rsid w:val="00FB0486"/>
    <w:rPr>
      <w:color w:val="808080"/>
    </w:rPr>
  </w:style>
  <w:style w:type="character" w:styleId="CommentReference">
    <w:name w:val="annotation reference"/>
    <w:basedOn w:val="DefaultParagraphFont"/>
    <w:uiPriority w:val="99"/>
    <w:semiHidden/>
    <w:unhideWhenUsed/>
    <w:rsid w:val="00780EBD"/>
    <w:rPr>
      <w:sz w:val="16"/>
      <w:szCs w:val="16"/>
    </w:rPr>
  </w:style>
  <w:style w:type="paragraph" w:styleId="CommentText">
    <w:name w:val="annotation text"/>
    <w:basedOn w:val="Normal"/>
    <w:link w:val="CommentTextChar"/>
    <w:uiPriority w:val="99"/>
    <w:semiHidden/>
    <w:unhideWhenUsed/>
    <w:rsid w:val="00780EBD"/>
    <w:rPr>
      <w:szCs w:val="20"/>
    </w:rPr>
  </w:style>
  <w:style w:type="character" w:customStyle="1" w:styleId="CommentTextChar">
    <w:name w:val="Comment Text Char"/>
    <w:basedOn w:val="DefaultParagraphFont"/>
    <w:link w:val="CommentText"/>
    <w:uiPriority w:val="99"/>
    <w:semiHidden/>
    <w:rsid w:val="00780EBD"/>
    <w:rPr>
      <w:szCs w:val="20"/>
    </w:rPr>
  </w:style>
  <w:style w:type="paragraph" w:styleId="CommentSubject">
    <w:name w:val="annotation subject"/>
    <w:basedOn w:val="CommentText"/>
    <w:next w:val="CommentText"/>
    <w:link w:val="CommentSubjectChar"/>
    <w:uiPriority w:val="99"/>
    <w:semiHidden/>
    <w:unhideWhenUsed/>
    <w:rsid w:val="00780EBD"/>
    <w:rPr>
      <w:b/>
      <w:bCs/>
    </w:rPr>
  </w:style>
  <w:style w:type="character" w:customStyle="1" w:styleId="CommentSubjectChar">
    <w:name w:val="Comment Subject Char"/>
    <w:basedOn w:val="CommentTextChar"/>
    <w:link w:val="CommentSubject"/>
    <w:uiPriority w:val="99"/>
    <w:semiHidden/>
    <w:rsid w:val="00780EBD"/>
    <w:rPr>
      <w:b/>
      <w:bCs/>
      <w:szCs w:val="20"/>
    </w:rPr>
  </w:style>
  <w:style w:type="paragraph" w:styleId="BalloonText">
    <w:name w:val="Balloon Text"/>
    <w:basedOn w:val="Normal"/>
    <w:link w:val="BalloonTextChar"/>
    <w:uiPriority w:val="99"/>
    <w:semiHidden/>
    <w:unhideWhenUsed/>
    <w:rsid w:val="00780E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E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38A05-BC1E-4818-8768-AC52FF1D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1564</Words>
  <Characters>8919</Characters>
  <Application>Microsoft Office Word</Application>
  <DocSecurity>0</DocSecurity>
  <Lines>74</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Kevin as Admin</cp:lastModifiedBy>
  <cp:revision>2</cp:revision>
  <dcterms:created xsi:type="dcterms:W3CDTF">2022-04-05T19:51:00Z</dcterms:created>
  <dcterms:modified xsi:type="dcterms:W3CDTF">2022-04-05T19:51:00Z</dcterms:modified>
</cp:coreProperties>
</file>