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565C0"/>
          <w:sz w:val="20"/>
        </w:rPr>
        <w:t>MARKETING INTELLIGENCE REPORT</w:t>
      </w:r>
    </w:p>
    <w:p>
      <w:pPr>
        <w:jc w:val="center"/>
      </w:pPr>
      <w:r>
        <w:rPr>
          <w:b/>
          <w:color w:val="0F2744"/>
          <w:sz w:val="44"/>
        </w:rPr>
        <w:t>Compass Laboratory</w:t>
      </w:r>
    </w:p>
    <w:p>
      <w:pPr>
        <w:jc w:val="center"/>
      </w:pPr>
      <w:r>
        <w:rPr>
          <w:color w:val="555555"/>
          <w:sz w:val="18"/>
        </w:rPr>
        <w:t>Prepared for BlueVero / Deeper Green  |  Horsepower AI  |  April 2026</w:t>
      </w:r>
    </w:p>
    <w:p/>
    <w:p>
      <w:pPr>
        <w:spacing w:before="200" w:after="80"/>
      </w:pPr>
      <w:r>
        <w:rPr>
          <w:b/>
          <w:color w:val="1F497D"/>
          <w:sz w:val="24"/>
        </w:rPr>
        <w:t>1. WHO THEY ARE — BRAND FOUNDATION</w:t>
      </w:r>
    </w:p>
    <w:p>
      <w:pPr>
        <w:spacing w:after="100"/>
      </w:pPr>
      <w:r>
        <w:rPr>
          <w:sz w:val="20"/>
        </w:rPr>
        <w:t>Compass Laboratory is one of the most established pure-play methylene blue supplement brands in the consumer market. Their brand equity is built entirely on product quality and peer-driven reputation — no founder face, no physician badge, no lifestyle imagery. Their audience is biohackers, functional medicine clinicians, and longevity researchers who already know what MB is and want the purest source available.</w:t>
      </w:r>
    </w:p>
    <w:p>
      <w:pPr>
        <w:pStyle w:val="ListBullet"/>
      </w:pPr>
      <w:r>
        <w:rPr>
          <w:sz w:val="20"/>
        </w:rPr>
        <w:t>Products: MB 0.5% and 1% liquid drops — 50mL, 150mL, 237mL glass dropper bottles</w:t>
      </w:r>
    </w:p>
    <w:p>
      <w:pPr>
        <w:pStyle w:val="ListBullet"/>
      </w:pPr>
      <w:r>
        <w:rPr>
          <w:sz w:val="20"/>
        </w:rPr>
        <w:t>Price Range: ~$25–$55 depending on concentration and volume</w:t>
      </w:r>
    </w:p>
    <w:p>
      <w:pPr>
        <w:pStyle w:val="ListBullet"/>
      </w:pPr>
      <w:r>
        <w:rPr>
          <w:sz w:val="20"/>
        </w:rPr>
        <w:t>Channel Mix: compasslaboratory.com + Amazon Brand Store + Walmart + GoSupps (UK/Europe) + Etsy + functional medicine clinics</w:t>
      </w:r>
    </w:p>
    <w:p>
      <w:pPr>
        <w:pStyle w:val="ListBullet"/>
      </w:pPr>
      <w:r>
        <w:rPr>
          <w:sz w:val="20"/>
        </w:rPr>
        <w:t>Reviews: 580+ verified reviews, 88% satisfaction rate — strongest review foundation in category</w:t>
      </w:r>
    </w:p>
    <w:p>
      <w:pPr>
        <w:pStyle w:val="ListBullet"/>
      </w:pPr>
      <w:r>
        <w:rPr>
          <w:sz w:val="20"/>
        </w:rPr>
        <w:t>Positioning: 'Only high-purity USP-grade MB — independently tested, no formaldehyde'</w:t>
      </w:r>
    </w:p>
    <w:p>
      <w:pPr>
        <w:pStyle w:val="ListBullet"/>
      </w:pPr>
      <w:r>
        <w:rPr>
          <w:sz w:val="20"/>
        </w:rPr>
        <w:t>Manufacturing: USA-made, cGMP-compliant, third-party tested per batch</w:t>
      </w:r>
    </w:p>
    <w:p>
      <w:pPr>
        <w:pStyle w:val="ListBullet"/>
      </w:pPr>
      <w:r>
        <w:rPr>
          <w:sz w:val="20"/>
        </w:rPr>
        <w:t>Notable: Distributed through functional medicine and wellness clinic networks — practitioner-endorsed credibility most consumer brands lack</w:t>
      </w:r>
    </w:p>
    <w:p>
      <w:pPr>
        <w:spacing w:before="200" w:after="80"/>
      </w:pPr>
      <w:r>
        <w:rPr>
          <w:b/>
          <w:color w:val="1F497D"/>
          <w:sz w:val="24"/>
        </w:rPr>
        <w:t>2. AD STRATEGY &amp; MARKETING INTELLIGENCE</w:t>
      </w:r>
    </w:p>
    <w:p>
      <w:pPr>
        <w:spacing w:after="100"/>
      </w:pPr>
      <w:r>
        <w:rPr>
          <w:sz w:val="20"/>
        </w:rPr>
        <w:t>Compass Laboratory runs a conservative paid media strategy. Growth has been organic — driven by Amazon review velocity, word-of-mouth in biohacker communities, and practitioner referrals.</w:t>
      </w:r>
    </w:p>
    <w:tbl>
      <w:tblPr>
        <w:tblStyle w:val="TableGrid"/>
        <w:tblW w:type="auto" w:w="0"/>
        <w:tblLook w:firstColumn="1" w:firstRow="1" w:lastColumn="0" w:lastRow="0" w:noHBand="0" w:noVBand="1" w:val="04A0"/>
      </w:tblPr>
      <w:tblGrid>
        <w:gridCol w:w="4320"/>
        <w:gridCol w:w="4320"/>
      </w:tblGrid>
      <w:tr>
        <w:tc>
          <w:tcPr>
            <w:tcW w:type="dxa" w:w="4320"/>
            <w:shd w:val="clear" w:color="auto" w:fill="1F497D"/>
          </w:tcPr>
          <w:p>
            <w:r>
              <w:rPr>
                <w:b/>
                <w:color w:val="FFFFFF"/>
                <w:sz w:val="18"/>
              </w:rPr>
              <w:t>Channel / Tool</w:t>
            </w:r>
          </w:p>
        </w:tc>
        <w:tc>
          <w:tcPr>
            <w:tcW w:type="dxa" w:w="4320"/>
            <w:shd w:val="clear" w:color="auto" w:fill="1F497D"/>
          </w:tcPr>
          <w:p>
            <w:r>
              <w:rPr>
                <w:b/>
                <w:color w:val="FFFFFF"/>
                <w:sz w:val="18"/>
              </w:rPr>
              <w:t>What It Signals</w:t>
            </w:r>
          </w:p>
        </w:tc>
      </w:tr>
      <w:tr>
        <w:tc>
          <w:tcPr>
            <w:tcW w:type="dxa" w:w="4320"/>
            <w:shd w:val="clear" w:color="auto" w:fill="E8F0FE"/>
          </w:tcPr>
          <w:p>
            <w:r>
              <w:rPr>
                <w:sz w:val="18"/>
              </w:rPr>
              <w:t>Amazon Brand Store</w:t>
            </w:r>
          </w:p>
        </w:tc>
        <w:tc>
          <w:tcPr>
            <w:tcW w:type="dxa" w:w="4320"/>
            <w:shd w:val="clear" w:color="auto" w:fill="E8F0FE"/>
          </w:tcPr>
          <w:p>
            <w:r>
              <w:rPr>
                <w:sz w:val="18"/>
              </w:rPr>
              <w:t>Primary discovery — optimized listings, A+ content</w:t>
            </w:r>
          </w:p>
        </w:tc>
      </w:tr>
      <w:tr>
        <w:tc>
          <w:tcPr>
            <w:tcW w:type="dxa" w:w="4320"/>
            <w:shd w:val="clear" w:color="auto" w:fill="FFFFFF"/>
          </w:tcPr>
          <w:p>
            <w:r>
              <w:rPr>
                <w:sz w:val="18"/>
              </w:rPr>
              <w:t>Amazon Live Video</w:t>
            </w:r>
          </w:p>
        </w:tc>
        <w:tc>
          <w:tcPr>
            <w:tcW w:type="dxa" w:w="4320"/>
            <w:shd w:val="clear" w:color="auto" w:fill="FFFFFF"/>
          </w:tcPr>
          <w:p>
            <w:r>
              <w:rPr>
                <w:sz w:val="18"/>
              </w:rPr>
              <w:t>Product demo content — builds trust at point of purchase</w:t>
            </w:r>
          </w:p>
        </w:tc>
      </w:tr>
      <w:tr>
        <w:tc>
          <w:tcPr>
            <w:tcW w:type="dxa" w:w="4320"/>
            <w:shd w:val="clear" w:color="auto" w:fill="E8F0FE"/>
          </w:tcPr>
          <w:p>
            <w:r>
              <w:rPr>
                <w:sz w:val="18"/>
              </w:rPr>
              <w:t>Amazon PPC (inferred)</w:t>
            </w:r>
          </w:p>
        </w:tc>
        <w:tc>
          <w:tcPr>
            <w:tcW w:type="dxa" w:w="4320"/>
            <w:shd w:val="clear" w:color="auto" w:fill="E8F0FE"/>
          </w:tcPr>
          <w:p>
            <w:r>
              <w:rPr>
                <w:sz w:val="18"/>
              </w:rPr>
              <w:t>Sponsored Products likely active on category keywords</w:t>
            </w:r>
          </w:p>
        </w:tc>
      </w:tr>
      <w:tr>
        <w:tc>
          <w:tcPr>
            <w:tcW w:type="dxa" w:w="4320"/>
            <w:shd w:val="clear" w:color="auto" w:fill="FFFFFF"/>
          </w:tcPr>
          <w:p>
            <w:r>
              <w:rPr>
                <w:sz w:val="18"/>
              </w:rPr>
              <w:t>Walmart Marketplace</w:t>
            </w:r>
          </w:p>
        </w:tc>
        <w:tc>
          <w:tcPr>
            <w:tcW w:type="dxa" w:w="4320"/>
            <w:shd w:val="clear" w:color="auto" w:fill="FFFFFF"/>
          </w:tcPr>
          <w:p>
            <w:r>
              <w:rPr>
                <w:sz w:val="18"/>
              </w:rPr>
              <w:t>Mass-market reach — volume ambition beyond Amazon</w:t>
            </w:r>
          </w:p>
        </w:tc>
      </w:tr>
      <w:tr>
        <w:tc>
          <w:tcPr>
            <w:tcW w:type="dxa" w:w="4320"/>
            <w:shd w:val="clear" w:color="auto" w:fill="E8F0FE"/>
          </w:tcPr>
          <w:p>
            <w:r>
              <w:rPr>
                <w:sz w:val="18"/>
              </w:rPr>
              <w:t>GoSupps International</w:t>
            </w:r>
          </w:p>
        </w:tc>
        <w:tc>
          <w:tcPr>
            <w:tcW w:type="dxa" w:w="4320"/>
            <w:shd w:val="clear" w:color="auto" w:fill="E8F0FE"/>
          </w:tcPr>
          <w:p>
            <w:r>
              <w:rPr>
                <w:sz w:val="18"/>
              </w:rPr>
              <w:t>UK/Europe distribution — confirms global demand</w:t>
            </w:r>
          </w:p>
        </w:tc>
      </w:tr>
      <w:tr>
        <w:tc>
          <w:tcPr>
            <w:tcW w:type="dxa" w:w="4320"/>
            <w:shd w:val="clear" w:color="auto" w:fill="FFFFFF"/>
          </w:tcPr>
          <w:p>
            <w:r>
              <w:rPr>
                <w:sz w:val="18"/>
              </w:rPr>
              <w:t>Functional Medicine Clinics</w:t>
            </w:r>
          </w:p>
        </w:tc>
        <w:tc>
          <w:tcPr>
            <w:tcW w:type="dxa" w:w="4320"/>
            <w:shd w:val="clear" w:color="auto" w:fill="FFFFFF"/>
          </w:tcPr>
          <w:p>
            <w:r>
              <w:rPr>
                <w:sz w:val="18"/>
              </w:rPr>
              <w:t>Practitioner channel — high-trust, high-LTV distribution</w:t>
            </w:r>
          </w:p>
        </w:tc>
      </w:tr>
      <w:tr>
        <w:tc>
          <w:tcPr>
            <w:tcW w:type="dxa" w:w="4320"/>
            <w:shd w:val="clear" w:color="auto" w:fill="E8F0FE"/>
          </w:tcPr>
          <w:p>
            <w:r>
              <w:rPr>
                <w:sz w:val="18"/>
              </w:rPr>
              <w:t>Affiliate / Educational</w:t>
            </w:r>
          </w:p>
        </w:tc>
        <w:tc>
          <w:tcPr>
            <w:tcW w:type="dxa" w:w="4320"/>
            <w:shd w:val="clear" w:color="auto" w:fill="E8F0FE"/>
          </w:tcPr>
          <w:p>
            <w:r>
              <w:rPr>
                <w:sz w:val="18"/>
              </w:rPr>
              <w:t>Community-driven — not influencer-hype model</w:t>
            </w:r>
          </w:p>
        </w:tc>
      </w:tr>
      <w:tr>
        <w:tc>
          <w:tcPr>
            <w:tcW w:type="dxa" w:w="4320"/>
            <w:shd w:val="clear" w:color="auto" w:fill="FFFFFF"/>
          </w:tcPr>
          <w:p>
            <w:r>
              <w:rPr>
                <w:sz w:val="18"/>
              </w:rPr>
              <w:t>Meta / TikTok Ads</w:t>
            </w:r>
          </w:p>
        </w:tc>
        <w:tc>
          <w:tcPr>
            <w:tcW w:type="dxa" w:w="4320"/>
            <w:shd w:val="clear" w:color="auto" w:fill="FFFFFF"/>
          </w:tcPr>
          <w:p>
            <w:r>
              <w:rPr>
                <w:sz w:val="18"/>
              </w:rPr>
              <w:t>No confirmed active creatives — organic-first brand</w:t>
            </w:r>
          </w:p>
        </w:tc>
      </w:tr>
    </w:tbl>
    <w:p/>
    <w:p>
      <w:r>
        <w:rPr>
          <w:b/>
          <w:color w:val="1565C0"/>
          <w:sz w:val="20"/>
        </w:rPr>
        <w:t xml:space="preserve">Key Insight: </w:t>
      </w:r>
      <w:r>
        <w:rPr>
          <w:i/>
          <w:sz w:val="20"/>
        </w:rPr>
        <w:t>Compass Laboratory wins on trust, not traffic. They convert a highly informed buyer who already knows what MB is. They are not fishing for new audiences — they are harvesting existing demand. That leaves the entire top-of-funnel open.</w:t>
      </w:r>
    </w:p>
    <w:p>
      <w:pPr>
        <w:spacing w:before="200" w:after="80"/>
      </w:pPr>
      <w:r>
        <w:rPr>
          <w:b/>
          <w:color w:val="1F497D"/>
          <w:sz w:val="24"/>
        </w:rPr>
        <w:t>3. TRAFFIC &amp; REVENUE SNAPSHOT</w:t>
      </w:r>
    </w:p>
    <w:tbl>
      <w:tblPr>
        <w:tblStyle w:val="TableGrid"/>
        <w:tblW w:type="auto" w:w="0"/>
        <w:tblLook w:firstColumn="1" w:firstRow="1" w:lastColumn="0" w:lastRow="0" w:noHBand="0" w:noVBand="1" w:val="04A0"/>
      </w:tblPr>
      <w:tblGrid>
        <w:gridCol w:w="4320"/>
        <w:gridCol w:w="4320"/>
      </w:tblGrid>
      <w:tr>
        <w:tc>
          <w:tcPr>
            <w:tcW w:type="dxa" w:w="4320"/>
            <w:shd w:val="clear" w:color="auto" w:fill="1F497D"/>
          </w:tcPr>
          <w:p>
            <w:r>
              <w:rPr>
                <w:b/>
                <w:color w:val="FFFFFF"/>
                <w:sz w:val="18"/>
              </w:rPr>
              <w:t>Metric</w:t>
            </w:r>
          </w:p>
        </w:tc>
        <w:tc>
          <w:tcPr>
            <w:tcW w:type="dxa" w:w="4320"/>
            <w:shd w:val="clear" w:color="auto" w:fill="1F497D"/>
          </w:tcPr>
          <w:p>
            <w:r>
              <w:rPr>
                <w:b/>
                <w:color w:val="FFFFFF"/>
                <w:sz w:val="18"/>
              </w:rPr>
              <w:t>Data</w:t>
            </w:r>
          </w:p>
        </w:tc>
      </w:tr>
      <w:tr>
        <w:tc>
          <w:tcPr>
            <w:tcW w:type="dxa" w:w="4320"/>
            <w:shd w:val="clear" w:color="auto" w:fill="E8F0FE"/>
          </w:tcPr>
          <w:p>
            <w:r>
              <w:rPr>
                <w:sz w:val="18"/>
              </w:rPr>
              <w:t>Est. Monthly Website Visitors</w:t>
            </w:r>
          </w:p>
        </w:tc>
        <w:tc>
          <w:tcPr>
            <w:tcW w:type="dxa" w:w="4320"/>
            <w:shd w:val="clear" w:color="auto" w:fill="E8F0FE"/>
          </w:tcPr>
          <w:p>
            <w:r>
              <w:rPr>
                <w:sz w:val="18"/>
              </w:rPr>
              <w:t>~20,000–35,000 (Amazon-dominant brand)</w:t>
            </w:r>
          </w:p>
        </w:tc>
      </w:tr>
      <w:tr>
        <w:tc>
          <w:tcPr>
            <w:tcW w:type="dxa" w:w="4320"/>
            <w:shd w:val="clear" w:color="auto" w:fill="FFFFFF"/>
          </w:tcPr>
          <w:p>
            <w:r>
              <w:rPr>
                <w:sz w:val="18"/>
              </w:rPr>
              <w:t>Est. Monthly Revenue</w:t>
            </w:r>
          </w:p>
        </w:tc>
        <w:tc>
          <w:tcPr>
            <w:tcW w:type="dxa" w:w="4320"/>
            <w:shd w:val="clear" w:color="auto" w:fill="FFFFFF"/>
          </w:tcPr>
          <w:p>
            <w:r>
              <w:rPr>
                <w:sz w:val="18"/>
              </w:rPr>
              <w:t>~$80,000–$130,000</w:t>
            </w:r>
          </w:p>
        </w:tc>
      </w:tr>
      <w:tr>
        <w:tc>
          <w:tcPr>
            <w:tcW w:type="dxa" w:w="4320"/>
            <w:shd w:val="clear" w:color="auto" w:fill="E8F0FE"/>
          </w:tcPr>
          <w:p>
            <w:r>
              <w:rPr>
                <w:sz w:val="18"/>
              </w:rPr>
              <w:t>Primary Channel</w:t>
            </w:r>
          </w:p>
        </w:tc>
        <w:tc>
          <w:tcPr>
            <w:tcW w:type="dxa" w:w="4320"/>
            <w:shd w:val="clear" w:color="auto" w:fill="E8F0FE"/>
          </w:tcPr>
          <w:p>
            <w:r>
              <w:rPr>
                <w:sz w:val="18"/>
              </w:rPr>
              <w:t>Amazon (dominant) + Direct</w:t>
            </w:r>
          </w:p>
        </w:tc>
      </w:tr>
      <w:tr>
        <w:tc>
          <w:tcPr>
            <w:tcW w:type="dxa" w:w="4320"/>
            <w:shd w:val="clear" w:color="auto" w:fill="FFFFFF"/>
          </w:tcPr>
          <w:p>
            <w:r>
              <w:rPr>
                <w:sz w:val="18"/>
              </w:rPr>
              <w:t>Amazon Reviews</w:t>
            </w:r>
          </w:p>
        </w:tc>
        <w:tc>
          <w:tcPr>
            <w:tcW w:type="dxa" w:w="4320"/>
            <w:shd w:val="clear" w:color="auto" w:fill="FFFFFF"/>
          </w:tcPr>
          <w:p>
            <w:r>
              <w:rPr>
                <w:sz w:val="18"/>
              </w:rPr>
              <w:t>580+, 88% satisfaction</w:t>
            </w:r>
          </w:p>
        </w:tc>
      </w:tr>
      <w:tr>
        <w:tc>
          <w:tcPr>
            <w:tcW w:type="dxa" w:w="4320"/>
            <w:shd w:val="clear" w:color="auto" w:fill="E8F0FE"/>
          </w:tcPr>
          <w:p>
            <w:r>
              <w:rPr>
                <w:sz w:val="18"/>
              </w:rPr>
              <w:t>Avg. Product Price</w:t>
            </w:r>
          </w:p>
        </w:tc>
        <w:tc>
          <w:tcPr>
            <w:tcW w:type="dxa" w:w="4320"/>
            <w:shd w:val="clear" w:color="auto" w:fill="E8F0FE"/>
          </w:tcPr>
          <w:p>
            <w:r>
              <w:rPr>
                <w:sz w:val="18"/>
              </w:rPr>
              <w:t>$25–$55</w:t>
            </w:r>
          </w:p>
        </w:tc>
      </w:tr>
      <w:tr>
        <w:tc>
          <w:tcPr>
            <w:tcW w:type="dxa" w:w="4320"/>
            <w:shd w:val="clear" w:color="auto" w:fill="FFFFFF"/>
          </w:tcPr>
          <w:p>
            <w:r>
              <w:rPr>
                <w:sz w:val="18"/>
              </w:rPr>
              <w:t>Subscription Model</w:t>
            </w:r>
          </w:p>
        </w:tc>
        <w:tc>
          <w:tcPr>
            <w:tcW w:type="dxa" w:w="4320"/>
            <w:shd w:val="clear" w:color="auto" w:fill="FFFFFF"/>
          </w:tcPr>
          <w:p>
            <w:r>
              <w:rPr>
                <w:sz w:val="18"/>
              </w:rPr>
              <w:t>Not confirmed</w:t>
            </w:r>
          </w:p>
        </w:tc>
      </w:tr>
      <w:tr>
        <w:tc>
          <w:tcPr>
            <w:tcW w:type="dxa" w:w="4320"/>
            <w:shd w:val="clear" w:color="auto" w:fill="E8F0FE"/>
          </w:tcPr>
          <w:p>
            <w:r>
              <w:rPr>
                <w:sz w:val="18"/>
              </w:rPr>
              <w:t>International Distribution</w:t>
            </w:r>
          </w:p>
        </w:tc>
        <w:tc>
          <w:tcPr>
            <w:tcW w:type="dxa" w:w="4320"/>
            <w:shd w:val="clear" w:color="auto" w:fill="E8F0FE"/>
          </w:tcPr>
          <w:p>
            <w:r>
              <w:rPr>
                <w:sz w:val="18"/>
              </w:rPr>
              <w:t>Yes — UK/Europe via GoSupps</w:t>
            </w:r>
          </w:p>
        </w:tc>
      </w:tr>
      <w:tr>
        <w:tc>
          <w:tcPr>
            <w:tcW w:type="dxa" w:w="4320"/>
            <w:shd w:val="clear" w:color="auto" w:fill="FFFFFF"/>
          </w:tcPr>
          <w:p>
            <w:r>
              <w:rPr>
                <w:sz w:val="18"/>
              </w:rPr>
              <w:t>Active Paid Ad Creatives</w:t>
            </w:r>
          </w:p>
        </w:tc>
        <w:tc>
          <w:tcPr>
            <w:tcW w:type="dxa" w:w="4320"/>
            <w:shd w:val="clear" w:color="auto" w:fill="FFFFFF"/>
          </w:tcPr>
          <w:p>
            <w:r>
              <w:rPr>
                <w:sz w:val="18"/>
              </w:rPr>
              <w:t>Minimal — organic-first</w:t>
            </w:r>
          </w:p>
        </w:tc>
      </w:tr>
    </w:tbl>
    <w:p/>
    <w:p>
      <w:pPr>
        <w:spacing w:before="200" w:after="80"/>
      </w:pPr>
      <w:r>
        <w:rPr>
          <w:b/>
          <w:color w:val="1F497D"/>
          <w:sz w:val="24"/>
        </w:rPr>
        <w:t>4. KEYWORD GAP ANALYSIS</w:t>
      </w:r>
    </w:p>
    <w:p>
      <w:pPr>
        <w:spacing w:after="100"/>
      </w:pPr>
      <w:r>
        <w:rPr>
          <w:sz w:val="20"/>
        </w:rPr>
        <w:t>What Compass Laboratory ranks for — their territory:</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497D"/>
          </w:tcPr>
          <w:p>
            <w:r>
              <w:rPr>
                <w:b/>
                <w:color w:val="FFFFFF"/>
                <w:sz w:val="18"/>
              </w:rPr>
              <w:t>Keyword</w:t>
            </w:r>
          </w:p>
        </w:tc>
        <w:tc>
          <w:tcPr>
            <w:tcW w:type="dxa" w:w="2880"/>
            <w:shd w:val="clear" w:color="auto" w:fill="1F497D"/>
          </w:tcPr>
          <w:p>
            <w:r>
              <w:rPr>
                <w:b/>
                <w:color w:val="FFFFFF"/>
                <w:sz w:val="18"/>
              </w:rPr>
              <w:t>Intent</w:t>
            </w:r>
          </w:p>
        </w:tc>
        <w:tc>
          <w:tcPr>
            <w:tcW w:type="dxa" w:w="2880"/>
            <w:shd w:val="clear" w:color="auto" w:fill="1F497D"/>
          </w:tcPr>
          <w:p>
            <w:r>
              <w:rPr>
                <w:b/>
                <w:color w:val="FFFFFF"/>
                <w:sz w:val="18"/>
              </w:rPr>
              <w:t>Their Position</w:t>
            </w:r>
          </w:p>
        </w:tc>
      </w:tr>
      <w:tr>
        <w:tc>
          <w:tcPr>
            <w:tcW w:type="dxa" w:w="2880"/>
            <w:shd w:val="clear" w:color="auto" w:fill="E8F0FE"/>
          </w:tcPr>
          <w:p>
            <w:r>
              <w:rPr>
                <w:sz w:val="18"/>
              </w:rPr>
              <w:t>compass laboratory methylene blue</w:t>
            </w:r>
          </w:p>
        </w:tc>
        <w:tc>
          <w:tcPr>
            <w:tcW w:type="dxa" w:w="2880"/>
            <w:shd w:val="clear" w:color="auto" w:fill="E8F0FE"/>
          </w:tcPr>
          <w:p>
            <w:r>
              <w:rPr>
                <w:sz w:val="18"/>
              </w:rPr>
              <w:t>Brand</w:t>
            </w:r>
          </w:p>
        </w:tc>
        <w:tc>
          <w:tcPr>
            <w:tcW w:type="dxa" w:w="2880"/>
            <w:shd w:val="clear" w:color="auto" w:fill="E8F0FE"/>
          </w:tcPr>
          <w:p>
            <w:r>
              <w:rPr>
                <w:sz w:val="18"/>
              </w:rPr>
              <w:t>They own it</w:t>
            </w:r>
          </w:p>
        </w:tc>
      </w:tr>
      <w:tr>
        <w:tc>
          <w:tcPr>
            <w:tcW w:type="dxa" w:w="2880"/>
            <w:shd w:val="clear" w:color="auto" w:fill="FFFFFF"/>
          </w:tcPr>
          <w:p>
            <w:r>
              <w:rPr>
                <w:sz w:val="18"/>
              </w:rPr>
              <w:t>methylene blue 1% USP grade drops</w:t>
            </w:r>
          </w:p>
        </w:tc>
        <w:tc>
          <w:tcPr>
            <w:tcW w:type="dxa" w:w="2880"/>
            <w:shd w:val="clear" w:color="auto" w:fill="FFFFFF"/>
          </w:tcPr>
          <w:p>
            <w:r>
              <w:rPr>
                <w:sz w:val="18"/>
              </w:rPr>
              <w:t>Product</w:t>
            </w:r>
          </w:p>
        </w:tc>
        <w:tc>
          <w:tcPr>
            <w:tcW w:type="dxa" w:w="2880"/>
            <w:shd w:val="clear" w:color="auto" w:fill="FFFFFF"/>
          </w:tcPr>
          <w:p>
            <w:r>
              <w:rPr>
                <w:sz w:val="18"/>
              </w:rPr>
              <w:t>Strong — multiple SKU sizes</w:t>
            </w:r>
          </w:p>
        </w:tc>
      </w:tr>
      <w:tr>
        <w:tc>
          <w:tcPr>
            <w:tcW w:type="dxa" w:w="2880"/>
            <w:shd w:val="clear" w:color="auto" w:fill="E8F0FE"/>
          </w:tcPr>
          <w:p>
            <w:r>
              <w:rPr>
                <w:sz w:val="18"/>
              </w:rPr>
              <w:t>pharmaceutical grade MB supplement</w:t>
            </w:r>
          </w:p>
        </w:tc>
        <w:tc>
          <w:tcPr>
            <w:tcW w:type="dxa" w:w="2880"/>
            <w:shd w:val="clear" w:color="auto" w:fill="E8F0FE"/>
          </w:tcPr>
          <w:p>
            <w:r>
              <w:rPr>
                <w:sz w:val="18"/>
              </w:rPr>
              <w:t>Commercial</w:t>
            </w:r>
          </w:p>
        </w:tc>
        <w:tc>
          <w:tcPr>
            <w:tcW w:type="dxa" w:w="2880"/>
            <w:shd w:val="clear" w:color="auto" w:fill="E8F0FE"/>
          </w:tcPr>
          <w:p>
            <w:r>
              <w:rPr>
                <w:sz w:val="18"/>
              </w:rPr>
              <w:t>Top 3</w:t>
            </w:r>
          </w:p>
        </w:tc>
      </w:tr>
      <w:tr>
        <w:tc>
          <w:tcPr>
            <w:tcW w:type="dxa" w:w="2880"/>
            <w:shd w:val="clear" w:color="auto" w:fill="FFFFFF"/>
          </w:tcPr>
          <w:p>
            <w:r>
              <w:rPr>
                <w:sz w:val="18"/>
              </w:rPr>
              <w:t>formaldehyde free methylene blue</w:t>
            </w:r>
          </w:p>
        </w:tc>
        <w:tc>
          <w:tcPr>
            <w:tcW w:type="dxa" w:w="2880"/>
            <w:shd w:val="clear" w:color="auto" w:fill="FFFFFF"/>
          </w:tcPr>
          <w:p>
            <w:r>
              <w:rPr>
                <w:sz w:val="18"/>
              </w:rPr>
              <w:t>Commercial</w:t>
            </w:r>
          </w:p>
        </w:tc>
        <w:tc>
          <w:tcPr>
            <w:tcW w:type="dxa" w:w="2880"/>
            <w:shd w:val="clear" w:color="auto" w:fill="FFFFFF"/>
          </w:tcPr>
          <w:p>
            <w:r>
              <w:rPr>
                <w:sz w:val="18"/>
              </w:rPr>
              <w:t>Ranked — key differentiator</w:t>
            </w:r>
          </w:p>
        </w:tc>
      </w:tr>
      <w:tr>
        <w:tc>
          <w:tcPr>
            <w:tcW w:type="dxa" w:w="2880"/>
            <w:shd w:val="clear" w:color="auto" w:fill="E8F0FE"/>
          </w:tcPr>
          <w:p>
            <w:r>
              <w:rPr>
                <w:sz w:val="18"/>
              </w:rPr>
              <w:t>methylene blue brain health drops</w:t>
            </w:r>
          </w:p>
        </w:tc>
        <w:tc>
          <w:tcPr>
            <w:tcW w:type="dxa" w:w="2880"/>
            <w:shd w:val="clear" w:color="auto" w:fill="E8F0FE"/>
          </w:tcPr>
          <w:p>
            <w:r>
              <w:rPr>
                <w:sz w:val="18"/>
              </w:rPr>
              <w:t>Commercial</w:t>
            </w:r>
          </w:p>
        </w:tc>
        <w:tc>
          <w:tcPr>
            <w:tcW w:type="dxa" w:w="2880"/>
            <w:shd w:val="clear" w:color="auto" w:fill="E8F0FE"/>
          </w:tcPr>
          <w:p>
            <w:r>
              <w:rPr>
                <w:sz w:val="18"/>
              </w:rPr>
              <w:t>Ranked</w:t>
            </w:r>
          </w:p>
        </w:tc>
      </w:tr>
      <w:tr>
        <w:tc>
          <w:tcPr>
            <w:tcW w:type="dxa" w:w="2880"/>
            <w:shd w:val="clear" w:color="auto" w:fill="FFFFFF"/>
          </w:tcPr>
          <w:p>
            <w:r>
              <w:rPr>
                <w:sz w:val="18"/>
              </w:rPr>
              <w:t>buy methylene blue supplement USA</w:t>
            </w:r>
          </w:p>
        </w:tc>
        <w:tc>
          <w:tcPr>
            <w:tcW w:type="dxa" w:w="2880"/>
            <w:shd w:val="clear" w:color="auto" w:fill="FFFFFF"/>
          </w:tcPr>
          <w:p>
            <w:r>
              <w:rPr>
                <w:sz w:val="18"/>
              </w:rPr>
              <w:t>Transactional</w:t>
            </w:r>
          </w:p>
        </w:tc>
        <w:tc>
          <w:tcPr>
            <w:tcW w:type="dxa" w:w="2880"/>
            <w:shd w:val="clear" w:color="auto" w:fill="FFFFFF"/>
          </w:tcPr>
          <w:p>
            <w:r>
              <w:rPr>
                <w:sz w:val="18"/>
              </w:rPr>
              <w:t>Ranked</w:t>
            </w:r>
          </w:p>
        </w:tc>
      </w:tr>
      <w:tr>
        <w:tc>
          <w:tcPr>
            <w:tcW w:type="dxa" w:w="2880"/>
            <w:shd w:val="clear" w:color="auto" w:fill="E8F0FE"/>
          </w:tcPr>
          <w:p>
            <w:r>
              <w:rPr>
                <w:sz w:val="18"/>
              </w:rPr>
              <w:t>methylene blue 0.5% drops</w:t>
            </w:r>
          </w:p>
        </w:tc>
        <w:tc>
          <w:tcPr>
            <w:tcW w:type="dxa" w:w="2880"/>
            <w:shd w:val="clear" w:color="auto" w:fill="E8F0FE"/>
          </w:tcPr>
          <w:p>
            <w:r>
              <w:rPr>
                <w:sz w:val="18"/>
              </w:rPr>
              <w:t>Product</w:t>
            </w:r>
          </w:p>
        </w:tc>
        <w:tc>
          <w:tcPr>
            <w:tcW w:type="dxa" w:w="2880"/>
            <w:shd w:val="clear" w:color="auto" w:fill="E8F0FE"/>
          </w:tcPr>
          <w:p>
            <w:r>
              <w:rPr>
                <w:sz w:val="18"/>
              </w:rPr>
              <w:t>They own it</w:t>
            </w:r>
          </w:p>
        </w:tc>
      </w:tr>
      <w:tr>
        <w:tc>
          <w:tcPr>
            <w:tcW w:type="dxa" w:w="2880"/>
            <w:shd w:val="clear" w:color="auto" w:fill="FFFFFF"/>
          </w:tcPr>
          <w:p>
            <w:r>
              <w:rPr>
                <w:sz w:val="18"/>
              </w:rPr>
              <w:t>methylene blue cognitive support drops</w:t>
            </w:r>
          </w:p>
        </w:tc>
        <w:tc>
          <w:tcPr>
            <w:tcW w:type="dxa" w:w="2880"/>
            <w:shd w:val="clear" w:color="auto" w:fill="FFFFFF"/>
          </w:tcPr>
          <w:p>
            <w:r>
              <w:rPr>
                <w:sz w:val="18"/>
              </w:rPr>
              <w:t>Commercial</w:t>
            </w:r>
          </w:p>
        </w:tc>
        <w:tc>
          <w:tcPr>
            <w:tcW w:type="dxa" w:w="2880"/>
            <w:shd w:val="clear" w:color="auto" w:fill="FFFFFF"/>
          </w:tcPr>
          <w:p>
            <w:r>
              <w:rPr>
                <w:sz w:val="18"/>
              </w:rPr>
              <w:t>Ranked</w:t>
            </w:r>
          </w:p>
        </w:tc>
      </w:tr>
    </w:tbl>
    <w:p/>
    <w:p>
      <w:pPr>
        <w:spacing w:after="100"/>
      </w:pPr>
      <w:r>
        <w:rPr>
          <w:sz w:val="20"/>
        </w:rPr>
        <w:t>Where BlueVero can win — the keyword gap:</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497D"/>
          </w:tcPr>
          <w:p>
            <w:r>
              <w:rPr>
                <w:b/>
                <w:color w:val="FFFFFF"/>
                <w:sz w:val="18"/>
              </w:rPr>
              <w:t>Keyword</w:t>
            </w:r>
          </w:p>
        </w:tc>
        <w:tc>
          <w:tcPr>
            <w:tcW w:type="dxa" w:w="2880"/>
            <w:shd w:val="clear" w:color="auto" w:fill="1F497D"/>
          </w:tcPr>
          <w:p>
            <w:r>
              <w:rPr>
                <w:b/>
                <w:color w:val="FFFFFF"/>
                <w:sz w:val="18"/>
              </w:rPr>
              <w:t>Why It's Winnable</w:t>
            </w:r>
          </w:p>
        </w:tc>
        <w:tc>
          <w:tcPr>
            <w:tcW w:type="dxa" w:w="2880"/>
            <w:shd w:val="clear" w:color="auto" w:fill="1F497D"/>
          </w:tcPr>
          <w:p>
            <w:r>
              <w:rPr>
                <w:b/>
                <w:color w:val="FFFFFF"/>
                <w:sz w:val="18"/>
              </w:rPr>
              <w:t>BlueVero Angle</w:t>
            </w:r>
          </w:p>
        </w:tc>
      </w:tr>
      <w:tr>
        <w:tc>
          <w:tcPr>
            <w:tcW w:type="dxa" w:w="2880"/>
            <w:shd w:val="clear" w:color="auto" w:fill="E8F0FE"/>
          </w:tcPr>
          <w:p>
            <w:r>
              <w:rPr>
                <w:sz w:val="18"/>
              </w:rPr>
              <w:t>methylene blue vitamin C antioxidant supplement</w:t>
            </w:r>
          </w:p>
        </w:tc>
        <w:tc>
          <w:tcPr>
            <w:tcW w:type="dxa" w:w="2880"/>
            <w:shd w:val="clear" w:color="auto" w:fill="E8F0FE"/>
          </w:tcPr>
          <w:p>
            <w:r>
              <w:rPr>
                <w:sz w:val="18"/>
              </w:rPr>
              <w:t>Zero competitors offer this stack — unclaimed</w:t>
            </w:r>
          </w:p>
        </w:tc>
        <w:tc>
          <w:tcPr>
            <w:tcW w:type="dxa" w:w="2880"/>
            <w:shd w:val="clear" w:color="auto" w:fill="E8F0FE"/>
          </w:tcPr>
          <w:p>
            <w:r>
              <w:rPr>
                <w:sz w:val="18"/>
              </w:rPr>
              <w:t>Direct product match — own this term immediately</w:t>
            </w:r>
          </w:p>
        </w:tc>
      </w:tr>
      <w:tr>
        <w:tc>
          <w:tcPr>
            <w:tcW w:type="dxa" w:w="2880"/>
            <w:shd w:val="clear" w:color="auto" w:fill="FFFFFF"/>
          </w:tcPr>
          <w:p>
            <w:r>
              <w:rPr>
                <w:sz w:val="18"/>
              </w:rPr>
              <w:t>MB antioxidant daily tablet</w:t>
            </w:r>
          </w:p>
        </w:tc>
        <w:tc>
          <w:tcPr>
            <w:tcW w:type="dxa" w:w="2880"/>
            <w:shd w:val="clear" w:color="auto" w:fill="FFFFFF"/>
          </w:tcPr>
          <w:p>
            <w:r>
              <w:rPr>
                <w:sz w:val="18"/>
              </w:rPr>
              <w:t>No tablet in category — format advantage</w:t>
            </w:r>
          </w:p>
        </w:tc>
        <w:tc>
          <w:tcPr>
            <w:tcW w:type="dxa" w:w="2880"/>
            <w:shd w:val="clear" w:color="auto" w:fill="FFFFFF"/>
          </w:tcPr>
          <w:p>
            <w:r>
              <w:rPr>
                <w:sz w:val="18"/>
              </w:rPr>
              <w:t>Only tablet: compliance + novelty</w:t>
            </w:r>
          </w:p>
        </w:tc>
      </w:tr>
      <w:tr>
        <w:tc>
          <w:tcPr>
            <w:tcW w:type="dxa" w:w="2880"/>
            <w:shd w:val="clear" w:color="auto" w:fill="E8F0FE"/>
          </w:tcPr>
          <w:p>
            <w:r>
              <w:rPr>
                <w:sz w:val="18"/>
              </w:rPr>
              <w:t>cognitive antioxidant supplement</w:t>
            </w:r>
          </w:p>
        </w:tc>
        <w:tc>
          <w:tcPr>
            <w:tcW w:type="dxa" w:w="2880"/>
            <w:shd w:val="clear" w:color="auto" w:fill="E8F0FE"/>
          </w:tcPr>
          <w:p>
            <w:r>
              <w:rPr>
                <w:sz w:val="18"/>
              </w:rPr>
              <w:t>Not used by any competitor — wide open</w:t>
            </w:r>
          </w:p>
        </w:tc>
        <w:tc>
          <w:tcPr>
            <w:tcW w:type="dxa" w:w="2880"/>
            <w:shd w:val="clear" w:color="auto" w:fill="E8F0FE"/>
          </w:tcPr>
          <w:p>
            <w:r>
              <w:rPr>
                <w:sz w:val="18"/>
              </w:rPr>
              <w:t>Antioxidant framing differentiates BlueVero</w:t>
            </w:r>
          </w:p>
        </w:tc>
      </w:tr>
      <w:tr>
        <w:tc>
          <w:tcPr>
            <w:tcW w:type="dxa" w:w="2880"/>
            <w:shd w:val="clear" w:color="auto" w:fill="FFFFFF"/>
          </w:tcPr>
          <w:p>
            <w:r>
              <w:rPr>
                <w:sz w:val="18"/>
              </w:rPr>
              <w:t>methylene blue antioxidant benefits</w:t>
            </w:r>
          </w:p>
        </w:tc>
        <w:tc>
          <w:tcPr>
            <w:tcW w:type="dxa" w:w="2880"/>
            <w:shd w:val="clear" w:color="auto" w:fill="FFFFFF"/>
          </w:tcPr>
          <w:p>
            <w:r>
              <w:rPr>
                <w:sz w:val="18"/>
              </w:rPr>
              <w:t>High-volume informational, low competition</w:t>
            </w:r>
          </w:p>
        </w:tc>
        <w:tc>
          <w:tcPr>
            <w:tcW w:type="dxa" w:w="2880"/>
            <w:shd w:val="clear" w:color="auto" w:fill="FFFFFF"/>
          </w:tcPr>
          <w:p>
            <w:r>
              <w:rPr>
                <w:sz w:val="18"/>
              </w:rPr>
              <w:t>Educate then convert — content + product</w:t>
            </w:r>
          </w:p>
        </w:tc>
      </w:tr>
      <w:tr>
        <w:tc>
          <w:tcPr>
            <w:tcW w:type="dxa" w:w="2880"/>
            <w:shd w:val="clear" w:color="auto" w:fill="E8F0FE"/>
          </w:tcPr>
          <w:p>
            <w:r>
              <w:rPr>
                <w:sz w:val="18"/>
              </w:rPr>
              <w:t>vitamin C methylene blue stack</w:t>
            </w:r>
          </w:p>
        </w:tc>
        <w:tc>
          <w:tcPr>
            <w:tcW w:type="dxa" w:w="2880"/>
            <w:shd w:val="clear" w:color="auto" w:fill="E8F0FE"/>
          </w:tcPr>
          <w:p>
            <w:r>
              <w:rPr>
                <w:sz w:val="18"/>
              </w:rPr>
              <w:t>Nobody writing about this combination yet</w:t>
            </w:r>
          </w:p>
        </w:tc>
        <w:tc>
          <w:tcPr>
            <w:tcW w:type="dxa" w:w="2880"/>
            <w:shd w:val="clear" w:color="auto" w:fill="E8F0FE"/>
          </w:tcPr>
          <w:p>
            <w:r>
              <w:rPr>
                <w:sz w:val="18"/>
              </w:rPr>
              <w:t>Own the ingredient pairing conversation</w:t>
            </w:r>
          </w:p>
        </w:tc>
      </w:tr>
      <w:tr>
        <w:tc>
          <w:tcPr>
            <w:tcW w:type="dxa" w:w="2880"/>
            <w:shd w:val="clear" w:color="auto" w:fill="FFFFFF"/>
          </w:tcPr>
          <w:p>
            <w:r>
              <w:rPr>
                <w:sz w:val="18"/>
              </w:rPr>
              <w:t>clean cognitive supplement tablet</w:t>
            </w:r>
          </w:p>
        </w:tc>
        <w:tc>
          <w:tcPr>
            <w:tcW w:type="dxa" w:w="2880"/>
            <w:shd w:val="clear" w:color="auto" w:fill="FFFFFF"/>
          </w:tcPr>
          <w:p>
            <w:r>
              <w:rPr>
                <w:sz w:val="18"/>
              </w:rPr>
              <w:t>Zero tablet competitors in category</w:t>
            </w:r>
          </w:p>
        </w:tc>
        <w:tc>
          <w:tcPr>
            <w:tcW w:type="dxa" w:w="2880"/>
            <w:shd w:val="clear" w:color="auto" w:fill="FFFFFF"/>
          </w:tcPr>
          <w:p>
            <w:r>
              <w:rPr>
                <w:sz w:val="18"/>
              </w:rPr>
              <w:t>Format + clean-label positioning</w:t>
            </w:r>
          </w:p>
        </w:tc>
      </w:tr>
      <w:tr>
        <w:tc>
          <w:tcPr>
            <w:tcW w:type="dxa" w:w="2880"/>
            <w:shd w:val="clear" w:color="auto" w:fill="E8F0FE"/>
          </w:tcPr>
          <w:p>
            <w:r>
              <w:rPr>
                <w:sz w:val="18"/>
              </w:rPr>
              <w:t>mitochondrial antioxidant daily supplement</w:t>
            </w:r>
          </w:p>
        </w:tc>
        <w:tc>
          <w:tcPr>
            <w:tcW w:type="dxa" w:w="2880"/>
            <w:shd w:val="clear" w:color="auto" w:fill="E8F0FE"/>
          </w:tcPr>
          <w:p>
            <w:r>
              <w:rPr>
                <w:sz w:val="18"/>
              </w:rPr>
              <w:t>Growing longevity search volume</w:t>
            </w:r>
          </w:p>
        </w:tc>
        <w:tc>
          <w:tcPr>
            <w:tcW w:type="dxa" w:w="2880"/>
            <w:shd w:val="clear" w:color="auto" w:fill="E8F0FE"/>
          </w:tcPr>
          <w:p>
            <w:r>
              <w:rPr>
                <w:sz w:val="18"/>
              </w:rPr>
              <w:t>MB + Vitamin C cellular mechanism story</w:t>
            </w:r>
          </w:p>
        </w:tc>
      </w:tr>
      <w:tr>
        <w:tc>
          <w:tcPr>
            <w:tcW w:type="dxa" w:w="2880"/>
            <w:shd w:val="clear" w:color="auto" w:fill="FFFFFF"/>
          </w:tcPr>
          <w:p>
            <w:r>
              <w:rPr>
                <w:sz w:val="18"/>
              </w:rPr>
              <w:t>methylene blue supplement women wellness</w:t>
            </w:r>
          </w:p>
        </w:tc>
        <w:tc>
          <w:tcPr>
            <w:tcW w:type="dxa" w:w="2880"/>
            <w:shd w:val="clear" w:color="auto" w:fill="FFFFFF"/>
          </w:tcPr>
          <w:p>
            <w:r>
              <w:rPr>
                <w:sz w:val="18"/>
              </w:rPr>
              <w:t>All competitors skew male/biohacker</w:t>
            </w:r>
          </w:p>
        </w:tc>
        <w:tc>
          <w:tcPr>
            <w:tcW w:type="dxa" w:w="2880"/>
            <w:shd w:val="clear" w:color="auto" w:fill="FFFFFF"/>
          </w:tcPr>
          <w:p>
            <w:r>
              <w:rPr>
                <w:sz w:val="18"/>
              </w:rPr>
              <w:t>Vitamin C resonates in women's wellness market</w:t>
            </w:r>
          </w:p>
        </w:tc>
      </w:tr>
      <w:tr>
        <w:tc>
          <w:tcPr>
            <w:tcW w:type="dxa" w:w="2880"/>
            <w:shd w:val="clear" w:color="auto" w:fill="E8F0FE"/>
          </w:tcPr>
          <w:p>
            <w:r>
              <w:rPr>
                <w:sz w:val="18"/>
              </w:rPr>
              <w:t>safest methylene blue supplement</w:t>
            </w:r>
          </w:p>
        </w:tc>
        <w:tc>
          <w:tcPr>
            <w:tcW w:type="dxa" w:w="2880"/>
            <w:shd w:val="clear" w:color="auto" w:fill="E8F0FE"/>
          </w:tcPr>
          <w:p>
            <w:r>
              <w:rPr>
                <w:sz w:val="18"/>
              </w:rPr>
              <w:t>Quality concerns plague NooBlue + Healthletic</w:t>
            </w:r>
          </w:p>
        </w:tc>
        <w:tc>
          <w:tcPr>
            <w:tcW w:type="dxa" w:w="2880"/>
            <w:shd w:val="clear" w:color="auto" w:fill="E8F0FE"/>
          </w:tcPr>
          <w:p>
            <w:r>
              <w:rPr>
                <w:sz w:val="18"/>
              </w:rPr>
              <w:t>Third-party COA as competitive weapon</w:t>
            </w:r>
          </w:p>
        </w:tc>
      </w:tr>
      <w:tr>
        <w:tc>
          <w:tcPr>
            <w:tcW w:type="dxa" w:w="2880"/>
            <w:shd w:val="clear" w:color="auto" w:fill="FFFFFF"/>
          </w:tcPr>
          <w:p>
            <w:r>
              <w:rPr>
                <w:sz w:val="18"/>
              </w:rPr>
              <w:t>methylene blue daily habit supplement</w:t>
            </w:r>
          </w:p>
        </w:tc>
        <w:tc>
          <w:tcPr>
            <w:tcW w:type="dxa" w:w="2880"/>
            <w:shd w:val="clear" w:color="auto" w:fill="FFFFFF"/>
          </w:tcPr>
          <w:p>
            <w:r>
              <w:rPr>
                <w:sz w:val="18"/>
              </w:rPr>
              <w:t>Competitors target optimizers, not habit builders</w:t>
            </w:r>
          </w:p>
        </w:tc>
        <w:tc>
          <w:tcPr>
            <w:tcW w:type="dxa" w:w="2880"/>
            <w:shd w:val="clear" w:color="auto" w:fill="FFFFFF"/>
          </w:tcPr>
          <w:p>
            <w:r>
              <w:rPr>
                <w:sz w:val="18"/>
              </w:rPr>
              <w:t>Daily ritual messaging — biggest market gap</w:t>
            </w:r>
          </w:p>
        </w:tc>
      </w:tr>
    </w:tbl>
    <w:p/>
    <w:p>
      <w:pPr>
        <w:spacing w:before="200" w:after="80"/>
      </w:pPr>
      <w:r>
        <w:rPr>
          <w:b/>
          <w:color w:val="1F497D"/>
          <w:sz w:val="24"/>
        </w:rPr>
        <w:t>5. COMPETITIVE POSITIONING MAP</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497D"/>
          </w:tcPr>
          <w:p>
            <w:r>
              <w:rPr>
                <w:b/>
                <w:color w:val="FFFFFF"/>
                <w:sz w:val="18"/>
              </w:rPr>
              <w:t>Dimension</w:t>
            </w:r>
          </w:p>
        </w:tc>
        <w:tc>
          <w:tcPr>
            <w:tcW w:type="dxa" w:w="2880"/>
            <w:shd w:val="clear" w:color="auto" w:fill="1F497D"/>
          </w:tcPr>
          <w:p>
            <w:r>
              <w:rPr>
                <w:b/>
                <w:color w:val="FFFFFF"/>
                <w:sz w:val="18"/>
              </w:rPr>
              <w:t>Compass Laboratory</w:t>
            </w:r>
          </w:p>
        </w:tc>
        <w:tc>
          <w:tcPr>
            <w:tcW w:type="dxa" w:w="2880"/>
            <w:shd w:val="clear" w:color="auto" w:fill="1F497D"/>
          </w:tcPr>
          <w:p>
            <w:r>
              <w:rPr>
                <w:b/>
                <w:color w:val="FFFFFF"/>
                <w:sz w:val="18"/>
              </w:rPr>
              <w:t>BlueVero</w:t>
            </w:r>
          </w:p>
        </w:tc>
      </w:tr>
      <w:tr>
        <w:tc>
          <w:tcPr>
            <w:tcW w:type="dxa" w:w="2880"/>
            <w:shd w:val="clear" w:color="auto" w:fill="E8F0FE"/>
          </w:tcPr>
          <w:p>
            <w:r>
              <w:rPr>
                <w:sz w:val="18"/>
              </w:rPr>
              <w:t>Format</w:t>
            </w:r>
          </w:p>
        </w:tc>
        <w:tc>
          <w:tcPr>
            <w:tcW w:type="dxa" w:w="2880"/>
            <w:shd w:val="clear" w:color="auto" w:fill="E8F0FE"/>
          </w:tcPr>
          <w:p>
            <w:r>
              <w:rPr>
                <w:sz w:val="18"/>
              </w:rPr>
              <w:t>Liquid drops — glass dropper</w:t>
            </w:r>
          </w:p>
        </w:tc>
        <w:tc>
          <w:tcPr>
            <w:tcW w:type="dxa" w:w="2880"/>
            <w:shd w:val="clear" w:color="auto" w:fill="E8F0FE"/>
          </w:tcPr>
          <w:p>
            <w:r>
              <w:rPr>
                <w:sz w:val="18"/>
              </w:rPr>
              <w:t>Tablet — portable, precise, daily-use</w:t>
            </w:r>
          </w:p>
        </w:tc>
      </w:tr>
      <w:tr>
        <w:tc>
          <w:tcPr>
            <w:tcW w:type="dxa" w:w="2880"/>
            <w:shd w:val="clear" w:color="auto" w:fill="FFFFFF"/>
          </w:tcPr>
          <w:p>
            <w:r>
              <w:rPr>
                <w:sz w:val="18"/>
              </w:rPr>
              <w:t>Core Promise</w:t>
            </w:r>
          </w:p>
        </w:tc>
        <w:tc>
          <w:tcPr>
            <w:tcW w:type="dxa" w:w="2880"/>
            <w:shd w:val="clear" w:color="auto" w:fill="FFFFFF"/>
          </w:tcPr>
          <w:p>
            <w:r>
              <w:rPr>
                <w:sz w:val="18"/>
              </w:rPr>
              <w:t>Purity above all else</w:t>
            </w:r>
          </w:p>
        </w:tc>
        <w:tc>
          <w:tcPr>
            <w:tcW w:type="dxa" w:w="2880"/>
            <w:shd w:val="clear" w:color="auto" w:fill="FFFFFF"/>
          </w:tcPr>
          <w:p>
            <w:r>
              <w:rPr>
                <w:sz w:val="18"/>
              </w:rPr>
              <w:t>Antioxidant + cognitive performance daily</w:t>
            </w:r>
          </w:p>
        </w:tc>
      </w:tr>
      <w:tr>
        <w:tc>
          <w:tcPr>
            <w:tcW w:type="dxa" w:w="2880"/>
            <w:shd w:val="clear" w:color="auto" w:fill="E8F0FE"/>
          </w:tcPr>
          <w:p>
            <w:r>
              <w:rPr>
                <w:sz w:val="18"/>
              </w:rPr>
              <w:t>Ingredient Story</w:t>
            </w:r>
          </w:p>
        </w:tc>
        <w:tc>
          <w:tcPr>
            <w:tcW w:type="dxa" w:w="2880"/>
            <w:shd w:val="clear" w:color="auto" w:fill="E8F0FE"/>
          </w:tcPr>
          <w:p>
            <w:r>
              <w:rPr>
                <w:sz w:val="18"/>
              </w:rPr>
              <w:t>MB only — single ingredient</w:t>
            </w:r>
          </w:p>
        </w:tc>
        <w:tc>
          <w:tcPr>
            <w:tcW w:type="dxa" w:w="2880"/>
            <w:shd w:val="clear" w:color="auto" w:fill="E8F0FE"/>
          </w:tcPr>
          <w:p>
            <w:r>
              <w:rPr>
                <w:sz w:val="18"/>
              </w:rPr>
              <w:t>MB + Vitamin C — the antioxidant stack</w:t>
            </w:r>
          </w:p>
        </w:tc>
      </w:tr>
      <w:tr>
        <w:tc>
          <w:tcPr>
            <w:tcW w:type="dxa" w:w="2880"/>
            <w:shd w:val="clear" w:color="auto" w:fill="FFFFFF"/>
          </w:tcPr>
          <w:p>
            <w:r>
              <w:rPr>
                <w:sz w:val="18"/>
              </w:rPr>
              <w:t>Antioxidant Framing</w:t>
            </w:r>
          </w:p>
        </w:tc>
        <w:tc>
          <w:tcPr>
            <w:tcW w:type="dxa" w:w="2880"/>
            <w:shd w:val="clear" w:color="auto" w:fill="FFFFFF"/>
          </w:tcPr>
          <w:p>
            <w:r>
              <w:rPr>
                <w:sz w:val="18"/>
              </w:rPr>
              <w:t>None</w:t>
            </w:r>
          </w:p>
        </w:tc>
        <w:tc>
          <w:tcPr>
            <w:tcW w:type="dxa" w:w="2880"/>
            <w:shd w:val="clear" w:color="auto" w:fill="FFFFFF"/>
          </w:tcPr>
          <w:p>
            <w:r>
              <w:rPr>
                <w:sz w:val="18"/>
              </w:rPr>
              <w:t>Central brand pillar</w:t>
            </w:r>
          </w:p>
        </w:tc>
      </w:tr>
      <w:tr>
        <w:tc>
          <w:tcPr>
            <w:tcW w:type="dxa" w:w="2880"/>
            <w:shd w:val="clear" w:color="auto" w:fill="E8F0FE"/>
          </w:tcPr>
          <w:p>
            <w:r>
              <w:rPr>
                <w:sz w:val="18"/>
              </w:rPr>
              <w:t>Daily Compliance</w:t>
            </w:r>
          </w:p>
        </w:tc>
        <w:tc>
          <w:tcPr>
            <w:tcW w:type="dxa" w:w="2880"/>
            <w:shd w:val="clear" w:color="auto" w:fill="E8F0FE"/>
          </w:tcPr>
          <w:p>
            <w:r>
              <w:rPr>
                <w:sz w:val="18"/>
              </w:rPr>
              <w:t>Low — drops require careful dosing</w:t>
            </w:r>
          </w:p>
        </w:tc>
        <w:tc>
          <w:tcPr>
            <w:tcW w:type="dxa" w:w="2880"/>
            <w:shd w:val="clear" w:color="auto" w:fill="E8F0FE"/>
          </w:tcPr>
          <w:p>
            <w:r>
              <w:rPr>
                <w:sz w:val="18"/>
              </w:rPr>
              <w:t>High — one tablet, done</w:t>
            </w:r>
          </w:p>
        </w:tc>
      </w:tr>
      <w:tr>
        <w:tc>
          <w:tcPr>
            <w:tcW w:type="dxa" w:w="2880"/>
            <w:shd w:val="clear" w:color="auto" w:fill="FFFFFF"/>
          </w:tcPr>
          <w:p>
            <w:r>
              <w:rPr>
                <w:sz w:val="18"/>
              </w:rPr>
              <w:t>Target Buyer</w:t>
            </w:r>
          </w:p>
        </w:tc>
        <w:tc>
          <w:tcPr>
            <w:tcW w:type="dxa" w:w="2880"/>
            <w:shd w:val="clear" w:color="auto" w:fill="FFFFFF"/>
          </w:tcPr>
          <w:p>
            <w:r>
              <w:rPr>
                <w:sz w:val="18"/>
              </w:rPr>
              <w:t>Biohackers, clinicians, researchers</w:t>
            </w:r>
          </w:p>
        </w:tc>
        <w:tc>
          <w:tcPr>
            <w:tcW w:type="dxa" w:w="2880"/>
            <w:shd w:val="clear" w:color="auto" w:fill="FFFFFF"/>
          </w:tcPr>
          <w:p>
            <w:r>
              <w:rPr>
                <w:sz w:val="18"/>
              </w:rPr>
              <w:t>Health-conscious daily wellness consumers</w:t>
            </w:r>
          </w:p>
        </w:tc>
      </w:tr>
      <w:tr>
        <w:tc>
          <w:tcPr>
            <w:tcW w:type="dxa" w:w="2880"/>
            <w:shd w:val="clear" w:color="auto" w:fill="E8F0FE"/>
          </w:tcPr>
          <w:p>
            <w:r>
              <w:rPr>
                <w:sz w:val="18"/>
              </w:rPr>
              <w:t>Subscription</w:t>
            </w:r>
          </w:p>
        </w:tc>
        <w:tc>
          <w:tcPr>
            <w:tcW w:type="dxa" w:w="2880"/>
            <w:shd w:val="clear" w:color="auto" w:fill="E8F0FE"/>
          </w:tcPr>
          <w:p>
            <w:r>
              <w:rPr>
                <w:sz w:val="18"/>
              </w:rPr>
              <w:t>Not confirmed</w:t>
            </w:r>
          </w:p>
        </w:tc>
        <w:tc>
          <w:tcPr>
            <w:tcW w:type="dxa" w:w="2880"/>
            <w:shd w:val="clear" w:color="auto" w:fill="E8F0FE"/>
          </w:tcPr>
          <w:p>
            <w:r>
              <w:rPr>
                <w:sz w:val="18"/>
              </w:rPr>
              <w:t>Subscribe &amp; Save from launch</w:t>
            </w:r>
          </w:p>
        </w:tc>
      </w:tr>
      <w:tr>
        <w:tc>
          <w:tcPr>
            <w:tcW w:type="dxa" w:w="2880"/>
            <w:shd w:val="clear" w:color="auto" w:fill="FFFFFF"/>
          </w:tcPr>
          <w:p>
            <w:r>
              <w:rPr>
                <w:sz w:val="18"/>
              </w:rPr>
              <w:t>Social Presence</w:t>
            </w:r>
          </w:p>
        </w:tc>
        <w:tc>
          <w:tcPr>
            <w:tcW w:type="dxa" w:w="2880"/>
            <w:shd w:val="clear" w:color="auto" w:fill="FFFFFF"/>
          </w:tcPr>
          <w:p>
            <w:r>
              <w:rPr>
                <w:sz w:val="18"/>
              </w:rPr>
              <w:t>Minimal</w:t>
            </w:r>
          </w:p>
        </w:tc>
        <w:tc>
          <w:tcPr>
            <w:tcW w:type="dxa" w:w="2880"/>
            <w:shd w:val="clear" w:color="auto" w:fill="FFFFFF"/>
          </w:tcPr>
          <w:p>
            <w:r>
              <w:rPr>
                <w:sz w:val="18"/>
              </w:rPr>
              <w:t>Built from day one</w:t>
            </w:r>
          </w:p>
        </w:tc>
      </w:tr>
      <w:tr>
        <w:tc>
          <w:tcPr>
            <w:tcW w:type="dxa" w:w="2880"/>
            <w:shd w:val="clear" w:color="auto" w:fill="E8F0FE"/>
          </w:tcPr>
          <w:p>
            <w:r>
              <w:rPr>
                <w:sz w:val="18"/>
              </w:rPr>
              <w:t>Price</w:t>
            </w:r>
          </w:p>
        </w:tc>
        <w:tc>
          <w:tcPr>
            <w:tcW w:type="dxa" w:w="2880"/>
            <w:shd w:val="clear" w:color="auto" w:fill="E8F0FE"/>
          </w:tcPr>
          <w:p>
            <w:r>
              <w:rPr>
                <w:sz w:val="18"/>
              </w:rPr>
              <w:t>$25–$55</w:t>
            </w:r>
          </w:p>
        </w:tc>
        <w:tc>
          <w:tcPr>
            <w:tcW w:type="dxa" w:w="2880"/>
            <w:shd w:val="clear" w:color="auto" w:fill="E8F0FE"/>
          </w:tcPr>
          <w:p>
            <w:r>
              <w:rPr>
                <w:sz w:val="18"/>
              </w:rPr>
              <w:t>$35–$42 D2C</w:t>
            </w:r>
          </w:p>
        </w:tc>
      </w:tr>
      <w:tr>
        <w:tc>
          <w:tcPr>
            <w:tcW w:type="dxa" w:w="2880"/>
            <w:shd w:val="clear" w:color="auto" w:fill="FFFFFF"/>
          </w:tcPr>
          <w:p>
            <w:r>
              <w:rPr>
                <w:sz w:val="18"/>
              </w:rPr>
              <w:t>Biggest Weakness</w:t>
            </w:r>
          </w:p>
        </w:tc>
        <w:tc>
          <w:tcPr>
            <w:tcW w:type="dxa" w:w="2880"/>
            <w:shd w:val="clear" w:color="auto" w:fill="FFFFFF"/>
          </w:tcPr>
          <w:p>
            <w:r>
              <w:rPr>
                <w:sz w:val="18"/>
              </w:rPr>
              <w:t>No lifestyle brand, no subscription</w:t>
            </w:r>
          </w:p>
        </w:tc>
        <w:tc>
          <w:tcPr>
            <w:tcW w:type="dxa" w:w="2880"/>
            <w:shd w:val="clear" w:color="auto" w:fill="FFFFFF"/>
          </w:tcPr>
          <w:p>
            <w:r>
              <w:rPr>
                <w:sz w:val="18"/>
              </w:rPr>
              <w:t>No awareness yet — building</w:t>
            </w:r>
          </w:p>
        </w:tc>
      </w:tr>
    </w:tbl>
    <w:p/>
    <w:p>
      <w:pPr>
        <w:spacing w:before="200" w:after="80"/>
      </w:pPr>
      <w:r>
        <w:rPr>
          <w:b/>
          <w:color w:val="1F497D"/>
          <w:sz w:val="24"/>
        </w:rPr>
        <w:t>6. THE STRATEGIC INSIGHT</w:t>
      </w:r>
    </w:p>
    <w:p>
      <w:pPr>
        <w:spacing w:after="100"/>
      </w:pPr>
      <w:r>
        <w:rPr>
          <w:sz w:val="20"/>
        </w:rPr>
        <w:t>Compass Laboratory is the category's most trusted pure-play brand — and they are leaving the daily-use consumer completely underserved. Their buyer is already converted to MB. They are not marketing to the curious health consumer who stumbles onto the category.</w:t>
      </w:r>
    </w:p>
    <w:p>
      <w:pPr>
        <w:spacing w:after="100"/>
      </w:pPr>
      <w:r>
        <w:rPr>
          <w:sz w:val="20"/>
        </w:rPr>
        <w:t>There is no subscription model, no social community, no ingredient story beyond 'pure MB.' The largest growth opportunity in this category is everyday wellness consumers who want cognitive and cellular support but need a brand they can relate to — not a lab catalog.</w:t>
      </w:r>
    </w:p>
    <w:p>
      <w:r>
        <w:rPr>
          <w:b/>
          <w:color w:val="1565C0"/>
          <w:sz w:val="20"/>
        </w:rPr>
        <w:t xml:space="preserve">Positioning vs. Compass: </w:t>
      </w:r>
      <w:r>
        <w:rPr>
          <w:i/>
          <w:sz w:val="20"/>
        </w:rPr>
        <w:t>Compass Laboratory gives you pharmaceutical-grade MB in a glass dropper. BlueVero gives you that same MB — paired with Vitamin C, in a tablet you can take anywhere, built for people who live outside the lab.</w:t>
      </w:r>
    </w:p>
    <w:p>
      <w:pPr>
        <w:spacing w:before="200" w:after="80"/>
      </w:pPr>
      <w:r>
        <w:rPr>
          <w:b/>
          <w:color w:val="1F497D"/>
          <w:sz w:val="24"/>
        </w:rPr>
        <w:t>7. IMMEDIATE NEXT STEPS FOR BLUEVERO</w:t>
      </w:r>
    </w:p>
    <w:p>
      <w:pPr>
        <w:pStyle w:val="ListBullet"/>
      </w:pPr>
      <w:r>
        <w:rPr>
          <w:sz w:val="20"/>
        </w:rPr>
        <w:t>Publish 'methylene blue vitamin C supplement' content now — zero competitors own this keyword</w:t>
      </w:r>
    </w:p>
    <w:p>
      <w:pPr>
        <w:pStyle w:val="ListBullet"/>
      </w:pPr>
      <w:r>
        <w:rPr>
          <w:sz w:val="20"/>
        </w:rPr>
        <w:t>Claim antioxidant framing in all product copy — Compass does not use this language</w:t>
      </w:r>
    </w:p>
    <w:p>
      <w:pPr>
        <w:pStyle w:val="ListBullet"/>
      </w:pPr>
      <w:r>
        <w:rPr>
          <w:sz w:val="20"/>
        </w:rPr>
        <w:t>Launch Subscribe &amp; Save from day one — Compass has no subscription model to compete with</w:t>
      </w:r>
    </w:p>
    <w:p>
      <w:pPr>
        <w:pStyle w:val="ListBullet"/>
      </w:pPr>
      <w:r>
        <w:rPr>
          <w:sz w:val="20"/>
        </w:rPr>
        <w:t>Pursue GoSupps distribution in Phase 2 — Compass has proven UK/Europe demand</w:t>
      </w:r>
    </w:p>
    <w:p>
      <w:pPr>
        <w:pStyle w:val="ListBullet"/>
      </w:pPr>
      <w:r>
        <w:rPr>
          <w:sz w:val="20"/>
        </w:rPr>
        <w:t>Create 'Why tablet vs. drops' comparison page — win the format debate on your own terms</w:t>
      </w:r>
    </w:p>
    <w:p>
      <w:pPr>
        <w:pStyle w:val="ListBullet"/>
      </w:pPr>
      <w:r>
        <w:rPr>
          <w:sz w:val="20"/>
        </w:rPr>
        <w:t>Target functional medicine practitioners — Compass has shown this channel converts at high LTV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