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la</w:t>
      </w:r>
      <w:r>
        <w:t xml:space="preserve"> </w:t>
      </w:r>
      <w:r>
        <w:rPr>
          <w:bCs/>
          <w:b/>
        </w:rPr>
        <w:t xml:space="preserve">Ruta A v2</w:t>
      </w:r>
      <w:r>
        <w:t xml:space="preserve"> </w:t>
      </w:r>
      <w:r>
        <w:t xml:space="preserve">—la gramática visual de las grandes marcas de Habanos (anilla con cartela, oro en relieve, guilloché, litografía de tapa) traducida a elementos propios: medallón con las manos del torcedor, chavetas cruzadas y un patrón inspirado en la yagua; ver</w:t>
      </w:r>
      <w:r>
        <w:t xml:space="preserve"> </w:t>
      </w:r>
      <w:r>
        <w:rPr>
          <w:rStyle w:val="VerbatimChar"/>
        </w:rPr>
        <w:t xml:space="preserve">01_BRAND/ARNALDO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