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Agendas</w:t>
      </w:r>
      <w:r>
        <w:t xml:space="preserve"> </w:t>
      </w:r>
      <w:r>
        <w:t xml:space="preserve">de</w:t>
      </w:r>
      <w:r>
        <w:t xml:space="preserve"> </w:t>
      </w:r>
      <w:r>
        <w:t xml:space="preserve">reunión</w:t>
      </w:r>
    </w:p>
    <w:p>
      <w:pPr>
        <w:pStyle w:val="Subtitle"/>
      </w:pPr>
      <w:r>
        <w:t xml:space="preserve">Reuniones</w:t>
      </w:r>
      <w:r>
        <w:t xml:space="preserve"> </w:t>
      </w:r>
      <w:r>
        <w:t xml:space="preserve">previstas</w:t>
      </w:r>
      <w:r>
        <w:t xml:space="preserve"> </w:t>
      </w:r>
      <w:r>
        <w:t xml:space="preserve">en</w:t>
      </w:r>
      <w:r>
        <w:t xml:space="preserve"> </w:t>
      </w:r>
      <w:r>
        <w:t xml:space="preserve">la</w:t>
      </w:r>
      <w:r>
        <w:t xml:space="preserve"> </w:t>
      </w:r>
      <w:r>
        <w:t xml:space="preserve">Fase</w:t>
      </w:r>
      <w:r>
        <w:t xml:space="preserve"> </w:t>
      </w:r>
      <w:r>
        <w:t xml:space="preserve">0</w:t>
      </w:r>
      <w:r>
        <w:t xml:space="preserve"> </w:t>
      </w:r>
      <w:r>
        <w:t xml:space="preserve">y</w:t>
      </w:r>
      <w:r>
        <w:t xml:space="preserve"> </w:t>
      </w:r>
      <w:r>
        <w:t xml:space="preserve">siguientes,</w:t>
      </w:r>
      <w:r>
        <w:t xml:space="preserve"> </w:t>
      </w:r>
      <w:r>
        <w:t xml:space="preserve">con</w:t>
      </w:r>
      <w:r>
        <w:t xml:space="preserve"> </w:t>
      </w:r>
      <w:r>
        <w:t xml:space="preserve">objetivos,</w:t>
      </w:r>
      <w:r>
        <w:t xml:space="preserve"> </w:t>
      </w:r>
      <w:r>
        <w:t xml:space="preserve">preguntas</w:t>
      </w:r>
      <w:r>
        <w:t xml:space="preserve"> </w:t>
      </w:r>
      <w:r>
        <w:t xml:space="preserve">y</w:t>
      </w:r>
      <w:r>
        <w:t xml:space="preserve"> </w:t>
      </w:r>
      <w:r>
        <w:t xml:space="preserve">entregables</w:t>
      </w:r>
    </w:p>
    <w:p>
      <w:pPr>
        <w:pStyle w:val="Date"/>
      </w:pPr>
      <w:r>
        <w:t xml:space="preserve">10/10/2026</w:t>
      </w:r>
    </w:p>
    <w:p>
      <w:pPr>
        <w:pStyle w:val="FirstParagraph"/>
      </w:pPr>
      <w:r>
        <w:rPr>
          <w:iCs/>
          <w:i/>
        </w:rPr>
        <w:t xml:space="preserve">Borrador de trabajo. Requiere revisión profesional antes de su uso o firma.</w:t>
      </w:r>
    </w:p>
    <w:bookmarkStart w:id="20" w:name="X2decb45b59717833cbd657262975de68e0389c7"/>
    <w:p>
      <w:pPr>
        <w:pStyle w:val="Heading1"/>
      </w:pPr>
      <w:r>
        <w:t xml:space="preserve">R1. Sesión inicial con el torcedor (60 min, videollamada)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 identificar la entidad autorizada y el encaje legal de su colaboración.</w:t>
      </w:r>
    </w:p>
    <w:p>
      <w:pPr>
        <w:numPr>
          <w:ilvl w:val="0"/>
          <w:numId w:val="1001"/>
        </w:numPr>
        <w:pStyle w:val="Compact"/>
      </w:pPr>
      <w:r>
        <w:t xml:space="preserve">Presentación del proyecto y de los límites legales (10 min).</w:t>
      </w:r>
    </w:p>
    <w:p>
      <w:pPr>
        <w:numPr>
          <w:ilvl w:val="0"/>
          <w:numId w:val="1001"/>
        </w:numPr>
        <w:pStyle w:val="Compact"/>
      </w:pPr>
      <w:r>
        <w:t xml:space="preserve">Cuestionario del torcedor (</w:t>
      </w:r>
      <w:r>
        <w:rPr>
          <w:rStyle w:val="VerbatimChar"/>
        </w:rPr>
        <w:t xml:space="preserve">Information Request Pack.docx</w:t>
      </w:r>
      <w:r>
        <w:t xml:space="preserve">, sección 1) (30 min).</w:t>
      </w:r>
    </w:p>
    <w:p>
      <w:pPr>
        <w:numPr>
          <w:ilvl w:val="0"/>
          <w:numId w:val="1001"/>
        </w:numPr>
        <w:pStyle w:val="Compact"/>
      </w:pPr>
      <w:r>
        <w:t xml:space="preserve">Qué puede y qué no puede hacer sin autorización de su entidad (10 min).</w:t>
      </w:r>
    </w:p>
    <w:p>
      <w:pPr>
        <w:numPr>
          <w:ilvl w:val="0"/>
          <w:numId w:val="1001"/>
        </w:numPr>
        <w:pStyle w:val="Compact"/>
      </w:pPr>
      <w:r>
        <w:t xml:space="preserve">Próximos pasos: datos oficiales de la entidad; autorización a nuestro abogado para contactar (10 min).</w:t>
      </w:r>
    </w:p>
    <w:p>
      <w:pPr>
        <w:pStyle w:val="FirstParagraph"/>
      </w:pPr>
      <w:r>
        <w:rPr>
          <w:bCs/>
          <w:b/>
        </w:rPr>
        <w:t xml:space="preserve">Entregable</w:t>
      </w:r>
      <w:r>
        <w:t xml:space="preserve">: identidad de la entidad y persona de contacto oficial.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pedir muestras ni enviar dinero.</w:t>
      </w:r>
    </w:p>
    <w:bookmarkEnd w:id="20"/>
    <w:bookmarkStart w:id="21" w:name="X6bacbbdbc1757ea98cb07b736172208ee654b2b"/>
    <w:p>
      <w:pPr>
        <w:pStyle w:val="Heading1"/>
      </w:pPr>
      <w:r>
        <w:t xml:space="preserve">R2. Encargo con abogados (Cuba + España) (90 min)</w:t>
      </w:r>
    </w:p>
    <w:p>
      <w:pPr>
        <w:numPr>
          <w:ilvl w:val="0"/>
          <w:numId w:val="1002"/>
        </w:numPr>
        <w:pStyle w:val="Compact"/>
      </w:pPr>
      <w:r>
        <w:t xml:space="preserve">Alcance de la Fase 0 y documentos de soporte.</w:t>
      </w:r>
    </w:p>
    <w:p>
      <w:pPr>
        <w:numPr>
          <w:ilvl w:val="0"/>
          <w:numId w:val="1002"/>
        </w:numPr>
        <w:pStyle w:val="Compact"/>
      </w:pPr>
      <w:r>
        <w:t xml:space="preserve">Cronograma de 11 semanas, honorarios, forma de pago.</w:t>
      </w:r>
    </w:p>
    <w:p>
      <w:pPr>
        <w:numPr>
          <w:ilvl w:val="0"/>
          <w:numId w:val="1002"/>
        </w:numPr>
        <w:pStyle w:val="Compact"/>
      </w:pPr>
      <w:r>
        <w:t xml:space="preserve">Protocolo de comunicaciones con entidades cubanas.</w:t>
      </w:r>
    </w:p>
    <w:p>
      <w:pPr>
        <w:numPr>
          <w:ilvl w:val="0"/>
          <w:numId w:val="1002"/>
        </w:numPr>
        <w:pStyle w:val="Compact"/>
      </w:pPr>
      <w:r>
        <w:t xml:space="preserve">Screening de sanciones.</w:t>
      </w:r>
    </w:p>
    <w:p>
      <w:pPr>
        <w:pStyle w:val="FirstParagraph"/>
      </w:pPr>
      <w:r>
        <w:rPr>
          <w:bCs/>
          <w:b/>
        </w:rPr>
        <w:t xml:space="preserve">Entregable</w:t>
      </w:r>
      <w:r>
        <w:t xml:space="preserve">: cartas de encargo; calendario.</w:t>
      </w:r>
    </w:p>
    <w:bookmarkEnd w:id="21"/>
    <w:bookmarkStart w:id="22" w:name="Xf2c5d13fc71c7f593fd15d9d069be8b95ddb242"/>
    <w:p>
      <w:pPr>
        <w:pStyle w:val="Heading1"/>
      </w:pPr>
      <w:r>
        <w:t xml:space="preserve">R3. Reunión con la entidad cubana (vía abogado) (60–90 min)</w:t>
      </w:r>
    </w:p>
    <w:p>
      <w:pPr>
        <w:numPr>
          <w:ilvl w:val="0"/>
          <w:numId w:val="1003"/>
        </w:numPr>
        <w:pStyle w:val="Compact"/>
      </w:pPr>
      <w:r>
        <w:t xml:space="preserve">Presentación formal y carácter no vinculante.</w:t>
      </w:r>
    </w:p>
    <w:p>
      <w:pPr>
        <w:numPr>
          <w:ilvl w:val="0"/>
          <w:numId w:val="1003"/>
        </w:numPr>
        <w:pStyle w:val="Compact"/>
      </w:pPr>
      <w:r>
        <w:t xml:space="preserve">Capacidad legal: licencias, exportador de registro, papel de Habanos S.A.</w:t>
      </w:r>
    </w:p>
    <w:p>
      <w:pPr>
        <w:numPr>
          <w:ilvl w:val="0"/>
          <w:numId w:val="1003"/>
        </w:numPr>
        <w:pStyle w:val="Compact"/>
      </w:pPr>
      <w:r>
        <w:t xml:space="preserve">Titularidad de la marca (posición no negociable del cliente).</w:t>
      </w:r>
    </w:p>
    <w:p>
      <w:pPr>
        <w:numPr>
          <w:ilvl w:val="0"/>
          <w:numId w:val="1003"/>
        </w:numPr>
        <w:pStyle w:val="Compact"/>
      </w:pPr>
      <w:r>
        <w:t xml:space="preserve">Capacidad productiva, hoja, plazos, mínimos.</w:t>
      </w:r>
    </w:p>
    <w:p>
      <w:pPr>
        <w:numPr>
          <w:ilvl w:val="0"/>
          <w:numId w:val="1003"/>
        </w:numPr>
        <w:pStyle w:val="Compact"/>
      </w:pPr>
      <w:r>
        <w:t xml:space="preserve">Condiciones de pago y vía bancaria.</w:t>
      </w:r>
    </w:p>
    <w:p>
      <w:pPr>
        <w:numPr>
          <w:ilvl w:val="0"/>
          <w:numId w:val="1003"/>
        </w:numPr>
        <w:pStyle w:val="Compact"/>
      </w:pPr>
      <w:r>
        <w:t xml:space="preserve">Próximos pasos: documentos y cotización.</w:t>
      </w:r>
    </w:p>
    <w:p>
      <w:pPr>
        <w:pStyle w:val="FirstParagraph"/>
      </w:pPr>
      <w:r>
        <w:rPr>
          <w:bCs/>
          <w:b/>
        </w:rPr>
        <w:t xml:space="preserve">Entregable</w:t>
      </w:r>
      <w:r>
        <w:t xml:space="preserve">: respuesta escrita a</w:t>
      </w:r>
      <w:r>
        <w:t xml:space="preserve"> </w:t>
      </w:r>
      <w:r>
        <w:rPr>
          <w:rStyle w:val="VerbatimChar"/>
        </w:rPr>
        <w:t xml:space="preserve">Export Authorization Questions.docx</w:t>
      </w:r>
      <w:r>
        <w:t xml:space="preserve">.</w:t>
      </w:r>
    </w:p>
    <w:bookmarkEnd w:id="22"/>
    <w:bookmarkStart w:id="23" w:name="Xd34950b37c62c63debec6336dcaba3b7b6794c1"/>
    <w:p>
      <w:pPr>
        <w:pStyle w:val="Heading1"/>
      </w:pPr>
      <w:r>
        <w:t xml:space="preserve">R4. Sesión técnica de Ficha Técnica (120 min, con torcedor y fábrica)</w:t>
      </w:r>
    </w:p>
    <w:p>
      <w:pPr>
        <w:numPr>
          <w:ilvl w:val="0"/>
          <w:numId w:val="1004"/>
        </w:numPr>
        <w:pStyle w:val="Compact"/>
      </w:pPr>
      <w:r>
        <w:t xml:space="preserve">Revisión campo a campo de</w:t>
      </w:r>
      <w:r>
        <w:t xml:space="preserve"> </w:t>
      </w:r>
      <w:r>
        <w:rPr>
          <w:rStyle w:val="VerbatimChar"/>
        </w:rPr>
        <w:t xml:space="preserve">Technical Specification Template.xlsx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Definición de criterios de calidad medibles y plan de muestreo.</w:t>
      </w:r>
    </w:p>
    <w:p>
      <w:pPr>
        <w:numPr>
          <w:ilvl w:val="0"/>
          <w:numId w:val="1004"/>
        </w:numPr>
        <w:pStyle w:val="Compact"/>
      </w:pPr>
      <w:r>
        <w:t xml:space="preserve">Prototipos: número, calendario, cata ciega.</w:t>
      </w:r>
    </w:p>
    <w:p>
      <w:pPr>
        <w:numPr>
          <w:ilvl w:val="0"/>
          <w:numId w:val="1004"/>
        </w:numPr>
        <w:pStyle w:val="Compact"/>
      </w:pPr>
      <w:r>
        <w:t xml:space="preserve">Ingredientes para EU-CEG.</w:t>
      </w:r>
    </w:p>
    <w:p>
      <w:pPr>
        <w:pStyle w:val="FirstParagraph"/>
      </w:pPr>
      <w:r>
        <w:rPr>
          <w:bCs/>
          <w:b/>
        </w:rPr>
        <w:t xml:space="preserve">Entregable</w:t>
      </w:r>
      <w:r>
        <w:t xml:space="preserve">: Ficha Técnica v1 firmada.</w:t>
      </w:r>
    </w:p>
    <w:bookmarkEnd w:id="23"/>
    <w:bookmarkStart w:id="24" w:name="r5.-asesor-fiscal-españaandorra-60-min"/>
    <w:p>
      <w:pPr>
        <w:pStyle w:val="Heading1"/>
      </w:pPr>
      <w:r>
        <w:t xml:space="preserve">R5. Asesor fiscal España–Andorra (60 min)</w:t>
      </w:r>
    </w:p>
    <w:p>
      <w:pPr>
        <w:numPr>
          <w:ilvl w:val="0"/>
          <w:numId w:val="1005"/>
        </w:numPr>
        <w:pStyle w:val="Compact"/>
      </w:pPr>
      <w:r>
        <w:t xml:space="preserve">Calendario del traslado 2027 y residencia fiscal.</w:t>
      </w:r>
    </w:p>
    <w:p>
      <w:pPr>
        <w:numPr>
          <w:ilvl w:val="0"/>
          <w:numId w:val="1005"/>
        </w:numPr>
        <w:pStyle w:val="Compact"/>
      </w:pPr>
      <w:r>
        <w:t xml:space="preserve">Estructura recomendada (SL española) y gobierno corporativo.</w:t>
      </w:r>
    </w:p>
    <w:p>
      <w:pPr>
        <w:numPr>
          <w:ilvl w:val="0"/>
          <w:numId w:val="1005"/>
        </w:numPr>
        <w:pStyle w:val="Compact"/>
      </w:pPr>
      <w:r>
        <w:t xml:space="preserve">Retribución, dividendos y CDI.</w:t>
      </w:r>
    </w:p>
    <w:p>
      <w:pPr>
        <w:pStyle w:val="FirstParagraph"/>
      </w:pPr>
      <w:r>
        <w:rPr>
          <w:bCs/>
          <w:b/>
        </w:rPr>
        <w:t xml:space="preserve">Entregable</w:t>
      </w:r>
      <w:r>
        <w:t xml:space="preserve">: dictamen escrito.</w:t>
      </w:r>
    </w:p>
    <w:bookmarkEnd w:id="24"/>
    <w:bookmarkStart w:id="25" w:name="r6.-distribuidor-habilitado-60-min"/>
    <w:p>
      <w:pPr>
        <w:pStyle w:val="Heading1"/>
      </w:pPr>
      <w:r>
        <w:t xml:space="preserve">R6. Distribuidor habilitado (60 min)</w:t>
      </w:r>
    </w:p>
    <w:p>
      <w:pPr>
        <w:numPr>
          <w:ilvl w:val="0"/>
          <w:numId w:val="1006"/>
        </w:numPr>
        <w:pStyle w:val="Compact"/>
      </w:pPr>
      <w:r>
        <w:t xml:space="preserve">Requisitos de alta de una marca nueva.</w:t>
      </w:r>
    </w:p>
    <w:p>
      <w:pPr>
        <w:numPr>
          <w:ilvl w:val="0"/>
          <w:numId w:val="1006"/>
        </w:numPr>
        <w:pStyle w:val="Compact"/>
      </w:pPr>
      <w:r>
        <w:t xml:space="preserve">Tarifa, depósito fiscal, almacén, pagos, reporting.</w:t>
      </w:r>
    </w:p>
    <w:p>
      <w:pPr>
        <w:numPr>
          <w:ilvl w:val="0"/>
          <w:numId w:val="1006"/>
        </w:numPr>
        <w:pStyle w:val="Compact"/>
      </w:pPr>
      <w:r>
        <w:t xml:space="preserve">Volúmenes y calendario.</w:t>
      </w:r>
    </w:p>
    <w:p>
      <w:pPr>
        <w:pStyle w:val="FirstParagraph"/>
      </w:pPr>
      <w:r>
        <w:rPr>
          <w:bCs/>
          <w:b/>
        </w:rPr>
        <w:t xml:space="preserve">Entregable</w:t>
      </w:r>
      <w:r>
        <w:t xml:space="preserve">: oferta o carta de intención.</w:t>
      </w:r>
    </w:p>
    <w:bookmarkEnd w:id="25"/>
    <w:bookmarkStart w:id="26" w:name="Xe14eab0cb02536dac5a71e8f75afdd35e8163c0"/>
    <w:p>
      <w:pPr>
        <w:pStyle w:val="Heading1"/>
      </w:pPr>
      <w:r>
        <w:t xml:space="preserve">R7. Entrevistas con expendedurías especialistas (20 min c/u, 15 entrevistas)</w:t>
      </w:r>
    </w:p>
    <w:p>
      <w:pPr>
        <w:numPr>
          <w:ilvl w:val="0"/>
          <w:numId w:val="1007"/>
        </w:numPr>
        <w:pStyle w:val="Compact"/>
      </w:pPr>
      <w:r>
        <w:t xml:space="preserve">Formatos y rangos de precio con rotación.</w:t>
      </w:r>
    </w:p>
    <w:p>
      <w:pPr>
        <w:numPr>
          <w:ilvl w:val="0"/>
          <w:numId w:val="1007"/>
        </w:numPr>
        <w:pStyle w:val="Compact"/>
      </w:pPr>
      <w:r>
        <w:t xml:space="preserve">Percepción de una marca nueva cubana no-Habanos a 24–28 €.</w:t>
      </w:r>
    </w:p>
    <w:p>
      <w:pPr>
        <w:numPr>
          <w:ilvl w:val="0"/>
          <w:numId w:val="1007"/>
        </w:numPr>
        <w:pStyle w:val="Compact"/>
      </w:pPr>
      <w:r>
        <w:t xml:space="preserve">Qué documentación/servicio valoran.</w:t>
      </w:r>
    </w:p>
    <w:p>
      <w:pPr>
        <w:numPr>
          <w:ilvl w:val="0"/>
          <w:numId w:val="1007"/>
        </w:numPr>
        <w:pStyle w:val="Compact"/>
      </w:pPr>
      <w:r>
        <w:t xml:space="preserve">Disposición a firmar una carta de interés no vinculante.</w:t>
      </w:r>
    </w:p>
    <w:p>
      <w:pPr>
        <w:pStyle w:val="FirstParagraph"/>
      </w:pPr>
      <w:r>
        <w:rPr>
          <w:bCs/>
          <w:b/>
        </w:rPr>
        <w:t xml:space="preserve">Entregable</w:t>
      </w:r>
      <w:r>
        <w:t xml:space="preserve">: notas estandarizadas; 10 cartas de interés (C6).</w:t>
      </w:r>
    </w:p>
    <w:bookmarkEnd w:id="26"/>
    <w:bookmarkStart w:id="27" w:name="r8.-comité-gono-go-de-la-fase-0-60-min"/>
    <w:p>
      <w:pPr>
        <w:pStyle w:val="Heading1"/>
      </w:pPr>
      <w:r>
        <w:t xml:space="preserve">R8. Comité Go/No-Go de la Fase 0 (60 min)</w:t>
      </w:r>
    </w:p>
    <w:p>
      <w:pPr>
        <w:numPr>
          <w:ilvl w:val="0"/>
          <w:numId w:val="1008"/>
        </w:numPr>
        <w:pStyle w:val="Compact"/>
      </w:pPr>
      <w:r>
        <w:t xml:space="preserve">Estado de C1–C8 (</w:t>
      </w:r>
      <w:r>
        <w:rPr>
          <w:rStyle w:val="VerbatimChar"/>
        </w:rPr>
        <w:t xml:space="preserve">Decision Matrix.xlsx</w:t>
      </w:r>
      <w:r>
        <w:t xml:space="preserve"> </w:t>
      </w:r>
      <w:r>
        <w:t xml:space="preserve">→ «Condiciones Go-NoGo»).</w:t>
      </w:r>
    </w:p>
    <w:p>
      <w:pPr>
        <w:numPr>
          <w:ilvl w:val="0"/>
          <w:numId w:val="1008"/>
        </w:numPr>
        <w:pStyle w:val="Compact"/>
      </w:pPr>
      <w:r>
        <w:t xml:space="preserve">Resultado del modelo con la cotización real.</w:t>
      </w:r>
    </w:p>
    <w:p>
      <w:pPr>
        <w:numPr>
          <w:ilvl w:val="0"/>
          <w:numId w:val="1008"/>
        </w:numPr>
        <w:pStyle w:val="Compact"/>
      </w:pPr>
      <w:r>
        <w:t xml:space="preserve">Decisión y registro en acta.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Georgia" w:asciiTheme="majorHAnsi" w:cstheme="majorBidi" w:eastAsiaTheme="majorEastAsia" w:hAnsi="Georgia" w:hAnsiTheme="majorHAnsi"/>
      <w:b w:val="0"/>
      <w:bCs/>
      <w:color w:val="5A3E2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8C877E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Agendas de reunión</dc:title>
  <dc:creator/>
  <cp:keywords/>
  <dcterms:created xsi:type="dcterms:W3CDTF">2026-10-10T19:39:04Z</dcterms:created>
  <dcterms:modified xsi:type="dcterms:W3CDTF">2026-10-10T19:39:04Z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10/10/2026</vt:lpwstr>
  </property>
  <property fmtid="{D5CDD505-2E9C-101B-9397-08002B2CF9AE}" pid="3" name="subtitle">
    <vt:lpwstr>Reuniones previstas en la Fase 0 y siguientes, con objetivos, preguntas y entregables</vt:lpwstr>
  </property>
</Properties>
</file>