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la</w:t>
      </w:r>
      <w:r>
        <w:t xml:space="preserve"> </w:t>
      </w:r>
      <w:r>
        <w:rPr>
          <w:bCs/>
          <w:b/>
        </w:rPr>
        <w:t xml:space="preserve">Ruta A v3 «Casa cubana clásica»</w:t>
      </w:r>
      <w:r>
        <w:t xml:space="preserve"> </w:t>
      </w:r>
      <w:r>
        <w:t xml:space="preserve">—la gramática común de las casas de Habanos (anilla lacre y oro con cartela troquelada, perlado y guilloché, segunda anilla de serie, vista, larguero y costero, caja de cedro) llenada con contenido propio: el nombre y la firma real de Arnaldo; ver</w:t>
      </w:r>
      <w:r>
        <w:t xml:space="preserve"> </w:t>
      </w:r>
      <w:r>
        <w:rPr>
          <w:rStyle w:val="VerbatimChar"/>
        </w:rPr>
        <w:t xml:space="preserve">01_BRAND/ARNALDO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2026-10-12T17:01:43Z</dcterms:created>
  <dcterms:modified xsi:type="dcterms:W3CDTF">2026-10-12T17:01:43Z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