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Procedimientos</w:t>
      </w:r>
      <w:r>
        <w:t xml:space="preserve"> </w:t>
      </w:r>
      <w:r>
        <w:t xml:space="preserve">operativos</w:t>
      </w:r>
      <w:r>
        <w:t xml:space="preserve"> </w:t>
      </w:r>
      <w:r>
        <w:t xml:space="preserve">(SOP)</w:t>
      </w:r>
      <w:r>
        <w:t xml:space="preserve"> </w:t>
      </w:r>
      <w:r>
        <w:t xml:space="preserve">y</w:t>
      </w:r>
      <w:r>
        <w:t xml:space="preserve"> </w:t>
      </w:r>
      <w:r>
        <w:t xml:space="preserve">plan</w:t>
      </w:r>
      <w:r>
        <w:t xml:space="preserve"> </w:t>
      </w:r>
      <w:r>
        <w:t xml:space="preserve">de</w:t>
      </w:r>
      <w:r>
        <w:t xml:space="preserve"> </w:t>
      </w:r>
      <w:r>
        <w:t xml:space="preserve">contingencia</w:t>
      </w:r>
    </w:p>
    <w:p>
      <w:pPr>
        <w:pStyle w:val="Subtitle"/>
      </w:pPr>
      <w:r>
        <w:t xml:space="preserve">SOP-01</w:t>
      </w:r>
      <w:r>
        <w:t xml:space="preserve"> </w:t>
      </w:r>
      <w:r>
        <w:t xml:space="preserve">a</w:t>
      </w:r>
      <w:r>
        <w:t xml:space="preserve"> </w:t>
      </w:r>
      <w:r>
        <w:t xml:space="preserve">SOP-08</w:t>
      </w:r>
      <w:r>
        <w:t xml:space="preserve"> </w:t>
      </w:r>
      <w:r>
        <w:t xml:space="preserve">y</w:t>
      </w:r>
      <w:r>
        <w:t xml:space="preserve"> </w:t>
      </w:r>
      <w:r>
        <w:t xml:space="preserve">plan</w:t>
      </w:r>
      <w:r>
        <w:t xml:space="preserve"> </w:t>
      </w:r>
      <w:r>
        <w:t xml:space="preserve">ante</w:t>
      </w:r>
      <w:r>
        <w:t xml:space="preserve"> </w:t>
      </w:r>
      <w:r>
        <w:t xml:space="preserve">bloqueos</w:t>
      </w:r>
      <w:r>
        <w:t xml:space="preserve"> </w:t>
      </w:r>
      <w:r>
        <w:t xml:space="preserve">de</w:t>
      </w:r>
      <w:r>
        <w:t xml:space="preserve"> </w:t>
      </w:r>
      <w:r>
        <w:t xml:space="preserve">Cuba,</w:t>
      </w:r>
      <w:r>
        <w:t xml:space="preserve"> </w:t>
      </w:r>
      <w:r>
        <w:t xml:space="preserve">pagos</w:t>
      </w:r>
      <w:r>
        <w:t xml:space="preserve"> </w:t>
      </w:r>
      <w:r>
        <w:t xml:space="preserve">o</w:t>
      </w:r>
      <w:r>
        <w:t xml:space="preserve"> </w:t>
      </w:r>
      <w:r>
        <w:t xml:space="preserve">suministro</w:t>
      </w:r>
    </w:p>
    <w:p>
      <w:pPr>
        <w:pStyle w:val="Date"/>
      </w:pPr>
      <w:r>
        <w:t xml:space="preserve">10/10/2026</w:t>
      </w:r>
    </w:p>
    <w:p>
      <w:pPr>
        <w:pStyle w:val="FirstParagraph"/>
      </w:pPr>
      <w:r>
        <w:rPr>
          <w:iCs/>
          <w:i/>
        </w:rPr>
        <w:t xml:space="preserve">Borrador de trabajo. Requiere revisión profesional antes de su uso o firma.</w:t>
      </w:r>
    </w:p>
    <w:bookmarkStart w:id="20" w:name="X647c9c8b163536ab426d123874d428e5528c6d4"/>
    <w:p>
      <w:pPr>
        <w:pStyle w:val="Heading1"/>
      </w:pPr>
      <w:r>
        <w:t xml:space="preserve">SOP-01 Aprobación de contrapartes (KYC y sanciones)</w:t>
      </w:r>
    </w:p>
    <w:p>
      <w:pPr>
        <w:numPr>
          <w:ilvl w:val="0"/>
          <w:numId w:val="1001"/>
        </w:numPr>
        <w:pStyle w:val="Compact"/>
      </w:pPr>
      <w:r>
        <w:t xml:space="preserve">Recoger identidad, registro, beneficiario real, banco y licencias.</w:t>
      </w:r>
    </w:p>
    <w:p>
      <w:pPr>
        <w:numPr>
          <w:ilvl w:val="0"/>
          <w:numId w:val="1001"/>
        </w:numPr>
        <w:pStyle w:val="Compact"/>
      </w:pPr>
      <w:r>
        <w:t xml:space="preserve">Screening en listas UE (incluida la de 30/07/2026), ONU, OFAC y OFSI; guardar evidencia fechada.</w:t>
      </w:r>
    </w:p>
    <w:p>
      <w:pPr>
        <w:numPr>
          <w:ilvl w:val="0"/>
          <w:numId w:val="1001"/>
        </w:numPr>
        <w:pStyle w:val="Compact"/>
      </w:pPr>
      <w:r>
        <w:t xml:space="preserve">Verificar licencias con el abogado del país.</w:t>
      </w:r>
    </w:p>
    <w:p>
      <w:pPr>
        <w:numPr>
          <w:ilvl w:val="0"/>
          <w:numId w:val="1001"/>
        </w:numPr>
        <w:pStyle w:val="Compact"/>
      </w:pPr>
      <w:r>
        <w:t xml:space="preserve">Aprobación escrita del promotor. Re-screening cada 6 meses y ante cualquier cambio de banco o accionista.</w:t>
      </w:r>
    </w:p>
    <w:bookmarkEnd w:id="20"/>
    <w:bookmarkStart w:id="21" w:name="sop-02-gestión-de-pedidos-a-fábrica"/>
    <w:p>
      <w:pPr>
        <w:pStyle w:val="Heading1"/>
      </w:pPr>
      <w:r>
        <w:t xml:space="preserve">SOP-02 Gestión de pedidos a fábrica</w:t>
      </w:r>
    </w:p>
    <w:p>
      <w:pPr>
        <w:numPr>
          <w:ilvl w:val="0"/>
          <w:numId w:val="1002"/>
        </w:numPr>
        <w:pStyle w:val="Compact"/>
      </w:pPr>
      <w:r>
        <w:t xml:space="preserve">Pedido sólo con contrato firmado, condiciones C1–C8 cumplidas y caja disponible para el ciclo completo (hoja «Working Capital»).</w:t>
      </w:r>
    </w:p>
    <w:p>
      <w:pPr>
        <w:numPr>
          <w:ilvl w:val="0"/>
          <w:numId w:val="1002"/>
        </w:numPr>
        <w:pStyle w:val="Compact"/>
      </w:pPr>
      <w:r>
        <w:t xml:space="preserve">Orden de compra con Ficha Técnica y muestra patrón referenciadas.</w:t>
      </w:r>
    </w:p>
    <w:p>
      <w:pPr>
        <w:numPr>
          <w:ilvl w:val="0"/>
          <w:numId w:val="1002"/>
        </w:numPr>
        <w:pStyle w:val="Compact"/>
      </w:pPr>
      <w:r>
        <w:t xml:space="preserve">Pagos sólo a la cuenta oficial de la contraparte, en EUR, nunca en efectivo ni a terceros.</w:t>
      </w:r>
    </w:p>
    <w:p>
      <w:pPr>
        <w:numPr>
          <w:ilvl w:val="0"/>
          <w:numId w:val="1002"/>
        </w:numPr>
        <w:pStyle w:val="Compact"/>
      </w:pPr>
      <w:r>
        <w:t xml:space="preserve">Hitos: anticipo → informe de inspección → saldo contra documentos.</w:t>
      </w:r>
    </w:p>
    <w:bookmarkEnd w:id="21"/>
    <w:bookmarkStart w:id="22" w:name="sop-03-control-de-calidad-por-pliego"/>
    <w:p>
      <w:pPr>
        <w:pStyle w:val="Heading1"/>
      </w:pPr>
      <w:r>
        <w:t xml:space="preserve">SOP-03 Control de calidad por pliego</w:t>
      </w:r>
    </w:p>
    <w:p>
      <w:pPr>
        <w:numPr>
          <w:ilvl w:val="0"/>
          <w:numId w:val="1003"/>
        </w:numPr>
        <w:pStyle w:val="Compact"/>
      </w:pPr>
      <w:r>
        <w:t xml:space="preserve">Inspección previa al embarque con AQL ISO 2859-1 nivel II.</w:t>
      </w:r>
    </w:p>
    <w:p>
      <w:pPr>
        <w:numPr>
          <w:ilvl w:val="0"/>
          <w:numId w:val="1003"/>
        </w:numPr>
        <w:pStyle w:val="Compact"/>
      </w:pPr>
      <w:r>
        <w:t xml:space="preserve">Cata ciega de 5 unidades por 3 catadores; registro en «Ficha de cata».</w:t>
      </w:r>
    </w:p>
    <w:p>
      <w:pPr>
        <w:numPr>
          <w:ilvl w:val="0"/>
          <w:numId w:val="1003"/>
        </w:numPr>
        <w:pStyle w:val="Compact"/>
      </w:pPr>
      <w:r>
        <w:t xml:space="preserve">Liberación del pliego firmada; rechazo documentado con fotos y mediciones.</w:t>
      </w:r>
    </w:p>
    <w:p>
      <w:pPr>
        <w:numPr>
          <w:ilvl w:val="0"/>
          <w:numId w:val="1003"/>
        </w:numPr>
        <w:pStyle w:val="Compact"/>
      </w:pPr>
      <w:r>
        <w:t xml:space="preserve">Inspección de llegada (humedad, plagas, daños).</w:t>
      </w:r>
    </w:p>
    <w:bookmarkEnd w:id="22"/>
    <w:bookmarkStart w:id="23" w:name="sop-04-trazabilidad-y-autenticidad"/>
    <w:p>
      <w:pPr>
        <w:pStyle w:val="Heading1"/>
      </w:pPr>
      <w:r>
        <w:t xml:space="preserve">SOP-04 Trazabilidad y autenticidad</w:t>
      </w:r>
    </w:p>
    <w:p>
      <w:pPr>
        <w:numPr>
          <w:ilvl w:val="0"/>
          <w:numId w:val="1004"/>
        </w:numPr>
        <w:pStyle w:val="Compact"/>
      </w:pPr>
      <w:r>
        <w:t xml:space="preserve">Asignar número de pliego y rango de cajas antes de imprimir colofones.</w:t>
      </w:r>
    </w:p>
    <w:p>
      <w:pPr>
        <w:numPr>
          <w:ilvl w:val="0"/>
          <w:numId w:val="1004"/>
        </w:numPr>
        <w:pStyle w:val="Compact"/>
      </w:pPr>
      <w:r>
        <w:t xml:space="preserve">Reconciliar anillas y colofones usados/sobrantes por pliego; destrucción certificada.</w:t>
      </w:r>
    </w:p>
    <w:p>
      <w:pPr>
        <w:numPr>
          <w:ilvl w:val="0"/>
          <w:numId w:val="1004"/>
        </w:numPr>
        <w:pStyle w:val="Compact"/>
      </w:pPr>
      <w:r>
        <w:t xml:space="preserve">Registrar pliego ↔ cajas ↔ factura ↔ DUA ↔ identificadores únicos.</w:t>
      </w:r>
    </w:p>
    <w:p>
      <w:pPr>
        <w:numPr>
          <w:ilvl w:val="0"/>
          <w:numId w:val="1004"/>
        </w:numPr>
        <w:pStyle w:val="Compact"/>
      </w:pPr>
      <w:r>
        <w:t xml:space="preserve">Aplicar el «Protocolo de autenticidad y procedencia» a cualquier producto de terceros.</w:t>
      </w:r>
    </w:p>
    <w:bookmarkEnd w:id="23"/>
    <w:bookmarkStart w:id="24" w:name="sop-05-importación-y-despacho"/>
    <w:p>
      <w:pPr>
        <w:pStyle w:val="Heading1"/>
      </w:pPr>
      <w:r>
        <w:t xml:space="preserve">SOP-05 Importación y despacho</w:t>
      </w:r>
    </w:p>
    <w:p>
      <w:pPr>
        <w:pStyle w:val="FirstParagraph"/>
      </w:pPr>
      <w:r>
        <w:t xml:space="preserve">Aplicar</w:t>
      </w:r>
      <w:r>
        <w:t xml:space="preserve"> </w:t>
      </w:r>
      <w:r>
        <w:rPr>
          <w:rStyle w:val="VerbatimChar"/>
        </w:rPr>
        <w:t xml:space="preserve">Import Checklist.docx</w:t>
      </w:r>
      <w:r>
        <w:t xml:space="preserve"> </w:t>
      </w:r>
      <w:r>
        <w:t xml:space="preserve">fases B–D. Ningún envío en equipaje, postal o a nombre de terceros.</w:t>
      </w:r>
    </w:p>
    <w:bookmarkEnd w:id="24"/>
    <w:bookmarkStart w:id="25" w:name="sop-06-almacenaje-y-conservación"/>
    <w:p>
      <w:pPr>
        <w:pStyle w:val="Heading1"/>
      </w:pPr>
      <w:r>
        <w:t xml:space="preserve">SOP-06 Almacenaje y conservación</w:t>
      </w:r>
    </w:p>
    <w:p>
      <w:pPr>
        <w:pStyle w:val="FirstParagraph"/>
      </w:pPr>
      <w:r>
        <w:t xml:space="preserve">16–18 °C, 65–70% HR, registro diario automático; FIFO por pliego; cuarentena de lotes con incidencias; control de plagas mensual.</w:t>
      </w:r>
    </w:p>
    <w:bookmarkEnd w:id="25"/>
    <w:bookmarkStart w:id="26" w:name="Xdcd463a795e581fc57b8f34d3714e827a406ce7"/>
    <w:p>
      <w:pPr>
        <w:pStyle w:val="Heading1"/>
      </w:pPr>
      <w:r>
        <w:t xml:space="preserve">SOP-07 Comunicación comercial profesional</w:t>
      </w:r>
    </w:p>
    <w:p>
      <w:pPr>
        <w:numPr>
          <w:ilvl w:val="0"/>
          <w:numId w:val="1005"/>
        </w:numPr>
        <w:pStyle w:val="Compact"/>
      </w:pPr>
      <w:r>
        <w:t xml:space="preserve">Sólo destinatarios profesionales (expendedurías, distribuidores).</w:t>
      </w:r>
    </w:p>
    <w:p>
      <w:pPr>
        <w:numPr>
          <w:ilvl w:val="0"/>
          <w:numId w:val="1005"/>
        </w:numPr>
        <w:pStyle w:val="Compact"/>
      </w:pPr>
      <w:r>
        <w:t xml:space="preserve">Materiales: ficha técnica, PVP BOE, disponibilidad; sin mensajes de estilo de vida ni dirigidos al consumidor.</w:t>
      </w:r>
    </w:p>
    <w:p>
      <w:pPr>
        <w:numPr>
          <w:ilvl w:val="0"/>
          <w:numId w:val="1005"/>
        </w:numPr>
        <w:pStyle w:val="Compact"/>
      </w:pPr>
      <w:r>
        <w:t xml:space="preserve">Revisión regulatoria previa de cualquier material nuevo.</w:t>
      </w:r>
    </w:p>
    <w:p>
      <w:pPr>
        <w:numPr>
          <w:ilvl w:val="0"/>
          <w:numId w:val="1005"/>
        </w:numPr>
        <w:pStyle w:val="Compact"/>
      </w:pPr>
      <w:r>
        <w:t xml:space="preserve">Sin redes sociales de consumo ni venta online.</w:t>
      </w:r>
    </w:p>
    <w:bookmarkEnd w:id="26"/>
    <w:bookmarkStart w:id="27" w:name="X3872670aab3a93a2353eb2ddbb6089fa4f5b0b5"/>
    <w:p>
      <w:pPr>
        <w:pStyle w:val="Heading1"/>
      </w:pPr>
      <w:r>
        <w:t xml:space="preserve">SOP-08 Cumplimiento regulatorio periódico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Obligación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Frecuencia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Información al CMT (según figura)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Mensual / 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Asesor regulatorio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Actualización EU-CEG (cambios de ingredientes)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 cambio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Asesor regulatorio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Revisión de PVP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 cambio de costes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Promotor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Renovación de marcas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Según 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Revisión normativa (Directiva fiscal, TPD, Cuba)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Trimestral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Promotor + abogados</w:t>
            </w:r>
          </w:p>
        </w:tc>
      </w:tr>
    </w:tbl>
    <w:bookmarkEnd w:id="27"/>
    <w:bookmarkStart w:id="28" w:name="plan-de-contingencia"/>
    <w:p>
      <w:pPr>
        <w:pStyle w:val="Heading1"/>
      </w:pPr>
      <w:r>
        <w:t xml:space="preserve">Plan de contingencia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Señal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 inmediata (0–7 días)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 estructural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Bloqueo jurídico en Cuba</w:t>
            </w:r>
            <w:r>
              <w:t xml:space="preserve"> </w:t>
            </w:r>
            <w:r>
              <w:t xml:space="preserve">(pérdida de licencia, cambio normativo)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Comunicación oficial o de la fábrica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Suspender pedidos y pagos; preservar stock y documentos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Activar marca ARNALDO con otro origen (R. Dominicana/Nicaragua) tras rediseñar la comunicación de origen; o concentrar en B3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Bloqueo de pagos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Rechazo/retención bancaria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Detener envío de fondos; consultar banco y abogado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Carta de crédito con banco alternativo; nunca canales opacos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Retraso de producción &gt; 8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Hito incumplido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Penalización contractual; información al distribuidor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Reducir tamaño de pedidos; stock de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Pliego defectuoso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de inspección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Rechazo y reposición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 de Ficha Técnica; inspector independiente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Daño en tránsito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Inspección de llegada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Reclamación al seguro; cuarentena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 de embalaje/ruta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Sanción a una contraparte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Suspender relación; asesoría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Sustituir contraparte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Rechazo del distribuidor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Activar distribuidor alternativo del listado CMT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Revisar tarifa/volumen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Ventas inferiores al Conservador durante 2 trimestres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Congelar pedidos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Revisar PVP o salida ordenada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Indisponibilidad del promotor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Poderes notariales a persona de confianza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de procesos</w:t>
            </w:r>
          </w:p>
        </w:tc>
      </w:tr>
    </w:tbl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Georgia" w:asciiTheme="majorHAnsi" w:cstheme="majorBidi" w:eastAsiaTheme="majorEastAsia" w:hAnsi="Georgia" w:hAnsiTheme="majorHAnsi"/>
      <w:b w:val="0"/>
      <w:bCs/>
      <w:color w:val="5A3E2B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color w:val="8C877E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Procedimientos operativos (SOP) y plan de contingencia</dc:title>
  <dc:creator/>
  <cp:keywords/>
  <dcterms:created xsi:type="dcterms:W3CDTF">2026-10-10T11:03:50Z</dcterms:created>
  <dcterms:modified xsi:type="dcterms:W3CDTF">2026-10-10T11:03:50Z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10/10/2026</vt:lpwstr>
  </property>
  <property fmtid="{D5CDD505-2E9C-101B-9397-08002B2CF9AE}" pid="3" name="subtitle">
    <vt:lpwstr>SOP-01 a SOP-08 y plan ante bloqueos de Cuba, pagos o suministro</vt:lpwstr>
  </property>
</Properties>
</file>