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no</w:t>
      </w:r>
      <w:r>
        <w:t xml:space="preserve"> </w:t>
      </w:r>
      <w:r>
        <w:t xml:space="preserve">vinculante</w:t>
      </w:r>
      <w:r>
        <w:t xml:space="preserve"> </w:t>
      </w:r>
      <w:r>
        <w:t xml:space="preserve">y</w:t>
      </w:r>
      <w:r>
        <w:t xml:space="preserve"> </w:t>
      </w:r>
      <w:r>
        <w:t xml:space="preserve">esquemas</w:t>
      </w:r>
      <w:r>
        <w:t xml:space="preserve"> </w:t>
      </w:r>
      <w:r>
        <w:t xml:space="preserve">contractuales</w:t>
      </w:r>
    </w:p>
    <w:p>
      <w:pPr>
        <w:pStyle w:val="Subtitle"/>
      </w:pPr>
      <w:r>
        <w:t xml:space="preserve">Fabricación</w:t>
      </w:r>
      <w:r>
        <w:t xml:space="preserve"> </w:t>
      </w:r>
      <w:r>
        <w:t xml:space="preserve">por</w:t>
      </w:r>
      <w:r>
        <w:t xml:space="preserve"> </w:t>
      </w:r>
      <w:r>
        <w:t xml:space="preserve">encargo</w:t>
      </w:r>
      <w:r>
        <w:t xml:space="preserve"> </w:t>
      </w:r>
      <w:r>
        <w:t xml:space="preserve">y</w:t>
      </w:r>
      <w:r>
        <w:t xml:space="preserve"> </w:t>
      </w:r>
      <w:r>
        <w:t xml:space="preserve">suministro</w:t>
      </w:r>
      <w:r>
        <w:t xml:space="preserve"> </w:t>
      </w:r>
      <w:r>
        <w:t xml:space="preserve">(Cuba</w:t>
      </w:r>
      <w:r>
        <w:t xml:space="preserve"> </w:t>
      </w:r>
      <w:r>
        <w:t xml:space="preserve">→</w:t>
      </w:r>
      <w:r>
        <w:t xml:space="preserve"> </w:t>
      </w:r>
      <w:r>
        <w:t xml:space="preserve">España),</w:t>
      </w:r>
      <w:r>
        <w:t xml:space="preserve"> </w:t>
      </w:r>
      <w:r>
        <w:t xml:space="preserve">contrato</w:t>
      </w:r>
      <w:r>
        <w:t xml:space="preserve"> </w:t>
      </w:r>
      <w:r>
        <w:t xml:space="preserve">de</w:t>
      </w:r>
      <w:r>
        <w:t xml:space="preserve"> </w:t>
      </w:r>
      <w:r>
        <w:t xml:space="preserve">distribución</w:t>
      </w:r>
      <w:r>
        <w:t xml:space="preserve"> </w:t>
      </w:r>
      <w:r>
        <w:t xml:space="preserve">en</w:t>
      </w:r>
      <w:r>
        <w:t xml:space="preserve"> </w:t>
      </w:r>
      <w:r>
        <w:t xml:space="preserve">España</w:t>
      </w:r>
      <w:r>
        <w:t xml:space="preserve"> </w:t>
      </w:r>
      <w:r>
        <w:t xml:space="preserve">y</w:t>
      </w:r>
      <w:r>
        <w:t xml:space="preserve"> </w:t>
      </w:r>
      <w:r>
        <w:t xml:space="preserve">cláusulas</w:t>
      </w:r>
      <w:r>
        <w:t xml:space="preserve"> </w:t>
      </w:r>
      <w:r>
        <w:t xml:space="preserve">de</w:t>
      </w:r>
      <w:r>
        <w:t xml:space="preserve"> </w:t>
      </w:r>
      <w:r>
        <w:t xml:space="preserve">propiedad</w:t>
      </w:r>
      <w:r>
        <w:t xml:space="preserve"> </w:t>
      </w:r>
      <w:r>
        <w:t xml:space="preserve">intelectual.</w:t>
      </w:r>
      <w:r>
        <w:t xml:space="preserve"> </w:t>
      </w:r>
      <w:r>
        <w:t xml:space="preserve">Borrador</w:t>
      </w:r>
      <w:r>
        <w:t xml:space="preserve"> </w:t>
      </w:r>
      <w:r>
        <w:t xml:space="preserve">para</w:t>
      </w:r>
      <w:r>
        <w:t xml:space="preserve"> </w:t>
      </w:r>
      <w:r>
        <w:t xml:space="preserve">revisión</w:t>
      </w:r>
      <w:r>
        <w:t xml:space="preserve"> </w:t>
      </w:r>
      <w:r>
        <w:t xml:space="preserve">de</w:t>
      </w:r>
      <w:r>
        <w:t xml:space="preserve"> </w:t>
      </w:r>
      <w:r>
        <w:t xml:space="preserve">abogados.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Xedb03757eb1e24509efa40bd2ca618abe03b4b6"/>
    <w:p>
      <w:pPr>
        <w:pStyle w:val="Heading1"/>
      </w:pPr>
      <w:r>
        <w:t xml:space="preserve">Parte I — Term sheet de fabricación y suministro (no vinculante)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[SL española] («el Cliente») y [entidad cubana autorizada] («el Fabricante»); en su caso [exportador de registro]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Carácter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vinculante salvo Confidencialidad, Exclusividad de negociación (60 días) y Ley/foro de este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Fabricación de cigarros totalmente hechos a mano de la marca FOLIO según Ficha Técnica, y su venta y exportación al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previas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Licencias de fabricación y exportación aportadas; (ii) aceptación de la titularidad de la marca; (iii) autorización del empleador del torcedor; (iv) vía bancaria validada; (v) screening de sanciones sin incidencias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OCTAVO (Robusto ≈124 × 50), cajas de cedro de 10 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piloto 1.000–3.000 u; previsión no vinculante 2.000–6.500 u/año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[__] EUR/u FCA [La Habana aeropuerto] o FOB [Mariel], con/sin packaging; validez 12 meses; revisión anual con preaviso de 90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al pedido; 70% contra documentos de embarque o carta de crédito documentaria irrevocable; en EUR; ningún pago a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[__] semanas desde pedido hasta puesta a disposición; penalización de [__]% por semana de retraso tras 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Técnica firmada; inspección previa al embarque por el Cliente o tercero; AQL ISO 2859-1 nivel II (1,0 mayor / 2,5 menor; críticos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Pliegos no conformes: reposición sin coste o abono; si rechazo &gt; 3%, coste de reinspección a cargo del Fabricante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de hoja para [N] pliegos de la misma liga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Anillas, colofones y precintos suministrados por el Cliente o fabricados según artes del Cliente; custodia y destrucción certificada de sobrantes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 como colaborador técnico designado por el Fabricante, con su autorización; retribución incluida en el 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Propiedad intelectual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Parte III (titularidad exclusiva del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Fabricante no produce FOLIO ni imitaciones para terceros; el Cliente es exclusivo mundial de la 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Bilateral, 5 años tras terminación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Garantías de licencias, anticorrupción, sanciones; ningún pago en USD ni a través de bancos de EE.UU.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años, renovable; resolución por incumplimiento, por pérdida de licencias o por imposibilidad de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Ley y foro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[Ley española / ley aplicable a negociar] + Convención de Viena (CISG); arbitraje institucional en sede neutral; alternativa: Corte Cubana de Arbitraje Comercial Internacional</w:t>
            </w:r>
          </w:p>
        </w:tc>
      </w:tr>
    </w:tbl>
    <w:bookmarkEnd w:id="20"/>
    <w:bookmarkStart w:id="21" w:name="X29998742b76f74b47614c27dab0451011b834bd"/>
    <w:p>
      <w:pPr>
        <w:pStyle w:val="Heading1"/>
      </w:pPr>
      <w:r>
        <w:t xml:space="preserve">Parte II — Esquema del contrato de fabricación y suministro</w:t>
      </w:r>
    </w:p>
    <w:p>
      <w:pPr>
        <w:numPr>
          <w:ilvl w:val="0"/>
          <w:numId w:val="1001"/>
        </w:numPr>
        <w:pStyle w:val="Compact"/>
      </w:pPr>
      <w:r>
        <w:t xml:space="preserve">Definiciones (Marca, Ficha Técnica, Pliego, Defecto Crítico/Mayor/Menor, Documentos de Embarque).</w:t>
      </w:r>
    </w:p>
    <w:p>
      <w:pPr>
        <w:numPr>
          <w:ilvl w:val="0"/>
          <w:numId w:val="1001"/>
        </w:numPr>
        <w:pStyle w:val="Compact"/>
      </w:pPr>
      <w:r>
        <w:t xml:space="preserve">Objeto y alcance; exclusión de cualquier cesión de derechos al Fabricante.</w:t>
      </w:r>
    </w:p>
    <w:p>
      <w:pPr>
        <w:numPr>
          <w:ilvl w:val="0"/>
          <w:numId w:val="1001"/>
        </w:numPr>
        <w:pStyle w:val="Compact"/>
      </w:pPr>
      <w:r>
        <w:t xml:space="preserve">Licencias y declaraciones del Fabricante (anexo con copias).</w:t>
      </w:r>
    </w:p>
    <w:p>
      <w:pPr>
        <w:numPr>
          <w:ilvl w:val="0"/>
          <w:numId w:val="1001"/>
        </w:numPr>
        <w:pStyle w:val="Compact"/>
      </w:pPr>
      <w:r>
        <w:t xml:space="preserve">Ficha Técnica, prototipos y aprobación de muestras de referencia («muestra patrón» firmada y conservada por ambas partes).</w:t>
      </w:r>
    </w:p>
    <w:p>
      <w:pPr>
        <w:numPr>
          <w:ilvl w:val="0"/>
          <w:numId w:val="1001"/>
        </w:numPr>
        <w:pStyle w:val="Compact"/>
      </w:pPr>
      <w:r>
        <w:t xml:space="preserve">Pedidos, previsiones, plazos y aceptación.</w:t>
      </w:r>
    </w:p>
    <w:p>
      <w:pPr>
        <w:numPr>
          <w:ilvl w:val="0"/>
          <w:numId w:val="1001"/>
        </w:numPr>
        <w:pStyle w:val="Compact"/>
      </w:pPr>
      <w:r>
        <w:t xml:space="preserve">Precio, moneda, revisión, pago, carta de crédito.</w:t>
      </w:r>
    </w:p>
    <w:p>
      <w:pPr>
        <w:numPr>
          <w:ilvl w:val="0"/>
          <w:numId w:val="1001"/>
        </w:numPr>
        <w:pStyle w:val="Compact"/>
      </w:pPr>
      <w:r>
        <w:t xml:space="preserve">Hoja: reserva, sustituciones (sólo con aprobación escrita).</w:t>
      </w:r>
    </w:p>
    <w:p>
      <w:pPr>
        <w:numPr>
          <w:ilvl w:val="0"/>
          <w:numId w:val="1001"/>
        </w:numPr>
        <w:pStyle w:val="Compact"/>
      </w:pPr>
      <w:r>
        <w:t xml:space="preserve">Packaging del Cliente: suministro, custodia, reconciliación de anillas por pliego, destrucción de sobrantes.</w:t>
      </w:r>
    </w:p>
    <w:p>
      <w:pPr>
        <w:numPr>
          <w:ilvl w:val="0"/>
          <w:numId w:val="1001"/>
        </w:numPr>
        <w:pStyle w:val="Compact"/>
      </w:pPr>
      <w:r>
        <w:t xml:space="preserve">Control de calidad: inspección, muestreo, catas, rechazo, reposición, laboratorio.</w:t>
      </w:r>
    </w:p>
    <w:p>
      <w:pPr>
        <w:numPr>
          <w:ilvl w:val="0"/>
          <w:numId w:val="1001"/>
        </w:numPr>
        <w:pStyle w:val="Compact"/>
      </w:pPr>
      <w:r>
        <w:t xml:space="preserve">Embalaje, tratamiento antiplagas, documentación de exportación, Incoterm, transmisión del riesgo.</w:t>
      </w:r>
    </w:p>
    <w:p>
      <w:pPr>
        <w:numPr>
          <w:ilvl w:val="0"/>
          <w:numId w:val="1001"/>
        </w:numPr>
        <w:pStyle w:val="Compact"/>
      </w:pPr>
      <w:r>
        <w:t xml:space="preserve">Trazabilidad: registro de pliego, colofón, conservación de registros 5 años.</w:t>
      </w:r>
    </w:p>
    <w:p>
      <w:pPr>
        <w:numPr>
          <w:ilvl w:val="0"/>
          <w:numId w:val="1001"/>
        </w:numPr>
        <w:pStyle w:val="Compact"/>
      </w:pPr>
      <w:r>
        <w:t xml:space="preserve">Propiedad intelectual y confidencialidad (Parte III).</w:t>
      </w:r>
    </w:p>
    <w:p>
      <w:pPr>
        <w:numPr>
          <w:ilvl w:val="0"/>
          <w:numId w:val="1001"/>
        </w:numPr>
        <w:pStyle w:val="Compact"/>
      </w:pPr>
      <w:r>
        <w:t xml:space="preserve">Cumplimiento normativo y sanciones; derecho de auditoría documental.</w:t>
      </w:r>
    </w:p>
    <w:p>
      <w:pPr>
        <w:numPr>
          <w:ilvl w:val="0"/>
          <w:numId w:val="1001"/>
        </w:numPr>
        <w:pStyle w:val="Compact"/>
      </w:pPr>
      <w:r>
        <w:t xml:space="preserve">Garantías, responsabilidad, límites, indemnidades.</w:t>
      </w:r>
    </w:p>
    <w:p>
      <w:pPr>
        <w:numPr>
          <w:ilvl w:val="0"/>
          <w:numId w:val="1001"/>
        </w:numPr>
        <w:pStyle w:val="Compact"/>
      </w:pPr>
      <w:r>
        <w:t xml:space="preserve">Fuerza mayor (incluida falta de suministro eléctrico prolongada) con derecho de resolución a los 90 días.</w:t>
      </w:r>
    </w:p>
    <w:p>
      <w:pPr>
        <w:numPr>
          <w:ilvl w:val="0"/>
          <w:numId w:val="1001"/>
        </w:numPr>
        <w:pStyle w:val="Compact"/>
      </w:pPr>
      <w:r>
        <w:t xml:space="preserve">Duración, resolución, efectos (devolución de materiales, stock en curso).</w:t>
      </w:r>
    </w:p>
    <w:p>
      <w:pPr>
        <w:numPr>
          <w:ilvl w:val="0"/>
          <w:numId w:val="1001"/>
        </w:numPr>
        <w:pStyle w:val="Compact"/>
      </w:pPr>
      <w:r>
        <w:t xml:space="preserve">Ley aplicable, arbitraje, idioma, notificaciones.</w:t>
      </w:r>
      <w:r>
        <w:t xml:space="preserve"> </w:t>
      </w:r>
      <w:r>
        <w:t xml:space="preserve">Anexos: Ficha Técnica; muestra patrón; plan de QC; listado de licencias; modelo de colofón; lista de precios.</w:t>
      </w:r>
    </w:p>
    <w:bookmarkEnd w:id="21"/>
    <w:bookmarkStart w:id="22" w:name="X69ac81a2fcc4f0ac85f932559adf0563e35aadb"/>
    <w:p>
      <w:pPr>
        <w:pStyle w:val="Heading1"/>
      </w:pPr>
      <w:r>
        <w:t xml:space="preserve">Parte III — Cláusulas de propiedad intelectual (texto base)</w:t>
      </w:r>
    </w:p>
    <w:p>
      <w:pPr>
        <w:pStyle w:val="FirstParagraph"/>
      </w:pPr>
      <w:r>
        <w:rPr>
          <w:bCs/>
          <w:b/>
        </w:rPr>
        <w:t xml:space="preserve">Titularidad.</w:t>
      </w:r>
      <w:r>
        <w:t xml:space="preserve"> </w:t>
      </w:r>
      <w:r>
        <w:t xml:space="preserve">«La marca FOLIO, sus variantes, los nombres OCTAVO, CUARTO, IMPERIAL y PLIEGO, el monograma, los diseños de anilla, caja, colofón y precinto, el manual de identidad y la Ficha Técnica (en adelante, los</w:t>
      </w:r>
      <w:r>
        <w:t xml:space="preserve"> </w:t>
      </w:r>
      <w:r>
        <w:t xml:space="preserve">“</w:t>
      </w:r>
      <w:r>
        <w:t xml:space="preserve">Activos del Cliente</w:t>
      </w:r>
      <w:r>
        <w:t xml:space="preserve">”</w:t>
      </w:r>
      <w:r>
        <w:t xml:space="preserve">) son y serán propiedad exclusiva del Cliente. Nada en este contrato transmite al Fabricante derecho alguno sobre los Activos del Cliente.»</w:t>
      </w:r>
    </w:p>
    <w:p>
      <w:pPr>
        <w:pStyle w:val="BodyText"/>
      </w:pPr>
      <w:r>
        <w:rPr>
          <w:bCs/>
          <w:b/>
        </w:rPr>
        <w:t xml:space="preserve">Licencia limitada.</w:t>
      </w:r>
      <w:r>
        <w:t xml:space="preserve"> </w:t>
      </w:r>
      <w:r>
        <w:t xml:space="preserve">«El Cliente concede al Fabricante una licencia no exclusiva, intransferible y gratuita, limitada a la aplicación de los Activos del Cliente sobre los productos fabricados para el Cliente y durante la vigencia del contrato, que se extinguirá automáticamente a su terminación.»</w:t>
      </w:r>
    </w:p>
    <w:p>
      <w:pPr>
        <w:pStyle w:val="BodyText"/>
      </w:pPr>
      <w:r>
        <w:rPr>
          <w:bCs/>
          <w:b/>
        </w:rPr>
        <w:t xml:space="preserve">Registro.</w:t>
      </w:r>
      <w:r>
        <w:t xml:space="preserve"> </w:t>
      </w:r>
      <w:r>
        <w:t xml:space="preserve">«El Fabricante no solicitará, ni permitirá que terceros vinculados soliciten, en ningún país, el registro de signos idénticos o similares a los Activos del Cliente. Cualquier registro obtenido en contravención será transferido al Cliente sin contraprestación.»</w:t>
      </w:r>
    </w:p>
    <w:p>
      <w:pPr>
        <w:pStyle w:val="BodyText"/>
      </w:pPr>
      <w:r>
        <w:rPr>
          <w:bCs/>
          <w:b/>
        </w:rPr>
        <w:t xml:space="preserve">No competencia de producto.</w:t>
      </w:r>
      <w:r>
        <w:t xml:space="preserve"> </w:t>
      </w:r>
      <w:r>
        <w:t xml:space="preserve">«Durante la vigencia y tres años después, el Fabricante no elaborará para terceros productos con signos, anillas o envases confundibles con los Activos del Cliente.»</w:t>
      </w:r>
    </w:p>
    <w:p>
      <w:pPr>
        <w:pStyle w:val="BodyText"/>
      </w:pPr>
      <w:r>
        <w:rPr>
          <w:bCs/>
          <w:b/>
        </w:rPr>
        <w:t xml:space="preserve">Know-how de la liga.</w:t>
      </w:r>
      <w:r>
        <w:t xml:space="preserve"> </w:t>
      </w:r>
      <w:r>
        <w:t xml:space="preserve">«La Ficha Técnica es información confidencial del Cliente. El Fabricante conserva sus conocimientos generales de elaboración y la propiedad de sus materias primas hasta la entrega.»</w:t>
      </w:r>
    </w:p>
    <w:p>
      <w:pPr>
        <w:pStyle w:val="BodyText"/>
      </w:pPr>
      <w:r>
        <w:rPr>
          <w:bCs/>
          <w:b/>
        </w:rPr>
        <w:t xml:space="preserve">Materiales.</w:t>
      </w:r>
      <w:r>
        <w:t xml:space="preserve"> </w:t>
      </w:r>
      <w:r>
        <w:t xml:space="preserve">«Los materiales de marca suministrados o fabricados para el Cliente se custodiarán bajo inventario, se reconciliarán por pliego y los sobrantes se destruirán con certificado o se devolverán al Cliente.»</w:t>
      </w:r>
    </w:p>
    <w:p>
      <w:pPr>
        <w:pStyle w:val="BodyText"/>
      </w:pPr>
      <w:r>
        <w:rPr>
          <w:bCs/>
          <w:b/>
        </w:rPr>
        <w:t xml:space="preserve">Reconocimiento del torcedor.</w:t>
      </w:r>
      <w:r>
        <w:t xml:space="preserve"> </w:t>
      </w:r>
      <w:r>
        <w:t xml:space="preserve">«La mención del nombre del torcedor en el colofón requerirá su consentimiento escrito y el del Fabricante, y no confiere derechos sobre la marca.»</w:t>
      </w:r>
    </w:p>
    <w:bookmarkEnd w:id="22"/>
    <w:bookmarkStart w:id="23" w:name="X82c8e11c7b7ae85022ae819f939d04607f4fa16"/>
    <w:p>
      <w:pPr>
        <w:pStyle w:val="Heading1"/>
      </w:pPr>
      <w:r>
        <w:t xml:space="preserve">Parte IV — Esquema del contrato de distribución en España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 (titular de la marca, habilitada como fabricante) y Distribuidor mayorista habilitado por el CMT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Territorio y exclusividad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Península y Baleares; exclusiva o no exclusiva según tarifa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fiscal (si procede), almacenaje climatizado, preparación, transporte a expendedurías, facturación y cobro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Remuneración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[__]% del PVP o tarifa por unidad; sin otros cargos salvo anexo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 publicado en BOE; el Distribuidor no lo altera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Liquidación mensual; pago a [≤45]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por punto de venta (dentro de los límites de competencia y protección de datos), stock, roturas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 de 16–18 °C / 65–70% HR; responsabilidad por daños en custodia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Neutralidad frente a expendedurías; obligaciones de información al CMT;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y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años; preaviso 6 meses; devolución de stock en condiciones; no competencia limitada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a consumidor final, venta a distancia, promoción no autorizada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sheet no vinculante y esquemas contractuales</dc:title>
  <dc:creator/>
  <cp:keywords/>
  <dcterms:created xsi:type="dcterms:W3CDTF">2026-10-10T09:28:24Z</dcterms:created>
  <dcterms:modified xsi:type="dcterms:W3CDTF">2026-10-10T09:28:24Z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Fabricación por encargo y suministro (Cuba → España), contrato de distribución en España y cláusulas de propiedad intelectual. Borrador para revisión de abogados.</vt:lpwstr>
  </property>
</Properties>
</file>