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la</w:t>
      </w:r>
      <w:r>
        <w:t xml:space="preserve"> </w:t>
      </w:r>
      <w:r>
        <w:rPr>
          <w:bCs/>
          <w:b/>
        </w:rPr>
        <w:t xml:space="preserve">anilla clásica</w:t>
      </w:r>
      <w:r>
        <w:t xml:space="preserve"> </w:t>
      </w:r>
      <w:r>
        <w:t xml:space="preserve">como diseño de la casa —banda lacre con cantos de oro perlados, óvalo central de laca negra enmarcado en oro con ARNALDO en capitales romanas y la firma de Arnaldo debajo, segunda anilla «Pliego de autor», vista y caja de cedro con la marca a fuego; referencias: Hoyo de Monterrey y Montecristo; ver</w:t>
      </w:r>
      <w:r>
        <w:t xml:space="preserve"> </w:t>
      </w:r>
      <w:r>
        <w:rPr>
          <w:rStyle w:val="VerbatimChar"/>
        </w:rPr>
        <w:t xml:space="preserve">01_BRAND/ARNALDO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2026-10-13T18:32:39Z</dcterms:created>
  <dcterms:modified xsi:type="dcterms:W3CDTF">2026-10-13T18:32:39Z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