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empresa</w:t>
      </w:r>
      <w:r>
        <w:t xml:space="preserve"> </w:t>
      </w:r>
      <w:r>
        <w:t xml:space="preserve">2027–2031</w:t>
      </w:r>
    </w:p>
    <w:p>
      <w:pPr>
        <w:pStyle w:val="Subtitle"/>
      </w:pPr>
      <w:r>
        <w:t xml:space="preserve">ARNALDO</w:t>
      </w:r>
      <w:r>
        <w:t xml:space="preserve"> </w:t>
      </w:r>
      <w:r>
        <w:t xml:space="preserve">—</w:t>
      </w:r>
      <w:r>
        <w:t xml:space="preserve"> </w:t>
      </w:r>
      <w:r>
        <w:t xml:space="preserve">marca</w:t>
      </w:r>
      <w:r>
        <w:t xml:space="preserve"> </w:t>
      </w:r>
      <w:r>
        <w:t xml:space="preserve">propia</w:t>
      </w:r>
      <w:r>
        <w:t xml:space="preserve"> </w:t>
      </w:r>
      <w:r>
        <w:t xml:space="preserve">de</w:t>
      </w:r>
      <w:r>
        <w:t xml:space="preserve"> </w:t>
      </w:r>
      <w:r>
        <w:t xml:space="preserve">cigarros</w:t>
      </w:r>
      <w:r>
        <w:t xml:space="preserve"> </w:t>
      </w:r>
      <w:r>
        <w:t xml:space="preserve">premium</w:t>
      </w:r>
      <w:r>
        <w:t xml:space="preserve"> </w:t>
      </w:r>
      <w:r>
        <w:t xml:space="preserve">y</w:t>
      </w:r>
      <w:r>
        <w:t xml:space="preserve"> </w:t>
      </w:r>
      <w:r>
        <w:t xml:space="preserve">vía</w:t>
      </w:r>
      <w:r>
        <w:t xml:space="preserve"> </w:t>
      </w:r>
      <w:r>
        <w:t xml:space="preserve">de</w:t>
      </w:r>
      <w:r>
        <w:t xml:space="preserve"> </w:t>
      </w:r>
      <w:r>
        <w:t xml:space="preserve">importación</w:t>
      </w:r>
      <w:r>
        <w:t xml:space="preserve"> </w:t>
      </w:r>
      <w:r>
        <w:t xml:space="preserve">premium,</w:t>
      </w:r>
      <w:r>
        <w:t xml:space="preserve"> </w:t>
      </w:r>
      <w:r>
        <w:t xml:space="preserve">con</w:t>
      </w:r>
      <w:r>
        <w:t xml:space="preserve"> </w:t>
      </w:r>
      <w:r>
        <w:t xml:space="preserve">decisión</w:t>
      </w:r>
      <w:r>
        <w:t xml:space="preserve"> </w:t>
      </w:r>
      <w:r>
        <w:t xml:space="preserve">por</w:t>
      </w:r>
      <w:r>
        <w:t xml:space="preserve"> </w:t>
      </w:r>
      <w:r>
        <w:t xml:space="preserve">fases</w:t>
      </w:r>
    </w:p>
    <w:p>
      <w:pPr>
        <w:pStyle w:val="Date"/>
      </w:pPr>
      <w:r>
        <w:t xml:space="preserve">10/10/2026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rPr>
          <w:bCs/>
          <w:b/>
        </w:rPr>
        <w:t xml:space="preserve">Qué se propone.</w:t>
      </w:r>
      <w:r>
        <w:t xml:space="preserve"> </w:t>
      </w:r>
      <w:r>
        <w:t xml:space="preserve">Crear</w:t>
      </w:r>
      <w:r>
        <w:t xml:space="preserve"> </w:t>
      </w:r>
      <w:r>
        <w:rPr>
          <w:bCs/>
          <w:b/>
        </w:rPr>
        <w:t xml:space="preserve">ARNALDO</w:t>
      </w:r>
      <w:r>
        <w:t xml:space="preserve">, una marca premium de cigarros hechos a mano que lleva el nombre —y, con su consentimiento, la firma— de Arnaldo, el torcedor cubano que participa en el proyecto; fabricada —si la Fase 0 lo confirma— en Cuba por una entidad autorizada con su colaboración técnica, e importada y distribuida en España por canales habilitados. En paralelo se evalúa la importación y distribución de cigarros premium de terceros.</w:t>
      </w:r>
    </w:p>
    <w:p>
      <w:pPr>
        <w:pStyle w:val="BodyText"/>
      </w:pPr>
      <w:r>
        <w:rPr>
          <w:bCs/>
          <w:b/>
        </w:rPr>
        <w:t xml:space="preserve">Qué se ha encontrado.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Barrera jurídica cubana</w:t>
      </w:r>
      <w:r>
        <w:t xml:space="preserve"> </w:t>
      </w:r>
      <w:r>
        <w:t xml:space="preserve">[BLOQUEADO]: Tabacuba conserva el monopolio de compra de hoja y Habanos S.A. la comercialización y exportación de puros premium; las reformas de 2026 (DL 133/2026, DL 128/2026, Medida 58) no abren la exportación privada de puros. No consta un programa vigente de fabricación para marcas de titularidad extranjera.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Barrera económica</w:t>
      </w:r>
      <w:r>
        <w:t xml:space="preserve">: con origen Cuba, el Estado se lleva ≈41,4 % del PVP (IVA, impuesto especial 15,8%, arancel 26%) y el canal ≈14%. Con un coste en destino de 10,09 €/u, el escenario Base (PVP 24 €, FOB 6 USD) deja 1,75 €/u de contribución, pierde dinero todos los años y necesita 184.160 € de financiación.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Habanos no es importable</w:t>
      </w:r>
      <w:r>
        <w:t xml:space="preserve"> </w:t>
      </w:r>
      <w:r>
        <w:t xml:space="preserve">por un tercero (exclusiva de Tabacalera S.L.U., hoy con cuentas bloqueadas por sanciones UE a su accionista indirecto). La oferta de Behike 56 a 50 €/caja (1,9 % del PVP oficial) es un NO-GO absoluto.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Vía accesible</w:t>
      </w:r>
      <w:r>
        <w:t xml:space="preserve">: importador-distribuidor habilitado de marcas premium no cubanas (contribución 3,94 €/u a PVP 15 €, arancel 0% con origen preferente).</w:t>
      </w:r>
    </w:p>
    <w:p>
      <w:pPr>
        <w:pStyle w:val="FirstParagraph"/>
      </w:pPr>
      <w:r>
        <w:rPr>
          <w:bCs/>
          <w:b/>
        </w:rPr>
        <w:t xml:space="preserve">Qué se recomienda.</w:t>
      </w:r>
      <w:r>
        <w:t xml:space="preserve"> </w:t>
      </w:r>
      <w:r>
        <w:t xml:space="preserve">Estrategia</w:t>
      </w:r>
      <w:r>
        <w:t xml:space="preserve"> </w:t>
      </w:r>
      <w:r>
        <w:rPr>
          <w:bCs/>
          <w:b/>
        </w:rPr>
        <w:t xml:space="preserve">E3 secuencial</w:t>
      </w:r>
      <w:r>
        <w:t xml:space="preserve">: (1) Fase 0 jurídica en Cuba con gasto acotado (≤ 15 k€ incluida marca UE); (2) validación comercial sin capital de la vía B3; (3) marca propia sólo si se cumplen las 8 condiciones verificables (C1–C8).</w:t>
      </w:r>
      <w:r>
        <w:t xml:space="preserve"> </w:t>
      </w:r>
      <w:r>
        <w:rPr>
          <w:bCs/>
          <w:b/>
        </w:rPr>
        <w:t xml:space="preserve">Decisión: CONDITIONAL GO</w:t>
      </w:r>
      <w:r>
        <w:t xml:space="preserve"> </w:t>
      </w:r>
      <w:r>
        <w:t xml:space="preserve">limitado a Fase 0 y validación;</w:t>
      </w:r>
      <w:r>
        <w:t xml:space="preserve"> </w:t>
      </w:r>
      <w:r>
        <w:rPr>
          <w:bCs/>
          <w:b/>
        </w:rPr>
        <w:t xml:space="preserve">NO-GO</w:t>
      </w:r>
      <w:r>
        <w:t xml:space="preserve"> </w:t>
      </w:r>
      <w:r>
        <w:t xml:space="preserve">a cualquier compromiso de producción o stock hasta cumplir C1–C8.</w:t>
      </w:r>
    </w:p>
    <w:bookmarkEnd w:id="20"/>
    <w:bookmarkStart w:id="21" w:name="descripción-del-negocio"/>
    <w:p>
      <w:pPr>
        <w:pStyle w:val="Heading1"/>
      </w:pPr>
      <w:r>
        <w:t xml:space="preserve">2. Descripción del negocio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de la sociedad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Marca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Diseño, especificación, registro y comercialización B2B de ARNALDO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 de marca, habilitada como fabricante ante el CMT; producción encargada a entidad autorizada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[BLOQUEADO] por Fase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— Importación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Importación y distribución de marcas no cubanas con exclusiva para 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Importador-titular en España de las referencias; distribución vía operador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— Habanos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Importación directa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</w:tbl>
    <w:p>
      <w:pPr>
        <w:pStyle w:val="BodyText"/>
      </w:pPr>
      <w:r>
        <w:t xml:space="preserve">Modelo B2B: la sociedad nunca vende al consumidor; vende al distribuidor mayorista habilitado, que sirve a expendedurías al PVP publicado en BOE.</w:t>
      </w:r>
    </w:p>
    <w:bookmarkEnd w:id="21"/>
    <w:bookmarkStart w:id="22" w:name="oportunidad-de-mercado"/>
    <w:p>
      <w:pPr>
        <w:pStyle w:val="Heading1"/>
      </w:pPr>
      <w:r>
        <w:t xml:space="preserve">3. Oportunidad de mercado</w:t>
      </w:r>
    </w:p>
    <w:p>
      <w:pPr>
        <w:numPr>
          <w:ilvl w:val="0"/>
          <w:numId w:val="1002"/>
        </w:numPr>
        <w:pStyle w:val="Compact"/>
      </w:pPr>
      <w:r>
        <w:t xml:space="preserve">España es el</w:t>
      </w:r>
      <w:r>
        <w:t xml:space="preserve"> </w:t>
      </w:r>
      <w:r>
        <w:rPr>
          <w:bCs/>
          <w:b/>
        </w:rPr>
        <w:t xml:space="preserve">segundo mercado mundial de Habanos</w:t>
      </w:r>
      <w:r>
        <w:t xml:space="preserve"> </w:t>
      </w:r>
      <w:r>
        <w:t xml:space="preserve">(2024) [VERIFICADO] (S24); el consumidor español conoce y valora el puro cubano.</w:t>
      </w:r>
    </w:p>
    <w:p>
      <w:pPr>
        <w:numPr>
          <w:ilvl w:val="0"/>
          <w:numId w:val="1002"/>
        </w:numPr>
        <w:pStyle w:val="Compact"/>
      </w:pPr>
      <w:r>
        <w:t xml:space="preserve">El segmento crece en valor por precio, no tanto en unidades [VERIFICADO] (S20, S24).</w:t>
      </w:r>
    </w:p>
    <w:p>
      <w:pPr>
        <w:numPr>
          <w:ilvl w:val="0"/>
          <w:numId w:val="1002"/>
        </w:numPr>
        <w:pStyle w:val="Compact"/>
      </w:pPr>
      <w:r>
        <w:t xml:space="preserve">La disrupción de la distribución de Habanos en 2026 (sanciones) puede abrir espacio en los humidores de expendedurías especialistas para marcas alternativas de calidad [PROBABLE] (S21).</w:t>
      </w:r>
    </w:p>
    <w:p>
      <w:pPr>
        <w:numPr>
          <w:ilvl w:val="0"/>
          <w:numId w:val="1002"/>
        </w:numPr>
        <w:pStyle w:val="Compact"/>
      </w:pPr>
      <w:r>
        <w:t xml:space="preserve">Demanda accesible estimada de abajo arriba: 1.600–6.000 unidades/año para una marca nueva en sus primeros años [HIPÓTESIS] (ver Brand Strategy).</w:t>
      </w:r>
    </w:p>
    <w:bookmarkEnd w:id="22"/>
    <w:bookmarkStart w:id="23" w:name="análisis-de-la-industria"/>
    <w:p>
      <w:pPr>
        <w:pStyle w:val="Heading1"/>
      </w:pPr>
      <w:r>
        <w:t xml:space="preserve">4. Análisis de la industria</w:t>
      </w:r>
    </w:p>
    <w:p>
      <w:pPr>
        <w:pStyle w:val="FirstParagraph"/>
      </w:pPr>
      <w:r>
        <w:t xml:space="preserve">Cadena de valor regulada de extremo a extremo: hoja → fábrica → exportador → importador habilitado → distribuidor habilitado → expendeduría → consumidor. En Cuba, los tres primeros eslabones están en el sistema estatal (Tabacuba/Habanos) [PROBABLE] (S05). En España, la fabricación, importación y distribución son libres con habilitación; la venta minorista es monopolio concesional (≈13.000 expendedurías) [VERIFICADO] (S16, S17, S26). Precio único nacional publicado en BOE [VERIFICADO] (S18). Publicidad prohibida.</w:t>
      </w:r>
    </w:p>
    <w:p>
      <w:pPr>
        <w:pStyle w:val="BodyText"/>
      </w:pPr>
      <w:r>
        <w:t xml:space="preserve">Concentración: Habanos domina el premium; la distribución mayorista está concentrada en pocos operadores [PROBABLE] (S26). Oferta de hoja cubana restringida (campaña 2025-26 por debajo de objetivo) [PROBABLE] (S47).</w:t>
      </w:r>
    </w:p>
    <w:bookmarkEnd w:id="23"/>
    <w:bookmarkStart w:id="24" w:name="competencia-y-posicionamiento"/>
    <w:p>
      <w:pPr>
        <w:pStyle w:val="Heading1"/>
      </w:pPr>
      <w:r>
        <w:t xml:space="preserve">5. Competencia y posicionamiento</w:t>
      </w:r>
    </w:p>
    <w:p>
      <w:pPr>
        <w:pStyle w:val="FirstParagraph"/>
      </w:pPr>
      <w:r>
        <w:t xml:space="preserve">Competidores directos de ARNALDO Nº 1: Habanos clásicos de formato robusto (≈21–22 €) y marcas no cubanas de prestigio (12–20 €). ARNALDO se posiciona en el lujo cubano clásico con la</w:t>
      </w:r>
      <w:r>
        <w:t xml:space="preserve"> </w:t>
      </w:r>
      <w:r>
        <w:rPr>
          <w:bCs/>
          <w:b/>
        </w:rPr>
        <w:t xml:space="preserve">Ruta A v2</w:t>
      </w:r>
      <w:r>
        <w:t xml:space="preserve"> </w:t>
      </w:r>
      <w:r>
        <w:t xml:space="preserve">—la gramática visual de las grandes marcas de Habanos (anilla con cartela, oro en relieve, guilloché, litografía de tapa) traducida a elementos propios: medallón con las manos del torcedor, chavetas cruzadas y un patrón inspirado en la yagua; ver</w:t>
      </w:r>
      <w:r>
        <w:t xml:space="preserve"> </w:t>
      </w:r>
      <w:r>
        <w:rPr>
          <w:rStyle w:val="VerbatimChar"/>
        </w:rPr>
        <w:t xml:space="preserve">01_BRAND/ARNALDO Brand Dossier.pdf</w:t>
      </w:r>
      <w:r>
        <w:t xml:space="preserve">—, lotes numerados («pliegos») y colofón de trazabilidad; precio objetivo 24 € (Base) que exige superar en calidad percibida a referencias consolidadas. Matriz de posicionamiento: B 3,90 / C 3,35 / A 2,45 (</w:t>
      </w:r>
      <w:r>
        <w:rPr>
          <w:rStyle w:val="VerbatimChar"/>
        </w:rPr>
        <w:t xml:space="preserve">Decision Matrix.xlsx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Ventaja competitiva sostenible</w:t>
      </w:r>
      <w:r>
        <w:t xml:space="preserve"> </w:t>
      </w:r>
      <w:r>
        <w:t xml:space="preserve">(Fisher): baja mientras la producción dependa de un único fabricante estatal; se construye con (i) propiedad plena de la marca y del diseño, (ii) relación con estanqueros especialistas, (iii) habilitaciones y know-how regulatorio, (iv) consistencia documentada.</w:t>
      </w:r>
    </w:p>
    <w:bookmarkEnd w:id="24"/>
    <w:bookmarkStart w:id="25" w:name="propuesta-de-valor-y-producto"/>
    <w:p>
      <w:pPr>
        <w:pStyle w:val="Heading1"/>
      </w:pPr>
      <w:r>
        <w:t xml:space="preserve">6. Propuesta de valor y producto</w:t>
      </w:r>
    </w:p>
    <w:p>
      <w:pPr>
        <w:pStyle w:val="FirstParagraph"/>
      </w:pPr>
      <w:r>
        <w:t xml:space="preserve">Para el estanquero especialista: una referencia diferenciada, consistente y documentada (ficha técnica, pliego, colofón), con rotación apoyada por catas técnicas profesionales. Para el consumidor adulto (sin comunicación directa): un objeto de habilitación clásica, numerado y documentado. Producto de lanzamiento:</w:t>
      </w:r>
      <w:r>
        <w:t xml:space="preserve"> </w:t>
      </w:r>
      <w:r>
        <w:rPr>
          <w:bCs/>
          <w:b/>
        </w:rPr>
        <w:t xml:space="preserve">Nº 1</w:t>
      </w:r>
      <w:r>
        <w:t xml:space="preserve"> </w:t>
      </w:r>
      <w:r>
        <w:t xml:space="preserve">(Robusto ≈124 × 50). Extensiones: Nº 2 (2029), Nº 3 (2030, limitada). Detalle:</w:t>
      </w:r>
      <w:r>
        <w:t xml:space="preserve"> </w:t>
      </w:r>
      <w:r>
        <w:rPr>
          <w:rStyle w:val="VerbatimChar"/>
        </w:rPr>
        <w:t xml:space="preserve">Product Architecture.pdf</w:t>
      </w:r>
      <w:r>
        <w:t xml:space="preserve">.</w:t>
      </w:r>
    </w:p>
    <w:bookmarkEnd w:id="25"/>
    <w:bookmarkStart w:id="26" w:name="producción-subcontratada-en-cuba"/>
    <w:p>
      <w:pPr>
        <w:pStyle w:val="Heading1"/>
      </w:pPr>
      <w:r>
        <w:t xml:space="preserve">7. Producción subcontratada en Cuba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Planteamiento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cubana autorizada a fabricar y exportar (por identificar documentalmente)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Torcedor (Arnaldo)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nombre a la marca y colabora técnicamente a través de la entidad, con permiso del empleador; participación económica según</w:t>
            </w:r>
            <w:r>
              <w:t xml:space="preserve"> </w:t>
            </w:r>
            <w:r>
              <w:rPr>
                <w:rStyle w:val="VerbatimChar"/>
              </w:rPr>
              <w:t xml:space="preserve">Arnaldo Name &amp; Participation Agreement.docx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Fabricación por encargo + compraventa internacional; FCA/FOB; inspección previa; reposición si rechazo &gt;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al pedido / 70% contra documentos o carta de crédito (objetivo); el modelo usa 50% de anticipo (conservador)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meses pedido→llegada (Base 5); Estrés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Autorización, titularidad de marca, hoja, energía/logística, pagos, sanciones</w:t>
            </w:r>
          </w:p>
        </w:tc>
      </w:tr>
    </w:tbl>
    <w:p>
      <w:pPr>
        <w:pStyle w:val="BodyText"/>
      </w:pPr>
      <w:r>
        <w:t xml:space="preserve">Si la Fase 0 es negativa, alternativas: (a)</w:t>
      </w:r>
      <w:r>
        <w:t xml:space="preserve"> </w:t>
      </w:r>
      <w:r>
        <w:rPr>
          <w:bCs/>
          <w:b/>
        </w:rPr>
        <w:t xml:space="preserve">ARNALDO con origen República Dominicana o Nicaragua</w:t>
      </w:r>
      <w:r>
        <w:t xml:space="preserve"> </w:t>
      </w:r>
      <w:r>
        <w:t xml:space="preserve">(arancel 0% con prueba de origen, fabricantes que ya exportan a la UE; el posicionamiento dejaría de ser «cubano» y el torcedor podría participar sólo si puede viajar y contratar legalmente) [HIPÓTESIS]; (b) concentrarse en B3.</w:t>
      </w:r>
    </w:p>
    <w:bookmarkEnd w:id="26"/>
    <w:bookmarkStart w:id="29" w:name="estructura-societaria"/>
    <w:p>
      <w:pPr>
        <w:pStyle w:val="Heading1"/>
      </w:pPr>
      <w:r>
        <w:t xml:space="preserve">8. Estructura societaria</w:t>
      </w:r>
    </w:p>
    <w:bookmarkStart w:id="27" w:name="opciones-comparadas"/>
    <w:p>
      <w:pPr>
        <w:pStyle w:val="Heading2"/>
      </w:pPr>
      <w:r>
        <w:t xml:space="preserve">Opciones comparadas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 española titular de marca y contratante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Simple; habilitación directa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 española titular + importador/mayorista habilitado subcontratado (depósito fiscal y distribución)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Menos fijos y circulante; habilitación como fabricante sólo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 del operador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 con todas las habilitaciones propias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y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Sociedad andorrana titular de marca + SL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Posible menor tributación del intangible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efectiva, EP, operaciones vinculadas, retenciones, habilitación del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 de marca a un tercero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control y de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</w:t>
            </w:r>
          </w:p>
        </w:tc>
      </w:tr>
    </w:tbl>
    <w:p>
      <w:pPr>
        <w:pStyle w:val="BodyText"/>
      </w:pPr>
      <w:r>
        <w:t xml:space="preserve">Puntuaciones del</w:t>
      </w:r>
      <w:r>
        <w:t xml:space="preserve"> </w:t>
      </w:r>
      <w:r>
        <w:rPr>
          <w:rStyle w:val="VerbatimChar"/>
        </w:rPr>
        <w:t xml:space="preserve">Decision Matrix.xlsx</w:t>
      </w:r>
      <w:r>
        <w:t xml:space="preserve"> </w:t>
      </w:r>
      <w:r>
        <w:t xml:space="preserve">(pesos: cumplimiento 20%, riesgo fiscal 25%, complejidad 15%, control 15%, encaje Andorra 10%, escalabilidad 15%).</w:t>
      </w:r>
    </w:p>
    <w:bookmarkEnd w:id="27"/>
    <w:bookmarkStart w:id="28" w:name="traslado-del-promotor-a-andorra-2027"/>
    <w:p>
      <w:pPr>
        <w:pStyle w:val="Heading2"/>
      </w:pPr>
      <w:r>
        <w:t xml:space="preserve">Traslado del promotor a Andorra (2027)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Residencia fiscal personal</w:t>
      </w:r>
      <w:r>
        <w:t xml:space="preserve">: en España, residencia por permanencia &gt; 183 días o centro de intereses económicos; el año del cambio es un año completo en uno u otro país; el CDI España–Andorra (en vigor 26/02/2016) resuelve la doble residencia [VERIFICADO convenio (S34); aplicación PROBABLE]. Debe obtenerse certificado de residencia andorrano y documentar el cambio real de centro de vida.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Sociedad</w:t>
      </w:r>
      <w:r>
        <w:t xml:space="preserve">: una SL constituida en España es residente en España; si se dirige efectivamente desde Andorra, puede surgir doble residencia de la sociedad, a resolver por el CDI. Recomendación: órgano de administración y decisiones operativas documentadas en España (o administrador profesional), con el promotor como socio [PROBABLE].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Establecimiento permanente</w:t>
      </w:r>
      <w:r>
        <w:t xml:space="preserve">: una sociedad andorrana con almacén, habilitación o agente dependiente en España tendría EP en España; el beneficio de la actividad española tributaría en España.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Operaciones vinculadas</w:t>
      </w:r>
      <w:r>
        <w:t xml:space="preserve">: cualquier royalty o servicio entre una sociedad andorrana y la SL debe ser a valor de mercado y documentado; la habilitación como «fabricante» corresponde al titular de la marca, lo que complica que el titular sea andorrano [PROBABLE] (S17).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Retribución</w:t>
      </w:r>
      <w:r>
        <w:t xml:space="preserve">: dietas de administrador y dividendos de la SL a un residente andorrano tributan conforme al CDI (tipos a confirmar con asesor) [PROBABLE].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Conclusión</w:t>
      </w:r>
      <w:r>
        <w:t xml:space="preserve">:</w:t>
      </w:r>
      <w:r>
        <w:t xml:space="preserve"> </w:t>
      </w:r>
      <w:r>
        <w:rPr>
          <w:bCs/>
          <w:b/>
        </w:rPr>
        <w:t xml:space="preserve">opción 2</w:t>
      </w:r>
      <w:r>
        <w:t xml:space="preserve"> </w:t>
      </w:r>
      <w:r>
        <w:t xml:space="preserve">(SL española). No se propone una sociedad andorrana por su menor tributación aparente; sólo tendría sentido con sustancia real (personal, decisiones, actividad) en Andorra y un análisis de precios de transferencia.</w:t>
      </w:r>
    </w:p>
    <w:bookmarkEnd w:id="28"/>
    <w:bookmarkEnd w:id="29"/>
    <w:bookmarkStart w:id="30" w:name="propiedad-intelectual-y-contratación"/>
    <w:p>
      <w:pPr>
        <w:pStyle w:val="Heading1"/>
      </w:pPr>
      <w:r>
        <w:t xml:space="preserve">9. Propiedad intelectual y contratación</w:t>
      </w:r>
    </w:p>
    <w:p>
      <w:pPr>
        <w:numPr>
          <w:ilvl w:val="0"/>
          <w:numId w:val="1004"/>
        </w:numPr>
        <w:pStyle w:val="Compact"/>
      </w:pPr>
      <w:r>
        <w:t xml:space="preserve">Marca</w:t>
      </w:r>
      <w:r>
        <w:t xml:space="preserve"> </w:t>
      </w:r>
      <w:r>
        <w:rPr>
          <w:bCs/>
          <w:b/>
        </w:rPr>
        <w:t xml:space="preserve">ARNALDO</w:t>
      </w:r>
      <w:r>
        <w:t xml:space="preserve"> </w:t>
      </w:r>
      <w:r>
        <w:t xml:space="preserve">a nombre de la SL: EUIPO (clase 34) antes de compartir con terceros; Cuba (OCPI) vía agente oficial; reservas FOLIO y LUMBRE.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Nombre, firma e imagen de Arnaldo</w:t>
      </w:r>
      <w:r>
        <w:t xml:space="preserve">: consentimiento escrito previo al registro (marca con nombre de persona) y licencia exclusiva, irrevocable, transferible y mundial a la SL; cláusulas de salida, conflicto y fallecimiento. Precedentes a evitar: Davidoff (disputa con Cubatabaco por la titularidad) y Vegas Robaina (marca con el nombre de un veguero, propiedad de Habanos S.A. desde 1997).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Participación de Arnaldo</w:t>
      </w:r>
      <w:r>
        <w:t xml:space="preserve">: recomendada en forma de participación en la SL (referencia: 10% con</w:t>
      </w:r>
      <w:r>
        <w:t xml:space="preserve"> </w:t>
      </w:r>
      <w:r>
        <w:rPr>
          <w:iCs/>
          <w:i/>
        </w:rPr>
        <w:t xml:space="preserve">vesting</w:t>
      </w:r>
      <w:r>
        <w:t xml:space="preserve"> </w:t>
      </w:r>
      <w:r>
        <w:t xml:space="preserve">a 4 años); un royalty del 2% sobre ingresos haría negativo el VAN incluso en el escenario Optimista (−4.561 €). Todo ello por vía legal y con autorización de su empleador. Detalle:</w:t>
      </w:r>
      <w:r>
        <w:t xml:space="preserve"> </w:t>
      </w:r>
      <w:r>
        <w:rPr>
          <w:rStyle w:val="VerbatimChar"/>
        </w:rPr>
        <w:t xml:space="preserve">04_CUBA_LEGAL/Arnaldo Name &amp; Participation Agreement.docx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Diseños: cesión total del diseñador a la SL; registro de diseño UE de la anilla y caja si el coste lo justifica.</w:t>
      </w:r>
    </w:p>
    <w:p>
      <w:pPr>
        <w:numPr>
          <w:ilvl w:val="0"/>
          <w:numId w:val="1004"/>
        </w:numPr>
        <w:pStyle w:val="Compact"/>
      </w:pPr>
      <w:r>
        <w:t xml:space="preserve">Contrato de fabricación: titularidad exclusiva de la marca, licencia de uso limitada a la producción contratada, confidencialidad de la ficha técnica, prohibición de producir ARNALDO o imitaciones para terceros, devolución/destrucción de anillas y materiales sobrantes. Cláusulas en</w:t>
      </w:r>
      <w:r>
        <w:t xml:space="preserve"> </w:t>
      </w:r>
      <w:r>
        <w:rPr>
          <w:rStyle w:val="VerbatimChar"/>
        </w:rPr>
        <w:t xml:space="preserve">Contract Term Sheet.docx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Contrato de distribución: no exclusivo/exclusivo según operador, tarifa, plazos de pago, reporting, depósito fiscal, devolución de stock en caso de resolución.</w:t>
      </w:r>
    </w:p>
    <w:bookmarkEnd w:id="30"/>
    <w:bookmarkStart w:id="31" w:name="importación-y-operativa-aduanera"/>
    <w:p>
      <w:pPr>
        <w:pStyle w:val="Heading1"/>
      </w:pPr>
      <w:r>
        <w:t xml:space="preserve">10. Importación y operativa aduanera</w:t>
      </w:r>
    </w:p>
    <w:p>
      <w:pPr>
        <w:pStyle w:val="FirstParagraph"/>
      </w:pPr>
      <w:r>
        <w:t xml:space="preserve">Clasificación TARIC 2402 10 00; arancel 26% [PROBABLE]; base del IVA de importación = valor en aduana + arancel + IEE; IEE al importar o diferido en depósito fiscal; marcas fiscales y trazabilidad; EORI; prueba de origen. Pago en frontera de un envío de 3.000 u en Base ≈26.342 € (sin contar el pago a fábrica). Checklist:</w:t>
      </w:r>
      <w:r>
        <w:t xml:space="preserve"> </w:t>
      </w:r>
      <w:r>
        <w:rPr>
          <w:rStyle w:val="VerbatimChar"/>
        </w:rPr>
        <w:t xml:space="preserve">Import Checklist.docx</w:t>
      </w:r>
      <w:r>
        <w:t xml:space="preserve">. Calculadora:</w:t>
      </w:r>
      <w:r>
        <w:t xml:space="preserve"> </w:t>
      </w:r>
      <w:r>
        <w:rPr>
          <w:rStyle w:val="VerbatimChar"/>
        </w:rPr>
        <w:t xml:space="preserve">Customs and Tax Model.xlsx</w:t>
      </w:r>
      <w:r>
        <w:t xml:space="preserve">.</w:t>
      </w:r>
    </w:p>
    <w:bookmarkEnd w:id="31"/>
    <w:bookmarkStart w:id="32" w:name="fiscalidad-y-obligaciones-regulatorias"/>
    <w:p>
      <w:pPr>
        <w:pStyle w:val="Heading1"/>
      </w:pPr>
      <w:r>
        <w:t xml:space="preserve">11. Fiscalidad y obligaciones regulatorias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Impuesto / 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 cigarros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15,8% PVP, mínimo 47 €/1.000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[VERIFICADO] (S14)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 (neutral; recuperable)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 CIF (origen Cuba)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[PROBABLE] (S32)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 sobre Sociedades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(15% nueva creación en los dos primeros periodos con base positiva; no aplicado en el modelo)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[PROBABLE] (N04)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Habilitación CMT, EU-CEG, marcas fiscales, trazabilidad, etiquetado, PVP 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  <w:r>
              <w:t xml:space="preserve"> </w:t>
            </w:r>
            <w:r>
              <w:rPr>
                <w:rStyle w:val="VerbatimChar"/>
              </w:rPr>
              <w:t xml:space="preserve">Spain Regulatory Roadmap.pdf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UE de la fiscalidad del tabaco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Efectos 2028+; impacto limitado en PVP ≥ 12 €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[PROBABLE] (S31)</w:t>
            </w:r>
          </w:p>
        </w:tc>
      </w:tr>
    </w:tbl>
    <w:bookmarkEnd w:id="32"/>
    <w:bookmarkStart w:id="33" w:name="distribución-legal-en-españa"/>
    <w:p>
      <w:pPr>
        <w:pStyle w:val="Heading1"/>
      </w:pPr>
      <w:r>
        <w:t xml:space="preserve">12. Distribución legal en España</w:t>
      </w:r>
    </w:p>
    <w:p>
      <w:pPr>
        <w:pStyle w:val="FirstParagraph"/>
      </w:pPr>
      <w:r>
        <w:t xml:space="preserve">Distribuidor mayorista habilitado (Logista u otro del listado del CMT) con depósito fiscal; tarifa supuesta 5% del PVP [HIPÓTESIS]; reparto a expendedurías especialistas seleccionadas. Margen del expendedor 9% [PROBABLE]. Sin venta online ni a distancia.</w:t>
      </w:r>
    </w:p>
    <w:bookmarkEnd w:id="33"/>
    <w:bookmarkStart w:id="34" w:name="organización-y-recursos"/>
    <w:p>
      <w:pPr>
        <w:pStyle w:val="Heading1"/>
      </w:pPr>
      <w:r>
        <w:t xml:space="preserve">13. Organización y recursos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2027–2028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2029–2031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 y desarrollo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Promotor + agente comercial a comisión (si volumen &gt; 5.000 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Jurídico Cuba / 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Despachos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Regulatorio (CMT, EU-CEG, trazabilidad)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Logística, depósito fiscal, distribución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habilitado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habilitado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 y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en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Fábrica + visitas + inspección independiente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Ídem</w:t>
            </w:r>
          </w:p>
        </w:tc>
      </w:tr>
    </w:tbl>
    <w:bookmarkEnd w:id="34"/>
    <w:bookmarkStart w:id="35" w:name="estrategia-comercial-b2b"/>
    <w:p>
      <w:pPr>
        <w:pStyle w:val="Heading1"/>
      </w:pPr>
      <w:r>
        <w:t xml:space="preserve">14. Estrategia comercial B2B</w:t>
      </w:r>
    </w:p>
    <w:p>
      <w:pPr>
        <w:pStyle w:val="FirstParagraph"/>
      </w:pPr>
      <w:r>
        <w:t xml:space="preserve">Dentro de los límites de la Ley 28/2005 (sin publicidad al consumidor):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Oferta (Hormozi, adaptada)</w:t>
      </w:r>
      <w:r>
        <w:t xml:space="preserve">: el valor para el estanquero no es un descuento —el precio es fijo— sino reducir su riesgo: lotes pequeños, reposición rápida, ficha técnica, formación en cata técnica, exclusividad zonal de lanzamiento para los primeros 40 especialistas.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Embudo</w:t>
      </w:r>
      <w:r>
        <w:t xml:space="preserve">: 40 expendedurías especialistas identificadas → 15 entrevistas → 10 cartas de interés (condición C6) → 25–40 puntos activos en 2028.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Materiales permitidos</w:t>
      </w:r>
      <w:r>
        <w:t xml:space="preserve">: ficha técnica profesional, lista de precios BOE, muestras profesionales sujetas a impuestos (3% de ventas en el modelo).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Unidad económica del canal</w:t>
      </w:r>
      <w:r>
        <w:t xml:space="preserve">: puntos de venta necesarios = ventas / (4 cajas × 10 u); Base 2031: ≈160 puntos para 6.500 u.</w:t>
      </w:r>
    </w:p>
    <w:bookmarkEnd w:id="35"/>
    <w:bookmarkStart w:id="36" w:name="previsiones-financieras"/>
    <w:p>
      <w:pPr>
        <w:pStyle w:val="Heading1"/>
      </w:pPr>
      <w:r>
        <w:t xml:space="preserve">15. Previsiones financieras</w:t>
      </w:r>
    </w:p>
    <w:p>
      <w:pPr>
        <w:pStyle w:val="FirstParagraph"/>
      </w:pPr>
      <w:r>
        <w:t xml:space="preserve">Resumen del modelo (</w:t>
      </w:r>
      <w:r>
        <w:rPr>
          <w:rStyle w:val="VerbatimChar"/>
        </w:rPr>
        <w:t xml:space="preserve">Financial Model 2027–2031.xlsx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-35.632 €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-13.850 €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42.857 €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-29.172 €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neto acumulado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-195.063 €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-129.034 €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7.252 €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-188.167 €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Necesidad máxima de financiación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209.452 €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184.160 €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132.823 €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172.818 €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 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-131.046 €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-120.973 €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10.754 €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-116.081 €</w:t>
            </w:r>
          </w:p>
        </w:tc>
      </w:tr>
    </w:tbl>
    <w:p>
      <w:pPr>
        <w:pStyle w:val="BodyText"/>
      </w:pPr>
      <w:r>
        <w:t xml:space="preserve">Punto muerto Base 2030: 14.298 u/año. Economía unitaria por PVP y escenarios:</w:t>
      </w:r>
      <w:r>
        <w:t xml:space="preserve"> </w:t>
      </w:r>
      <w:r>
        <w:rPr>
          <w:rStyle w:val="VerbatimChar"/>
        </w:rPr>
        <w:t xml:space="preserve">Business Case.pdf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Scenario Analysis.pdf</w:t>
      </w:r>
      <w:r>
        <w:t xml:space="preserve">.</w:t>
      </w:r>
    </w:p>
    <w:bookmarkEnd w:id="36"/>
    <w:bookmarkStart w:id="37" w:name="capital-necesario-y-financiación"/>
    <w:p>
      <w:pPr>
        <w:pStyle w:val="Heading1"/>
      </w:pPr>
      <w:r>
        <w:t xml:space="preserve">16. Capital necesario y financiación</w:t>
      </w:r>
    </w:p>
    <w:p>
      <w:pPr>
        <w:numPr>
          <w:ilvl w:val="0"/>
          <w:numId w:val="1006"/>
        </w:numPr>
        <w:pStyle w:val="Compact"/>
      </w:pPr>
      <w:r>
        <w:t xml:space="preserve">Fase 0 + marca + estudios:</w:t>
      </w:r>
      <w:r>
        <w:t xml:space="preserve"> </w:t>
      </w:r>
      <w:r>
        <w:rPr>
          <w:bCs/>
          <w:b/>
        </w:rPr>
        <w:t xml:space="preserve">≈15 k€</w:t>
      </w:r>
      <w:r>
        <w:t xml:space="preserve"> </w:t>
      </w:r>
      <w:r>
        <w:t xml:space="preserve">(capital propio).</w:t>
      </w:r>
    </w:p>
    <w:p>
      <w:pPr>
        <w:numPr>
          <w:ilvl w:val="0"/>
          <w:numId w:val="1006"/>
        </w:numPr>
        <w:pStyle w:val="Compact"/>
      </w:pPr>
      <w:r>
        <w:t xml:space="preserve">Piloto de marca propia (si C1–C8): 50 k€ como mínimo con depósito fiscal y lote ≤ 3.000 u; necesidad de un pedido de 3.000 u: 65.779 €.</w:t>
      </w:r>
    </w:p>
    <w:p>
      <w:pPr>
        <w:numPr>
          <w:ilvl w:val="0"/>
          <w:numId w:val="1006"/>
        </w:numPr>
        <w:pStyle w:val="Compact"/>
      </w:pPr>
      <w:r>
        <w:t xml:space="preserve">Proyecto A completo: 132.823 €–209.452 € según escenario → requiere socios o deuda que el perfil de riesgo actual difícilmente atrae (sin garantías, riesgo país y regulatorio).</w:t>
      </w:r>
    </w:p>
    <w:p>
      <w:pPr>
        <w:numPr>
          <w:ilvl w:val="0"/>
          <w:numId w:val="1006"/>
        </w:numPr>
        <w:pStyle w:val="Compact"/>
      </w:pPr>
      <w:r>
        <w:t xml:space="preserve">B3: 40–60 k€.</w:t>
      </w:r>
    </w:p>
    <w:p>
      <w:pPr>
        <w:numPr>
          <w:ilvl w:val="0"/>
          <w:numId w:val="1006"/>
        </w:numPr>
        <w:pStyle w:val="Compact"/>
      </w:pPr>
      <w:r>
        <w:t xml:space="preserve">Instrumentos: capital del promotor; préstamo participativo (p.ej. ENISA) sólo con plan validado [HIPÓTESIS]; financiación bancaria de circulante con garantías personales (no recomendada en fase de validación).</w:t>
      </w:r>
    </w:p>
    <w:bookmarkEnd w:id="37"/>
    <w:bookmarkStart w:id="38" w:name="riesgos-y-mitigaciones"/>
    <w:p>
      <w:pPr>
        <w:pStyle w:val="Heading1"/>
      </w:pPr>
      <w:r>
        <w:t xml:space="preserve">17. Riesgos y mitigaciones</w:t>
      </w:r>
    </w:p>
    <w:p>
      <w:pPr>
        <w:pStyle w:val="FirstParagraph"/>
      </w:pPr>
      <w:r>
        <w:t xml:space="preserve">Los diez principales (registro completo con 28 riesgos y matriz regulatoria en</w:t>
      </w:r>
      <w:r>
        <w:t xml:space="preserve"> </w:t>
      </w:r>
      <w:r>
        <w:rPr>
          <w:rStyle w:val="VerbatimChar"/>
        </w:rPr>
        <w:t xml:space="preserve">Risk Register.xlsx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vía legal en Cuba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0 antes de invertir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Exigencia de titularidad de marca por la contraparte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previo; cláusula esencial; NO-GO si no se acepta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FOB demasiado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FOB máximo como condición 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Lote piloto pequeño; depósito fiscal; no lanzar sin 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Pagos bloqueados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banco y carta de crédito (C4)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Rechazo del canal a 24 €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Cartas de interés previas (C6)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técnica, AQL, catas, reposición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Bloqueo de suministro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transferible a otro 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Sanciones / contrapartes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Dictamen de sanciones UE/EE. UU. antes del primer pago (C4); screening UE/ONU/OFAC; nada en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Fraude (ofertas anómalas)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procedencia; NO-GO</w:t>
            </w:r>
          </w:p>
        </w:tc>
      </w:tr>
    </w:tbl>
    <w:bookmarkEnd w:id="38"/>
    <w:bookmarkStart w:id="39" w:name="hoja-de-ruta"/>
    <w:p>
      <w:pPr>
        <w:pStyle w:val="Heading1"/>
      </w:pPr>
      <w:r>
        <w:t xml:space="preserve">18. Hoja de ruta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2026 – T1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0 (sem. 1–11), dictamen fiscal, informe de marcas, mapa de expendedurías y fabricantes B3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Go/No-Go; si Go: SL, EUIPO, cotización FOB, ficha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Prototipos y catas, term sheet, contrato, habilitaciones, EU-CEG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Artes finales, trazabilidad, marcas fiscales, solicitud PVP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piloto (si C1–C8), primeras ventas tras BOE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2029–2031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Extensiones Nº 2 e Nº 3 según KPIs</w:t>
            </w:r>
          </w:p>
        </w:tc>
      </w:tr>
    </w:tbl>
    <w:p>
      <w:pPr>
        <w:pStyle w:val="BodyText"/>
      </w:pPr>
      <w:r>
        <w:t xml:space="preserve">Plan de 180 días detallado:</w:t>
      </w:r>
      <w:r>
        <w:t xml:space="preserve"> </w:t>
      </w:r>
      <w:r>
        <w:rPr>
          <w:rStyle w:val="VerbatimChar"/>
        </w:rPr>
        <w:t xml:space="preserve">07_OPERATIONS/180-Day Execution Plan.xlsx</w:t>
      </w:r>
      <w:r>
        <w:t xml:space="preserve"> </w:t>
      </w:r>
      <w:r>
        <w:t xml:space="preserve">(coste estimado 25.100 €).</w:t>
      </w:r>
    </w:p>
    <w:bookmarkEnd w:id="39"/>
    <w:bookmarkStart w:id="40" w:name="kpis-y-condiciones-de-expansión"/>
    <w:p>
      <w:pPr>
        <w:pStyle w:val="Heading1"/>
      </w:pPr>
      <w:r>
        <w:t xml:space="preserve">19. KPIs y condiciones de expansión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para crecer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Contribución unitaria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4 €/u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Rotación en punto de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 cajas/punto/año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Rechazo por pliego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Puntuación de cata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umbral acordado en 3 pliegos seguidos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 pedido→llegada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Días de 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 al cierre de 2028</w:t>
            </w:r>
          </w:p>
        </w:tc>
      </w:tr>
    </w:tbl>
    <w:p>
      <w:pPr>
        <w:pStyle w:val="BodyText"/>
      </w:pPr>
      <w:r>
        <w:t xml:space="preserve">Ampliar a Nº 2 sólo si se cumplen todos durante 12 meses.</w:t>
      </w:r>
    </w:p>
    <w:bookmarkEnd w:id="40"/>
    <w:bookmarkStart w:id="41" w:name="estrategia-de-salida"/>
    <w:p>
      <w:pPr>
        <w:pStyle w:val="Heading1"/>
      </w:pPr>
      <w:r>
        <w:t xml:space="preserve">20. Estrategia de salida</w:t>
      </w:r>
    </w:p>
    <w:p>
      <w:pPr>
        <w:pStyle w:val="FirstParagraph"/>
      </w:pPr>
      <w:r>
        <w:t xml:space="preserve">Opciones realistas: (i) venta de la marca y la cartera de clientes a un distribuidor o fabricante premium; (ii) licencia de marca; (iii) cesión de la vía B3 a un distribuidor. Limitaciones: el embargo de EE.UU. reduce el universo de compradores de una marca cubana; el valor depende de la propiedad indiscutida de la marca y de la documentación. La valoración del modelo (5× EBITDA 2031) sólo es positiva en el escenario Optimista.</w:t>
      </w:r>
    </w:p>
    <w:p>
      <w:pPr>
        <w:pStyle w:val="BodyText"/>
      </w:pPr>
      <w:r>
        <w:t xml:space="preserve">Fuentes: Source Register (S01–S51, N01–N07), consulta 10/10/2026.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empresa 2027–2031</dc:title>
  <dc:creator/>
  <cp:keywords/>
  <dcterms:created xsi:type="dcterms:W3CDTF">2026-10-10T19:23:40Z</dcterms:created>
  <dcterms:modified xsi:type="dcterms:W3CDTF">2026-10-10T19:23:40Z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ARNALDO — marca propia de cigarros premium y vía de importación premium, con decisión por fases</vt:lpwstr>
  </property>
</Properties>
</file>